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ind w:left="468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Academy Sports and Outdoors, Inc.</w:t>
      </w:r>
    </w:p>
    <w:p>
      <w:pPr>
        <w:spacing w:after="0" w:line="5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Common Stock, par value $0.01 per share</w:t>
      </w:r>
    </w:p>
    <w:p>
      <w:pPr>
        <w:spacing w:after="0" w:line="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00402L107</w:t>
      </w:r>
    </w:p>
    <w:p>
      <w:pPr>
        <w:spacing w:after="0" w:line="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December 31, 2020</w:t>
      </w:r>
    </w:p>
    <w:p>
      <w:pPr>
        <w:spacing w:after="0" w:line="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1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5" w:lineRule="exact"/>
        <w:rPr>
          <w:rFonts w:ascii="MS PGothic" w:cs="MS PGothic" w:eastAsia="MS PGothic" w:hAnsi="MS PGothic"/>
          <w:sz w:val="18"/>
          <w:szCs w:val="18"/>
          <w:color w:val="auto"/>
        </w:rPr>
      </w:pPr>
    </w:p>
    <w:p>
      <w:pPr>
        <w:jc w:val="both"/>
        <w:ind w:right="9860" w:firstLine="8"/>
        <w:spacing w:after="0" w:line="226" w:lineRule="exact"/>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05" w:lineRule="exact"/>
        <w:rPr>
          <w:sz w:val="24"/>
          <w:szCs w:val="24"/>
          <w:color w:val="auto"/>
        </w:rPr>
      </w:pPr>
    </w:p>
    <w:p>
      <w:pPr>
        <w:ind w:left="460" w:right="220" w:hanging="452"/>
        <w:spacing w:after="0" w:line="259"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35"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29"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00402L107</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13G</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9640" w:type="dxa"/>
            <w:vAlign w:val="bottom"/>
            <w:tcBorders>
              <w:bottom w:val="single" w:sz="8" w:color="auto"/>
            </w:tcBorders>
            <w:gridSpan w:val="5"/>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974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auto"/>
              </w:rPr>
              <w:t>KKR 2006 Allstar Blocker L.P.</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974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964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2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180" w:type="dxa"/>
            <w:vAlign w:val="bottom"/>
            <w:shd w:val="clear" w:color="auto" w:fill="BFBFBF"/>
          </w:tcPr>
          <w:p>
            <w:pPr>
              <w:spacing w:after="0"/>
              <w:rPr>
                <w:sz w:val="23"/>
                <w:szCs w:val="23"/>
                <w:color w:val="auto"/>
              </w:rPr>
            </w:pPr>
          </w:p>
        </w:tc>
        <w:tc>
          <w:tcPr>
            <w:tcW w:w="48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832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180" w:type="dxa"/>
            <w:vAlign w:val="bottom"/>
            <w:tcBorders>
              <w:bottom w:val="single" w:sz="8" w:color="auto"/>
            </w:tcBorders>
            <w:shd w:val="clear" w:color="auto" w:fill="BFBFBF"/>
          </w:tcPr>
          <w:p>
            <w:pPr>
              <w:spacing w:after="0"/>
              <w:rPr>
                <w:sz w:val="24"/>
                <w:szCs w:val="24"/>
                <w:color w:val="auto"/>
              </w:rPr>
            </w:pPr>
          </w:p>
        </w:tc>
        <w:tc>
          <w:tcPr>
            <w:tcW w:w="480" w:type="dxa"/>
            <w:vAlign w:val="bottom"/>
            <w:tcBorders>
              <w:bottom w:val="single" w:sz="8" w:color="auto"/>
              <w:right w:val="single" w:sz="8" w:color="BFBFBF"/>
            </w:tcBorders>
            <w:shd w:val="clear" w:color="auto" w:fill="BFBFBF"/>
          </w:tcPr>
          <w:p>
            <w:pPr>
              <w:spacing w:after="0"/>
              <w:rPr>
                <w:sz w:val="24"/>
                <w:szCs w:val="24"/>
                <w:color w:val="auto"/>
              </w:rPr>
            </w:pPr>
          </w:p>
        </w:tc>
        <w:tc>
          <w:tcPr>
            <w:tcW w:w="20" w:type="dxa"/>
            <w:vAlign w:val="bottom"/>
            <w:tcBorders>
              <w:bottom w:val="single" w:sz="8" w:color="auto"/>
            </w:tcBorders>
            <w:shd w:val="clear" w:color="auto" w:fill="BFBFBF"/>
          </w:tcPr>
          <w:p>
            <w:pPr>
              <w:spacing w:after="0"/>
              <w:rPr>
                <w:sz w:val="24"/>
                <w:szCs w:val="24"/>
                <w:color w:val="auto"/>
              </w:rPr>
            </w:pPr>
          </w:p>
        </w:tc>
        <w:tc>
          <w:tcPr>
            <w:tcW w:w="832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11,102,476 (1)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8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11,102,476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11,102,476 (1)</w:t>
            </w: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4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12.3% (1)</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-6171565</wp:posOffset>
            </wp:positionV>
            <wp:extent cx="7132320" cy="6283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283325"/>
                    </a:xfrm>
                    <a:prstGeom prst="rect">
                      <a:avLst/>
                    </a:prstGeom>
                    <a:noFill/>
                  </pic:spPr>
                </pic:pic>
              </a:graphicData>
            </a:graphic>
          </wp:anchor>
        </w:drawing>
      </w:r>
    </w:p>
    <w:p>
      <w:pPr>
        <w:spacing w:after="0" w:line="128" w:lineRule="exact"/>
        <w:rPr>
          <w:sz w:val="20"/>
          <w:szCs w:val="20"/>
          <w:color w:val="auto"/>
        </w:rPr>
      </w:pPr>
    </w:p>
    <w:p>
      <w:pPr>
        <w:ind w:right="700" w:firstLine="8"/>
        <w:spacing w:after="0" w:line="258" w:lineRule="auto"/>
        <w:tabs>
          <w:tab w:leader="none" w:pos="30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beneficial ownership as of December 31, 2020. As of the date of filing, the Reporting Person named above beneficially owned 8,948,754 shares of Common Stock, representing 9.8% of the outstanding Common Stock.</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00402L107</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13G</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9640" w:type="dxa"/>
            <w:vAlign w:val="bottom"/>
            <w:tcBorders>
              <w:bottom w:val="single" w:sz="8" w:color="auto"/>
            </w:tcBorders>
            <w:gridSpan w:val="5"/>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974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auto"/>
              </w:rPr>
              <w:t>Allstar Co-Invest Blocker L.P.</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974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964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2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180" w:type="dxa"/>
            <w:vAlign w:val="bottom"/>
            <w:shd w:val="clear" w:color="auto" w:fill="BFBFBF"/>
          </w:tcPr>
          <w:p>
            <w:pPr>
              <w:spacing w:after="0"/>
              <w:rPr>
                <w:sz w:val="23"/>
                <w:szCs w:val="23"/>
                <w:color w:val="auto"/>
              </w:rPr>
            </w:pPr>
          </w:p>
        </w:tc>
        <w:tc>
          <w:tcPr>
            <w:tcW w:w="48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832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180" w:type="dxa"/>
            <w:vAlign w:val="bottom"/>
            <w:tcBorders>
              <w:bottom w:val="single" w:sz="8" w:color="auto"/>
            </w:tcBorders>
            <w:shd w:val="clear" w:color="auto" w:fill="BFBFBF"/>
          </w:tcPr>
          <w:p>
            <w:pPr>
              <w:spacing w:after="0"/>
              <w:rPr>
                <w:sz w:val="24"/>
                <w:szCs w:val="24"/>
                <w:color w:val="auto"/>
              </w:rPr>
            </w:pPr>
          </w:p>
        </w:tc>
        <w:tc>
          <w:tcPr>
            <w:tcW w:w="480" w:type="dxa"/>
            <w:vAlign w:val="bottom"/>
            <w:tcBorders>
              <w:bottom w:val="single" w:sz="8" w:color="auto"/>
              <w:right w:val="single" w:sz="8" w:color="BFBFBF"/>
            </w:tcBorders>
            <w:shd w:val="clear" w:color="auto" w:fill="BFBFBF"/>
          </w:tcPr>
          <w:p>
            <w:pPr>
              <w:spacing w:after="0"/>
              <w:rPr>
                <w:sz w:val="24"/>
                <w:szCs w:val="24"/>
                <w:color w:val="auto"/>
              </w:rPr>
            </w:pPr>
          </w:p>
        </w:tc>
        <w:tc>
          <w:tcPr>
            <w:tcW w:w="20" w:type="dxa"/>
            <w:vAlign w:val="bottom"/>
            <w:tcBorders>
              <w:bottom w:val="single" w:sz="8" w:color="auto"/>
            </w:tcBorders>
            <w:shd w:val="clear" w:color="auto" w:fill="BFBFBF"/>
          </w:tcPr>
          <w:p>
            <w:pPr>
              <w:spacing w:after="0"/>
              <w:rPr>
                <w:sz w:val="24"/>
                <w:szCs w:val="24"/>
                <w:color w:val="auto"/>
              </w:rPr>
            </w:pPr>
          </w:p>
        </w:tc>
        <w:tc>
          <w:tcPr>
            <w:tcW w:w="832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22,031,746 (1)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8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22,031,746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22,031,746 (1)</w:t>
            </w: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4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24.5% (1)</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-6171565</wp:posOffset>
            </wp:positionV>
            <wp:extent cx="7132320" cy="6283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283325"/>
                    </a:xfrm>
                    <a:prstGeom prst="rect">
                      <a:avLst/>
                    </a:prstGeom>
                    <a:noFill/>
                  </pic:spPr>
                </pic:pic>
              </a:graphicData>
            </a:graphic>
          </wp:anchor>
        </w:drawing>
      </w:r>
    </w:p>
    <w:p>
      <w:pPr>
        <w:spacing w:after="0" w:line="128" w:lineRule="exact"/>
        <w:rPr>
          <w:sz w:val="20"/>
          <w:szCs w:val="20"/>
          <w:color w:val="auto"/>
        </w:rPr>
      </w:pPr>
    </w:p>
    <w:p>
      <w:pPr>
        <w:ind w:right="700" w:firstLine="8"/>
        <w:spacing w:after="0" w:line="258" w:lineRule="auto"/>
        <w:tabs>
          <w:tab w:leader="none" w:pos="30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beneficial ownership as of December 31, 2020. As of the date of filing, the Reporting Person named above beneficially owned 17,757,901 shares of Common Stock, representing 19.5% of the outstanding Common Stock.</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CUSIP No. 00402L107</w:t>
            </w:r>
          </w:p>
        </w:tc>
        <w:tc>
          <w:tcPr>
            <w:tcW w:w="4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20" w:type="dxa"/>
            <w:vAlign w:val="bottom"/>
            <w:tcBorders>
              <w:bottom w:val="single" w:sz="8" w:color="auto"/>
            </w:tcBorders>
            <w:gridSpan w:val="2"/>
          </w:tcPr>
          <w:p>
            <w:pPr>
              <w:ind w:left="2820"/>
              <w:spacing w:after="0"/>
              <w:rPr>
                <w:sz w:val="20"/>
                <w:szCs w:val="20"/>
                <w:color w:val="auto"/>
              </w:rPr>
            </w:pPr>
            <w:r>
              <w:rPr>
                <w:rFonts w:ascii="Times New Roman" w:cs="Times New Roman" w:eastAsia="Times New Roman" w:hAnsi="Times New Roman"/>
                <w:sz w:val="18"/>
                <w:szCs w:val="18"/>
                <w:color w:val="auto"/>
              </w:rPr>
              <w:t>13G</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974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auto"/>
              </w:rPr>
              <w:t>Allstar Co-Invest GP LLC</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974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964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2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180" w:type="dxa"/>
            <w:vAlign w:val="bottom"/>
            <w:shd w:val="clear" w:color="auto" w:fill="BFBFBF"/>
          </w:tcPr>
          <w:p>
            <w:pPr>
              <w:spacing w:after="0"/>
              <w:rPr>
                <w:sz w:val="23"/>
                <w:szCs w:val="23"/>
                <w:color w:val="auto"/>
              </w:rPr>
            </w:pPr>
          </w:p>
        </w:tc>
        <w:tc>
          <w:tcPr>
            <w:tcW w:w="48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832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180" w:type="dxa"/>
            <w:vAlign w:val="bottom"/>
            <w:tcBorders>
              <w:bottom w:val="single" w:sz="8" w:color="auto"/>
            </w:tcBorders>
            <w:shd w:val="clear" w:color="auto" w:fill="BFBFBF"/>
          </w:tcPr>
          <w:p>
            <w:pPr>
              <w:spacing w:after="0"/>
              <w:rPr>
                <w:sz w:val="24"/>
                <w:szCs w:val="24"/>
                <w:color w:val="auto"/>
              </w:rPr>
            </w:pPr>
          </w:p>
        </w:tc>
        <w:tc>
          <w:tcPr>
            <w:tcW w:w="480" w:type="dxa"/>
            <w:vAlign w:val="bottom"/>
            <w:tcBorders>
              <w:bottom w:val="single" w:sz="8" w:color="auto"/>
              <w:right w:val="single" w:sz="8" w:color="BFBFBF"/>
            </w:tcBorders>
            <w:shd w:val="clear" w:color="auto" w:fill="BFBFBF"/>
          </w:tcPr>
          <w:p>
            <w:pPr>
              <w:spacing w:after="0"/>
              <w:rPr>
                <w:sz w:val="24"/>
                <w:szCs w:val="24"/>
                <w:color w:val="auto"/>
              </w:rPr>
            </w:pPr>
          </w:p>
        </w:tc>
        <w:tc>
          <w:tcPr>
            <w:tcW w:w="20" w:type="dxa"/>
            <w:vAlign w:val="bottom"/>
            <w:tcBorders>
              <w:bottom w:val="single" w:sz="8" w:color="auto"/>
            </w:tcBorders>
            <w:shd w:val="clear" w:color="auto" w:fill="BFBFBF"/>
          </w:tcPr>
          <w:p>
            <w:pPr>
              <w:spacing w:after="0"/>
              <w:rPr>
                <w:sz w:val="24"/>
                <w:szCs w:val="24"/>
                <w:color w:val="auto"/>
              </w:rPr>
            </w:pPr>
          </w:p>
        </w:tc>
        <w:tc>
          <w:tcPr>
            <w:tcW w:w="832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22,031,746 (1)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8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22,031,746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22,031,746 (1)</w:t>
            </w: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4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24.5% (1)</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-6171565</wp:posOffset>
            </wp:positionV>
            <wp:extent cx="7132320" cy="62833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283325"/>
                    </a:xfrm>
                    <a:prstGeom prst="rect">
                      <a:avLst/>
                    </a:prstGeom>
                    <a:noFill/>
                  </pic:spPr>
                </pic:pic>
              </a:graphicData>
            </a:graphic>
          </wp:anchor>
        </w:drawing>
      </w:r>
    </w:p>
    <w:p>
      <w:pPr>
        <w:spacing w:after="0" w:line="128" w:lineRule="exact"/>
        <w:rPr>
          <w:sz w:val="20"/>
          <w:szCs w:val="20"/>
          <w:color w:val="auto"/>
        </w:rPr>
      </w:pPr>
    </w:p>
    <w:p>
      <w:pPr>
        <w:ind w:right="700" w:firstLine="8"/>
        <w:spacing w:after="0" w:line="258" w:lineRule="auto"/>
        <w:tabs>
          <w:tab w:leader="none" w:pos="30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beneficial ownership as of December 31, 2020. As of the date of filing, the Reporting Person named above beneficially owned 17,757,901 shares of Common Stock, representing 19.5% of the outstanding Common Stock.</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00402L107</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13G</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9640" w:type="dxa"/>
            <w:vAlign w:val="bottom"/>
            <w:tcBorders>
              <w:bottom w:val="single" w:sz="8" w:color="auto"/>
            </w:tcBorders>
            <w:gridSpan w:val="5"/>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w w:val="98"/>
              </w:rPr>
              <w:t>Allstar LLC</w:t>
            </w: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964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9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2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260" w:type="dxa"/>
            <w:vAlign w:val="bottom"/>
            <w:shd w:val="clear" w:color="auto" w:fill="BFBFBF"/>
          </w:tcPr>
          <w:p>
            <w:pPr>
              <w:spacing w:after="0"/>
              <w:rPr>
                <w:sz w:val="23"/>
                <w:szCs w:val="23"/>
                <w:color w:val="auto"/>
              </w:rPr>
            </w:pPr>
          </w:p>
        </w:tc>
        <w:tc>
          <w:tcPr>
            <w:tcW w:w="40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832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260" w:type="dxa"/>
            <w:vAlign w:val="bottom"/>
            <w:tcBorders>
              <w:bottom w:val="single" w:sz="8" w:color="auto"/>
            </w:tcBorders>
            <w:shd w:val="clear" w:color="auto" w:fill="BFBFBF"/>
          </w:tcPr>
          <w:p>
            <w:pPr>
              <w:spacing w:after="0"/>
              <w:rPr>
                <w:sz w:val="24"/>
                <w:szCs w:val="24"/>
                <w:color w:val="auto"/>
              </w:rPr>
            </w:pPr>
          </w:p>
        </w:tc>
        <w:tc>
          <w:tcPr>
            <w:tcW w:w="400" w:type="dxa"/>
            <w:vAlign w:val="bottom"/>
            <w:tcBorders>
              <w:bottom w:val="single" w:sz="8" w:color="auto"/>
              <w:right w:val="single" w:sz="8" w:color="BFBFBF"/>
            </w:tcBorders>
            <w:shd w:val="clear" w:color="auto" w:fill="BFBFBF"/>
          </w:tcPr>
          <w:p>
            <w:pPr>
              <w:spacing w:after="0"/>
              <w:rPr>
                <w:sz w:val="24"/>
                <w:szCs w:val="24"/>
                <w:color w:val="auto"/>
              </w:rPr>
            </w:pPr>
          </w:p>
        </w:tc>
        <w:tc>
          <w:tcPr>
            <w:tcW w:w="20" w:type="dxa"/>
            <w:vAlign w:val="bottom"/>
            <w:tcBorders>
              <w:bottom w:val="single" w:sz="8" w:color="auto"/>
            </w:tcBorders>
            <w:shd w:val="clear" w:color="auto" w:fill="BFBFBF"/>
          </w:tcPr>
          <w:p>
            <w:pPr>
              <w:spacing w:after="0"/>
              <w:rPr>
                <w:sz w:val="24"/>
                <w:szCs w:val="24"/>
                <w:color w:val="auto"/>
              </w:rPr>
            </w:pPr>
          </w:p>
        </w:tc>
        <w:tc>
          <w:tcPr>
            <w:tcW w:w="832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28,453,079 (1)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60" w:type="dxa"/>
            <w:vAlign w:val="bottom"/>
          </w:tcPr>
          <w:p>
            <w:pPr>
              <w:spacing w:after="0"/>
              <w:rPr>
                <w:sz w:val="19"/>
                <w:szCs w:val="19"/>
                <w:color w:val="auto"/>
              </w:rPr>
            </w:pPr>
          </w:p>
        </w:tc>
        <w:tc>
          <w:tcPr>
            <w:tcW w:w="40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20" w:type="dxa"/>
            <w:vAlign w:val="bottom"/>
          </w:tcPr>
          <w:p>
            <w:pPr>
              <w:spacing w:after="0"/>
              <w:rPr>
                <w:sz w:val="19"/>
                <w:szCs w:val="19"/>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6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60" w:type="dxa"/>
            <w:vAlign w:val="bottom"/>
          </w:tcPr>
          <w:p>
            <w:pPr>
              <w:spacing w:after="0"/>
              <w:rPr>
                <w:sz w:val="18"/>
                <w:szCs w:val="18"/>
                <w:color w:val="auto"/>
              </w:rPr>
            </w:pPr>
          </w:p>
        </w:tc>
        <w:tc>
          <w:tcPr>
            <w:tcW w:w="40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20" w:type="dxa"/>
            <w:vAlign w:val="bottom"/>
          </w:tcPr>
          <w:p>
            <w:pPr>
              <w:spacing w:after="0"/>
              <w:rPr>
                <w:sz w:val="18"/>
                <w:szCs w:val="18"/>
                <w:color w:val="auto"/>
              </w:rPr>
            </w:pPr>
          </w:p>
        </w:tc>
        <w:tc>
          <w:tcPr>
            <w:tcW w:w="8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28,453,079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28,453,079 (1)</w:t>
            </w: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9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4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31.6% (1)</w:t>
            </w: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-6171565</wp:posOffset>
            </wp:positionV>
            <wp:extent cx="7132320" cy="6283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283325"/>
                    </a:xfrm>
                    <a:prstGeom prst="rect">
                      <a:avLst/>
                    </a:prstGeom>
                    <a:noFill/>
                  </pic:spPr>
                </pic:pic>
              </a:graphicData>
            </a:graphic>
          </wp:anchor>
        </w:drawing>
      </w:r>
    </w:p>
    <w:p>
      <w:pPr>
        <w:spacing w:after="0" w:line="128" w:lineRule="exact"/>
        <w:rPr>
          <w:sz w:val="20"/>
          <w:szCs w:val="20"/>
          <w:color w:val="auto"/>
        </w:rPr>
      </w:pPr>
    </w:p>
    <w:p>
      <w:pPr>
        <w:ind w:right="700" w:firstLine="8"/>
        <w:spacing w:after="0" w:line="258" w:lineRule="auto"/>
        <w:tabs>
          <w:tab w:leader="none" w:pos="30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beneficial ownership as of December 31, 2020. As of the date of filing, the Reporting Person named above beneficially owned 22,933,587 shares of Common Stock, representing 25.2% of the outstanding Common Stock.</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00402L107</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13G</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9640" w:type="dxa"/>
            <w:vAlign w:val="bottom"/>
            <w:tcBorders>
              <w:bottom w:val="single" w:sz="8" w:color="auto"/>
            </w:tcBorders>
            <w:gridSpan w:val="5"/>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974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auto"/>
              </w:rPr>
              <w:t>KKR 2006 Fund (Allstar) L.P.</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974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964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2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180" w:type="dxa"/>
            <w:vAlign w:val="bottom"/>
            <w:shd w:val="clear" w:color="auto" w:fill="BFBFBF"/>
          </w:tcPr>
          <w:p>
            <w:pPr>
              <w:spacing w:after="0"/>
              <w:rPr>
                <w:sz w:val="23"/>
                <w:szCs w:val="23"/>
                <w:color w:val="auto"/>
              </w:rPr>
            </w:pPr>
          </w:p>
        </w:tc>
        <w:tc>
          <w:tcPr>
            <w:tcW w:w="48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832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180" w:type="dxa"/>
            <w:vAlign w:val="bottom"/>
            <w:tcBorders>
              <w:bottom w:val="single" w:sz="8" w:color="auto"/>
            </w:tcBorders>
            <w:shd w:val="clear" w:color="auto" w:fill="BFBFBF"/>
          </w:tcPr>
          <w:p>
            <w:pPr>
              <w:spacing w:after="0"/>
              <w:rPr>
                <w:sz w:val="24"/>
                <w:szCs w:val="24"/>
                <w:color w:val="auto"/>
              </w:rPr>
            </w:pPr>
          </w:p>
        </w:tc>
        <w:tc>
          <w:tcPr>
            <w:tcW w:w="480" w:type="dxa"/>
            <w:vAlign w:val="bottom"/>
            <w:tcBorders>
              <w:bottom w:val="single" w:sz="8" w:color="auto"/>
              <w:right w:val="single" w:sz="8" w:color="BFBFBF"/>
            </w:tcBorders>
            <w:shd w:val="clear" w:color="auto" w:fill="BFBFBF"/>
          </w:tcPr>
          <w:p>
            <w:pPr>
              <w:spacing w:after="0"/>
              <w:rPr>
                <w:sz w:val="24"/>
                <w:szCs w:val="24"/>
                <w:color w:val="auto"/>
              </w:rPr>
            </w:pPr>
          </w:p>
        </w:tc>
        <w:tc>
          <w:tcPr>
            <w:tcW w:w="20" w:type="dxa"/>
            <w:vAlign w:val="bottom"/>
            <w:tcBorders>
              <w:bottom w:val="single" w:sz="8" w:color="auto"/>
            </w:tcBorders>
            <w:shd w:val="clear" w:color="auto" w:fill="BFBFBF"/>
          </w:tcPr>
          <w:p>
            <w:pPr>
              <w:spacing w:after="0"/>
              <w:rPr>
                <w:sz w:val="24"/>
                <w:szCs w:val="24"/>
                <w:color w:val="auto"/>
              </w:rPr>
            </w:pPr>
          </w:p>
        </w:tc>
        <w:tc>
          <w:tcPr>
            <w:tcW w:w="832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1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1320" w:type="dxa"/>
            <w:vAlign w:val="bottom"/>
            <w:gridSpan w:val="4"/>
            <w:vMerge w:val="continue"/>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28,453,079 (1)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8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28,453,079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28,453,079 (1)</w:t>
            </w: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4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31.6% (1)</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-6171565</wp:posOffset>
            </wp:positionV>
            <wp:extent cx="7132320" cy="6283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283325"/>
                    </a:xfrm>
                    <a:prstGeom prst="rect">
                      <a:avLst/>
                    </a:prstGeom>
                    <a:noFill/>
                  </pic:spPr>
                </pic:pic>
              </a:graphicData>
            </a:graphic>
          </wp:anchor>
        </w:drawing>
      </w:r>
    </w:p>
    <w:p>
      <w:pPr>
        <w:spacing w:after="0" w:line="128" w:lineRule="exact"/>
        <w:rPr>
          <w:sz w:val="20"/>
          <w:szCs w:val="20"/>
          <w:color w:val="auto"/>
        </w:rPr>
      </w:pPr>
    </w:p>
    <w:p>
      <w:pPr>
        <w:ind w:right="700" w:firstLine="8"/>
        <w:spacing w:after="0" w:line="258" w:lineRule="auto"/>
        <w:tabs>
          <w:tab w:leader="none" w:pos="30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beneficial ownership as of December 31, 2020. As of the date of filing, the Reporting Person named above beneficially owned 22,933,587 shares of Common Stock, representing 25.2% of the outstanding Common Stock.</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00402L107</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13G</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9640" w:type="dxa"/>
            <w:vAlign w:val="bottom"/>
            <w:tcBorders>
              <w:bottom w:val="single" w:sz="8" w:color="auto"/>
            </w:tcBorders>
            <w:gridSpan w:val="5"/>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974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auto"/>
              </w:rPr>
              <w:t>KKR Associates 2006 AIV L.P.</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974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964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2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180" w:type="dxa"/>
            <w:vAlign w:val="bottom"/>
            <w:shd w:val="clear" w:color="auto" w:fill="BFBFBF"/>
          </w:tcPr>
          <w:p>
            <w:pPr>
              <w:spacing w:after="0"/>
              <w:rPr>
                <w:sz w:val="23"/>
                <w:szCs w:val="23"/>
                <w:color w:val="auto"/>
              </w:rPr>
            </w:pPr>
          </w:p>
        </w:tc>
        <w:tc>
          <w:tcPr>
            <w:tcW w:w="48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832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180" w:type="dxa"/>
            <w:vAlign w:val="bottom"/>
            <w:tcBorders>
              <w:bottom w:val="single" w:sz="8" w:color="auto"/>
            </w:tcBorders>
            <w:shd w:val="clear" w:color="auto" w:fill="BFBFBF"/>
          </w:tcPr>
          <w:p>
            <w:pPr>
              <w:spacing w:after="0"/>
              <w:rPr>
                <w:sz w:val="24"/>
                <w:szCs w:val="24"/>
                <w:color w:val="auto"/>
              </w:rPr>
            </w:pPr>
          </w:p>
        </w:tc>
        <w:tc>
          <w:tcPr>
            <w:tcW w:w="480" w:type="dxa"/>
            <w:vAlign w:val="bottom"/>
            <w:tcBorders>
              <w:bottom w:val="single" w:sz="8" w:color="auto"/>
              <w:right w:val="single" w:sz="8" w:color="BFBFBF"/>
            </w:tcBorders>
            <w:shd w:val="clear" w:color="auto" w:fill="BFBFBF"/>
          </w:tcPr>
          <w:p>
            <w:pPr>
              <w:spacing w:after="0"/>
              <w:rPr>
                <w:sz w:val="24"/>
                <w:szCs w:val="24"/>
                <w:color w:val="auto"/>
              </w:rPr>
            </w:pPr>
          </w:p>
        </w:tc>
        <w:tc>
          <w:tcPr>
            <w:tcW w:w="20" w:type="dxa"/>
            <w:vAlign w:val="bottom"/>
            <w:tcBorders>
              <w:bottom w:val="single" w:sz="8" w:color="auto"/>
            </w:tcBorders>
            <w:shd w:val="clear" w:color="auto" w:fill="BFBFBF"/>
          </w:tcPr>
          <w:p>
            <w:pPr>
              <w:spacing w:after="0"/>
              <w:rPr>
                <w:sz w:val="24"/>
                <w:szCs w:val="24"/>
                <w:color w:val="auto"/>
              </w:rPr>
            </w:pPr>
          </w:p>
        </w:tc>
        <w:tc>
          <w:tcPr>
            <w:tcW w:w="832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1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1320" w:type="dxa"/>
            <w:vAlign w:val="bottom"/>
            <w:gridSpan w:val="4"/>
            <w:vMerge w:val="continue"/>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28,453,079 (1)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8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28,453,079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28,453,079 (1)</w:t>
            </w: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4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31.6% (1)</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-6171565</wp:posOffset>
            </wp:positionV>
            <wp:extent cx="7132320" cy="6283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6283325"/>
                    </a:xfrm>
                    <a:prstGeom prst="rect">
                      <a:avLst/>
                    </a:prstGeom>
                    <a:noFill/>
                  </pic:spPr>
                </pic:pic>
              </a:graphicData>
            </a:graphic>
          </wp:anchor>
        </w:drawing>
      </w:r>
    </w:p>
    <w:p>
      <w:pPr>
        <w:spacing w:after="0" w:line="128" w:lineRule="exact"/>
        <w:rPr>
          <w:sz w:val="20"/>
          <w:szCs w:val="20"/>
          <w:color w:val="auto"/>
        </w:rPr>
      </w:pPr>
    </w:p>
    <w:p>
      <w:pPr>
        <w:ind w:right="700" w:firstLine="8"/>
        <w:spacing w:after="0" w:line="258" w:lineRule="auto"/>
        <w:tabs>
          <w:tab w:leader="none" w:pos="30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beneficial ownership as of December 31, 2020. As of the date of filing, the Reporting Person named above beneficially owned 22,933,587 shares of Common Stock, representing 25.2% of the outstanding Common Stock.</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00402L107</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13G</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9640" w:type="dxa"/>
            <w:vAlign w:val="bottom"/>
            <w:tcBorders>
              <w:bottom w:val="single" w:sz="8" w:color="auto"/>
            </w:tcBorders>
            <w:gridSpan w:val="5"/>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974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auto"/>
              </w:rPr>
              <w:t>KKR 2006 AIV GP LLC</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974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964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2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180" w:type="dxa"/>
            <w:vAlign w:val="bottom"/>
            <w:shd w:val="clear" w:color="auto" w:fill="BFBFBF"/>
          </w:tcPr>
          <w:p>
            <w:pPr>
              <w:spacing w:after="0"/>
              <w:rPr>
                <w:sz w:val="23"/>
                <w:szCs w:val="23"/>
                <w:color w:val="auto"/>
              </w:rPr>
            </w:pPr>
          </w:p>
        </w:tc>
        <w:tc>
          <w:tcPr>
            <w:tcW w:w="48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832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180" w:type="dxa"/>
            <w:vAlign w:val="bottom"/>
            <w:tcBorders>
              <w:bottom w:val="single" w:sz="8" w:color="auto"/>
            </w:tcBorders>
            <w:shd w:val="clear" w:color="auto" w:fill="BFBFBF"/>
          </w:tcPr>
          <w:p>
            <w:pPr>
              <w:spacing w:after="0"/>
              <w:rPr>
                <w:sz w:val="24"/>
                <w:szCs w:val="24"/>
                <w:color w:val="auto"/>
              </w:rPr>
            </w:pPr>
          </w:p>
        </w:tc>
        <w:tc>
          <w:tcPr>
            <w:tcW w:w="480" w:type="dxa"/>
            <w:vAlign w:val="bottom"/>
            <w:tcBorders>
              <w:bottom w:val="single" w:sz="8" w:color="auto"/>
              <w:right w:val="single" w:sz="8" w:color="BFBFBF"/>
            </w:tcBorders>
            <w:shd w:val="clear" w:color="auto" w:fill="BFBFBF"/>
          </w:tcPr>
          <w:p>
            <w:pPr>
              <w:spacing w:after="0"/>
              <w:rPr>
                <w:sz w:val="24"/>
                <w:szCs w:val="24"/>
                <w:color w:val="auto"/>
              </w:rPr>
            </w:pPr>
          </w:p>
        </w:tc>
        <w:tc>
          <w:tcPr>
            <w:tcW w:w="20" w:type="dxa"/>
            <w:vAlign w:val="bottom"/>
            <w:tcBorders>
              <w:bottom w:val="single" w:sz="8" w:color="auto"/>
            </w:tcBorders>
            <w:shd w:val="clear" w:color="auto" w:fill="BFBFBF"/>
          </w:tcPr>
          <w:p>
            <w:pPr>
              <w:spacing w:after="0"/>
              <w:rPr>
                <w:sz w:val="24"/>
                <w:szCs w:val="24"/>
                <w:color w:val="auto"/>
              </w:rPr>
            </w:pPr>
          </w:p>
        </w:tc>
        <w:tc>
          <w:tcPr>
            <w:tcW w:w="832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1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1320" w:type="dxa"/>
            <w:vAlign w:val="bottom"/>
            <w:gridSpan w:val="4"/>
            <w:vMerge w:val="continue"/>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61,587,301 (1)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8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61,587,301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61,587,301 (1)</w:t>
            </w: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4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68.5% (1)</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-6171565</wp:posOffset>
            </wp:positionV>
            <wp:extent cx="7132320" cy="6283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283325"/>
                    </a:xfrm>
                    <a:prstGeom prst="rect">
                      <a:avLst/>
                    </a:prstGeom>
                    <a:noFill/>
                  </pic:spPr>
                </pic:pic>
              </a:graphicData>
            </a:graphic>
          </wp:anchor>
        </w:drawing>
      </w:r>
    </w:p>
    <w:p>
      <w:pPr>
        <w:spacing w:after="0" w:line="128" w:lineRule="exact"/>
        <w:rPr>
          <w:sz w:val="20"/>
          <w:szCs w:val="20"/>
          <w:color w:val="auto"/>
        </w:rPr>
      </w:pPr>
    </w:p>
    <w:p>
      <w:pPr>
        <w:ind w:right="700" w:firstLine="8"/>
        <w:spacing w:after="0" w:line="258" w:lineRule="auto"/>
        <w:tabs>
          <w:tab w:leader="none" w:pos="30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beneficial ownership as of December 31, 2020. As of the date of filing, the Reporting Person named above beneficially owned 49,640,242 shares of Common Stock, representing 54.6% of the outstanding Common Stock.</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00402L107</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13G</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9640" w:type="dxa"/>
            <w:vAlign w:val="bottom"/>
            <w:tcBorders>
              <w:bottom w:val="single" w:sz="8" w:color="auto"/>
            </w:tcBorders>
            <w:gridSpan w:val="5"/>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974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auto"/>
              </w:rPr>
              <w:t>KKR Group Partnership L.P.</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974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964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2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180" w:type="dxa"/>
            <w:vAlign w:val="bottom"/>
            <w:shd w:val="clear" w:color="auto" w:fill="BFBFBF"/>
          </w:tcPr>
          <w:p>
            <w:pPr>
              <w:spacing w:after="0"/>
              <w:rPr>
                <w:sz w:val="23"/>
                <w:szCs w:val="23"/>
                <w:color w:val="auto"/>
              </w:rPr>
            </w:pPr>
          </w:p>
        </w:tc>
        <w:tc>
          <w:tcPr>
            <w:tcW w:w="48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832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180" w:type="dxa"/>
            <w:vAlign w:val="bottom"/>
            <w:tcBorders>
              <w:bottom w:val="single" w:sz="8" w:color="auto"/>
            </w:tcBorders>
            <w:shd w:val="clear" w:color="auto" w:fill="BFBFBF"/>
          </w:tcPr>
          <w:p>
            <w:pPr>
              <w:spacing w:after="0"/>
              <w:rPr>
                <w:sz w:val="24"/>
                <w:szCs w:val="24"/>
                <w:color w:val="auto"/>
              </w:rPr>
            </w:pPr>
          </w:p>
        </w:tc>
        <w:tc>
          <w:tcPr>
            <w:tcW w:w="480" w:type="dxa"/>
            <w:vAlign w:val="bottom"/>
            <w:tcBorders>
              <w:bottom w:val="single" w:sz="8" w:color="auto"/>
              <w:right w:val="single" w:sz="8" w:color="BFBFBF"/>
            </w:tcBorders>
            <w:shd w:val="clear" w:color="auto" w:fill="BFBFBF"/>
          </w:tcPr>
          <w:p>
            <w:pPr>
              <w:spacing w:after="0"/>
              <w:rPr>
                <w:sz w:val="24"/>
                <w:szCs w:val="24"/>
                <w:color w:val="auto"/>
              </w:rPr>
            </w:pPr>
          </w:p>
        </w:tc>
        <w:tc>
          <w:tcPr>
            <w:tcW w:w="20" w:type="dxa"/>
            <w:vAlign w:val="bottom"/>
            <w:tcBorders>
              <w:bottom w:val="single" w:sz="8" w:color="auto"/>
            </w:tcBorders>
            <w:shd w:val="clear" w:color="auto" w:fill="BFBFBF"/>
          </w:tcPr>
          <w:p>
            <w:pPr>
              <w:spacing w:after="0"/>
              <w:rPr>
                <w:sz w:val="24"/>
                <w:szCs w:val="24"/>
                <w:color w:val="auto"/>
              </w:rPr>
            </w:pPr>
          </w:p>
        </w:tc>
        <w:tc>
          <w:tcPr>
            <w:tcW w:w="832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1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1320" w:type="dxa"/>
            <w:vAlign w:val="bottom"/>
            <w:gridSpan w:val="4"/>
            <w:vMerge w:val="continue"/>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61,587,301 (1)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8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61,587,301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61,587,301 (1)</w:t>
            </w: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4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68.5% (1)</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-6171565</wp:posOffset>
            </wp:positionV>
            <wp:extent cx="7132320" cy="6283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6283325"/>
                    </a:xfrm>
                    <a:prstGeom prst="rect">
                      <a:avLst/>
                    </a:prstGeom>
                    <a:noFill/>
                  </pic:spPr>
                </pic:pic>
              </a:graphicData>
            </a:graphic>
          </wp:anchor>
        </w:drawing>
      </w:r>
    </w:p>
    <w:p>
      <w:pPr>
        <w:spacing w:after="0" w:line="128" w:lineRule="exact"/>
        <w:rPr>
          <w:sz w:val="20"/>
          <w:szCs w:val="20"/>
          <w:color w:val="auto"/>
        </w:rPr>
      </w:pPr>
    </w:p>
    <w:p>
      <w:pPr>
        <w:ind w:right="700" w:firstLine="8"/>
        <w:spacing w:after="0" w:line="258" w:lineRule="auto"/>
        <w:tabs>
          <w:tab w:leader="none" w:pos="30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beneficial ownership as of December 31, 2020. As of the date of filing, the Reporting Person named above beneficially owned 49,640,242 shares of Common Stock, representing 54.6% of the outstanding Common Stock.</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00402L107</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13G</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9640" w:type="dxa"/>
            <w:vAlign w:val="bottom"/>
            <w:tcBorders>
              <w:bottom w:val="single" w:sz="8" w:color="auto"/>
            </w:tcBorders>
            <w:gridSpan w:val="5"/>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974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auto"/>
              </w:rPr>
              <w:t>KKR Group Holdings Corp.</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974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964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2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180" w:type="dxa"/>
            <w:vAlign w:val="bottom"/>
            <w:shd w:val="clear" w:color="auto" w:fill="BFBFBF"/>
          </w:tcPr>
          <w:p>
            <w:pPr>
              <w:spacing w:after="0"/>
              <w:rPr>
                <w:sz w:val="23"/>
                <w:szCs w:val="23"/>
                <w:color w:val="auto"/>
              </w:rPr>
            </w:pPr>
          </w:p>
        </w:tc>
        <w:tc>
          <w:tcPr>
            <w:tcW w:w="48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832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180" w:type="dxa"/>
            <w:vAlign w:val="bottom"/>
            <w:tcBorders>
              <w:bottom w:val="single" w:sz="8" w:color="auto"/>
            </w:tcBorders>
            <w:shd w:val="clear" w:color="auto" w:fill="BFBFBF"/>
          </w:tcPr>
          <w:p>
            <w:pPr>
              <w:spacing w:after="0"/>
              <w:rPr>
                <w:sz w:val="24"/>
                <w:szCs w:val="24"/>
                <w:color w:val="auto"/>
              </w:rPr>
            </w:pPr>
          </w:p>
        </w:tc>
        <w:tc>
          <w:tcPr>
            <w:tcW w:w="480" w:type="dxa"/>
            <w:vAlign w:val="bottom"/>
            <w:tcBorders>
              <w:bottom w:val="single" w:sz="8" w:color="auto"/>
              <w:right w:val="single" w:sz="8" w:color="BFBFBF"/>
            </w:tcBorders>
            <w:shd w:val="clear" w:color="auto" w:fill="BFBFBF"/>
          </w:tcPr>
          <w:p>
            <w:pPr>
              <w:spacing w:after="0"/>
              <w:rPr>
                <w:sz w:val="24"/>
                <w:szCs w:val="24"/>
                <w:color w:val="auto"/>
              </w:rPr>
            </w:pPr>
          </w:p>
        </w:tc>
        <w:tc>
          <w:tcPr>
            <w:tcW w:w="20" w:type="dxa"/>
            <w:vAlign w:val="bottom"/>
            <w:tcBorders>
              <w:bottom w:val="single" w:sz="8" w:color="auto"/>
            </w:tcBorders>
            <w:shd w:val="clear" w:color="auto" w:fill="BFBFBF"/>
          </w:tcPr>
          <w:p>
            <w:pPr>
              <w:spacing w:after="0"/>
              <w:rPr>
                <w:sz w:val="24"/>
                <w:szCs w:val="24"/>
                <w:color w:val="auto"/>
              </w:rPr>
            </w:pPr>
          </w:p>
        </w:tc>
        <w:tc>
          <w:tcPr>
            <w:tcW w:w="832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61,587,301 (1)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8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61,587,301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61,587,301 (1)</w:t>
            </w: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4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68.5% (1)</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CO</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-6171565</wp:posOffset>
            </wp:positionV>
            <wp:extent cx="7132320" cy="62833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6283325"/>
                    </a:xfrm>
                    <a:prstGeom prst="rect">
                      <a:avLst/>
                    </a:prstGeom>
                    <a:noFill/>
                  </pic:spPr>
                </pic:pic>
              </a:graphicData>
            </a:graphic>
          </wp:anchor>
        </w:drawing>
      </w:r>
    </w:p>
    <w:p>
      <w:pPr>
        <w:spacing w:after="0" w:line="128" w:lineRule="exact"/>
        <w:rPr>
          <w:sz w:val="20"/>
          <w:szCs w:val="20"/>
          <w:color w:val="auto"/>
        </w:rPr>
      </w:pPr>
    </w:p>
    <w:p>
      <w:pPr>
        <w:ind w:right="700" w:firstLine="8"/>
        <w:spacing w:after="0" w:line="258" w:lineRule="auto"/>
        <w:tabs>
          <w:tab w:leader="none" w:pos="30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beneficial ownership as of December 31, 2020. As of the date of filing, the Reporting Person named above beneficially owned 49,640,242 shares of Common Stock, representing 54.6% of the outstanding Common Stock.</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00402L107</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13G</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9640" w:type="dxa"/>
            <w:vAlign w:val="bottom"/>
            <w:tcBorders>
              <w:bottom w:val="single" w:sz="8" w:color="auto"/>
            </w:tcBorders>
            <w:gridSpan w:val="5"/>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KKR &amp; Co. Inc.</w:t>
            </w: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1320" w:type="dxa"/>
            <w:vAlign w:val="bottom"/>
            <w:gridSpan w:val="4"/>
            <w:vMerge w:val="continue"/>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964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2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180" w:type="dxa"/>
            <w:vAlign w:val="bottom"/>
            <w:shd w:val="clear" w:color="auto" w:fill="BFBFBF"/>
          </w:tcPr>
          <w:p>
            <w:pPr>
              <w:spacing w:after="0"/>
              <w:rPr>
                <w:sz w:val="23"/>
                <w:szCs w:val="23"/>
                <w:color w:val="auto"/>
              </w:rPr>
            </w:pPr>
          </w:p>
        </w:tc>
        <w:tc>
          <w:tcPr>
            <w:tcW w:w="48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832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180" w:type="dxa"/>
            <w:vAlign w:val="bottom"/>
            <w:tcBorders>
              <w:bottom w:val="single" w:sz="8" w:color="auto"/>
            </w:tcBorders>
            <w:shd w:val="clear" w:color="auto" w:fill="BFBFBF"/>
          </w:tcPr>
          <w:p>
            <w:pPr>
              <w:spacing w:after="0"/>
              <w:rPr>
                <w:sz w:val="24"/>
                <w:szCs w:val="24"/>
                <w:color w:val="auto"/>
              </w:rPr>
            </w:pPr>
          </w:p>
        </w:tc>
        <w:tc>
          <w:tcPr>
            <w:tcW w:w="480" w:type="dxa"/>
            <w:vAlign w:val="bottom"/>
            <w:tcBorders>
              <w:bottom w:val="single" w:sz="8" w:color="auto"/>
              <w:right w:val="single" w:sz="8" w:color="BFBFBF"/>
            </w:tcBorders>
            <w:shd w:val="clear" w:color="auto" w:fill="BFBFBF"/>
          </w:tcPr>
          <w:p>
            <w:pPr>
              <w:spacing w:after="0"/>
              <w:rPr>
                <w:sz w:val="24"/>
                <w:szCs w:val="24"/>
                <w:color w:val="auto"/>
              </w:rPr>
            </w:pPr>
          </w:p>
        </w:tc>
        <w:tc>
          <w:tcPr>
            <w:tcW w:w="20" w:type="dxa"/>
            <w:vAlign w:val="bottom"/>
            <w:tcBorders>
              <w:bottom w:val="single" w:sz="8" w:color="auto"/>
            </w:tcBorders>
            <w:shd w:val="clear" w:color="auto" w:fill="BFBFBF"/>
          </w:tcPr>
          <w:p>
            <w:pPr>
              <w:spacing w:after="0"/>
              <w:rPr>
                <w:sz w:val="24"/>
                <w:szCs w:val="24"/>
                <w:color w:val="auto"/>
              </w:rPr>
            </w:pPr>
          </w:p>
        </w:tc>
        <w:tc>
          <w:tcPr>
            <w:tcW w:w="832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61,587,301 (1)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8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61,587,301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61,587,301 (1)</w:t>
            </w: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4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68.5% (1)</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CO</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-6171565</wp:posOffset>
            </wp:positionV>
            <wp:extent cx="7132320" cy="62833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6283325"/>
                    </a:xfrm>
                    <a:prstGeom prst="rect">
                      <a:avLst/>
                    </a:prstGeom>
                    <a:noFill/>
                  </pic:spPr>
                </pic:pic>
              </a:graphicData>
            </a:graphic>
          </wp:anchor>
        </w:drawing>
      </w:r>
    </w:p>
    <w:p>
      <w:pPr>
        <w:spacing w:after="0" w:line="128" w:lineRule="exact"/>
        <w:rPr>
          <w:sz w:val="20"/>
          <w:szCs w:val="20"/>
          <w:color w:val="auto"/>
        </w:rPr>
      </w:pPr>
    </w:p>
    <w:p>
      <w:pPr>
        <w:ind w:right="700" w:firstLine="8"/>
        <w:spacing w:after="0" w:line="258" w:lineRule="auto"/>
        <w:tabs>
          <w:tab w:leader="none" w:pos="30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beneficial ownership as of December 31, 2020. As of the date of filing, the Reporting Person named above beneficially owned 49,640,242 shares of Common Stock, representing 54.6% of the outstanding Common Stock.</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00402L107</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13G</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9640" w:type="dxa"/>
            <w:vAlign w:val="bottom"/>
            <w:tcBorders>
              <w:bottom w:val="single" w:sz="8" w:color="auto"/>
            </w:tcBorders>
            <w:gridSpan w:val="5"/>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974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auto"/>
              </w:rPr>
              <w:t>KKR Management LLP</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974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964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2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180" w:type="dxa"/>
            <w:vAlign w:val="bottom"/>
            <w:shd w:val="clear" w:color="auto" w:fill="BFBFBF"/>
          </w:tcPr>
          <w:p>
            <w:pPr>
              <w:spacing w:after="0"/>
              <w:rPr>
                <w:sz w:val="23"/>
                <w:szCs w:val="23"/>
                <w:color w:val="auto"/>
              </w:rPr>
            </w:pPr>
          </w:p>
        </w:tc>
        <w:tc>
          <w:tcPr>
            <w:tcW w:w="48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832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180" w:type="dxa"/>
            <w:vAlign w:val="bottom"/>
            <w:tcBorders>
              <w:bottom w:val="single" w:sz="8" w:color="auto"/>
            </w:tcBorders>
            <w:shd w:val="clear" w:color="auto" w:fill="BFBFBF"/>
          </w:tcPr>
          <w:p>
            <w:pPr>
              <w:spacing w:after="0"/>
              <w:rPr>
                <w:sz w:val="24"/>
                <w:szCs w:val="24"/>
                <w:color w:val="auto"/>
              </w:rPr>
            </w:pPr>
          </w:p>
        </w:tc>
        <w:tc>
          <w:tcPr>
            <w:tcW w:w="480" w:type="dxa"/>
            <w:vAlign w:val="bottom"/>
            <w:tcBorders>
              <w:bottom w:val="single" w:sz="8" w:color="auto"/>
              <w:right w:val="single" w:sz="8" w:color="BFBFBF"/>
            </w:tcBorders>
            <w:shd w:val="clear" w:color="auto" w:fill="BFBFBF"/>
          </w:tcPr>
          <w:p>
            <w:pPr>
              <w:spacing w:after="0"/>
              <w:rPr>
                <w:sz w:val="24"/>
                <w:szCs w:val="24"/>
                <w:color w:val="auto"/>
              </w:rPr>
            </w:pPr>
          </w:p>
        </w:tc>
        <w:tc>
          <w:tcPr>
            <w:tcW w:w="20" w:type="dxa"/>
            <w:vAlign w:val="bottom"/>
            <w:tcBorders>
              <w:bottom w:val="single" w:sz="8" w:color="auto"/>
            </w:tcBorders>
            <w:shd w:val="clear" w:color="auto" w:fill="BFBFBF"/>
          </w:tcPr>
          <w:p>
            <w:pPr>
              <w:spacing w:after="0"/>
              <w:rPr>
                <w:sz w:val="24"/>
                <w:szCs w:val="24"/>
                <w:color w:val="auto"/>
              </w:rPr>
            </w:pPr>
          </w:p>
        </w:tc>
        <w:tc>
          <w:tcPr>
            <w:tcW w:w="832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61,587,301 (1)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8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61,587,301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61,587,301 (1)</w:t>
            </w: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4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68.5% (1)</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-6171565</wp:posOffset>
            </wp:positionV>
            <wp:extent cx="7132320" cy="62833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6283325"/>
                    </a:xfrm>
                    <a:prstGeom prst="rect">
                      <a:avLst/>
                    </a:prstGeom>
                    <a:noFill/>
                  </pic:spPr>
                </pic:pic>
              </a:graphicData>
            </a:graphic>
          </wp:anchor>
        </w:drawing>
      </w:r>
    </w:p>
    <w:p>
      <w:pPr>
        <w:spacing w:after="0" w:line="128" w:lineRule="exact"/>
        <w:rPr>
          <w:sz w:val="20"/>
          <w:szCs w:val="20"/>
          <w:color w:val="auto"/>
        </w:rPr>
      </w:pPr>
    </w:p>
    <w:p>
      <w:pPr>
        <w:ind w:right="700" w:firstLine="8"/>
        <w:spacing w:after="0" w:line="258" w:lineRule="auto"/>
        <w:tabs>
          <w:tab w:leader="none" w:pos="30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beneficial ownership as of December 31, 2020. As of the date of filing, the Reporting Person named above beneficially owned 49,640,242 shares of Common Stock, representing 54.6% of the outstanding Common Stock.</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00402L107</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13G</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9640" w:type="dxa"/>
            <w:vAlign w:val="bottom"/>
            <w:tcBorders>
              <w:bottom w:val="single" w:sz="8" w:color="auto"/>
            </w:tcBorders>
            <w:gridSpan w:val="5"/>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Henry R. Kravis</w:t>
            </w: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1320" w:type="dxa"/>
            <w:vAlign w:val="bottom"/>
            <w:gridSpan w:val="4"/>
            <w:vMerge w:val="continue"/>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964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2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180" w:type="dxa"/>
            <w:vAlign w:val="bottom"/>
            <w:shd w:val="clear" w:color="auto" w:fill="BFBFBF"/>
          </w:tcPr>
          <w:p>
            <w:pPr>
              <w:spacing w:after="0"/>
              <w:rPr>
                <w:sz w:val="23"/>
                <w:szCs w:val="23"/>
                <w:color w:val="auto"/>
              </w:rPr>
            </w:pPr>
          </w:p>
        </w:tc>
        <w:tc>
          <w:tcPr>
            <w:tcW w:w="48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832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180" w:type="dxa"/>
            <w:vAlign w:val="bottom"/>
            <w:tcBorders>
              <w:bottom w:val="single" w:sz="8" w:color="auto"/>
            </w:tcBorders>
            <w:shd w:val="clear" w:color="auto" w:fill="BFBFBF"/>
          </w:tcPr>
          <w:p>
            <w:pPr>
              <w:spacing w:after="0"/>
              <w:rPr>
                <w:sz w:val="24"/>
                <w:szCs w:val="24"/>
                <w:color w:val="auto"/>
              </w:rPr>
            </w:pPr>
          </w:p>
        </w:tc>
        <w:tc>
          <w:tcPr>
            <w:tcW w:w="480" w:type="dxa"/>
            <w:vAlign w:val="bottom"/>
            <w:tcBorders>
              <w:bottom w:val="single" w:sz="8" w:color="auto"/>
              <w:right w:val="single" w:sz="8" w:color="BFBFBF"/>
            </w:tcBorders>
            <w:shd w:val="clear" w:color="auto" w:fill="BFBFBF"/>
          </w:tcPr>
          <w:p>
            <w:pPr>
              <w:spacing w:after="0"/>
              <w:rPr>
                <w:sz w:val="24"/>
                <w:szCs w:val="24"/>
                <w:color w:val="auto"/>
              </w:rPr>
            </w:pPr>
          </w:p>
        </w:tc>
        <w:tc>
          <w:tcPr>
            <w:tcW w:w="20" w:type="dxa"/>
            <w:vAlign w:val="bottom"/>
            <w:tcBorders>
              <w:bottom w:val="single" w:sz="8" w:color="auto"/>
            </w:tcBorders>
            <w:shd w:val="clear" w:color="auto" w:fill="BFBFBF"/>
          </w:tcPr>
          <w:p>
            <w:pPr>
              <w:spacing w:after="0"/>
              <w:rPr>
                <w:sz w:val="24"/>
                <w:szCs w:val="24"/>
                <w:color w:val="auto"/>
              </w:rPr>
            </w:pPr>
          </w:p>
        </w:tc>
        <w:tc>
          <w:tcPr>
            <w:tcW w:w="832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1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1320" w:type="dxa"/>
            <w:vAlign w:val="bottom"/>
            <w:gridSpan w:val="4"/>
            <w:vMerge w:val="continue"/>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61,587,301 (1)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8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61,587,301 (1)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61,587,301 (1)</w:t>
            </w: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4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68.5% (1)</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-6171565</wp:posOffset>
            </wp:positionV>
            <wp:extent cx="7132320" cy="62833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6283325"/>
                    </a:xfrm>
                    <a:prstGeom prst="rect">
                      <a:avLst/>
                    </a:prstGeom>
                    <a:noFill/>
                  </pic:spPr>
                </pic:pic>
              </a:graphicData>
            </a:graphic>
          </wp:anchor>
        </w:drawing>
      </w:r>
    </w:p>
    <w:p>
      <w:pPr>
        <w:spacing w:after="0" w:line="128" w:lineRule="exact"/>
        <w:rPr>
          <w:sz w:val="20"/>
          <w:szCs w:val="20"/>
          <w:color w:val="auto"/>
        </w:rPr>
      </w:pPr>
    </w:p>
    <w:p>
      <w:pPr>
        <w:ind w:right="700" w:firstLine="8"/>
        <w:spacing w:after="0" w:line="258" w:lineRule="auto"/>
        <w:tabs>
          <w:tab w:leader="none" w:pos="30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beneficial ownership as of December 31, 2020. As of the date of filing, the Reporting Person named above beneficially owned 49,640,242 shares of Common Stock, representing 54.6% of the outstanding Common Stock.</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00402L107</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13G</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9640" w:type="dxa"/>
            <w:vAlign w:val="bottom"/>
            <w:tcBorders>
              <w:bottom w:val="single" w:sz="8" w:color="auto"/>
            </w:tcBorders>
            <w:gridSpan w:val="5"/>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974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auto"/>
              </w:rPr>
              <w:t>George R. Roberts</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974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964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80" w:type="dxa"/>
            <w:vAlign w:val="bottom"/>
            <w:tcBorders>
              <w:right w:val="single" w:sz="8" w:color="auto"/>
            </w:tcBorders>
          </w:tcPr>
          <w:p>
            <w:pPr>
              <w:spacing w:after="0"/>
              <w:rPr>
                <w:sz w:val="20"/>
                <w:szCs w:val="20"/>
                <w:color w:val="auto"/>
              </w:rPr>
            </w:pP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2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640" w:type="dxa"/>
            <w:vAlign w:val="bottom"/>
            <w:tcBorders>
              <w:right w:val="single" w:sz="8" w:color="BFBFBF"/>
            </w:tcBorders>
            <w:shd w:val="clear" w:color="auto" w:fill="BFBFBF"/>
          </w:tcPr>
          <w:p>
            <w:pPr>
              <w:spacing w:after="0"/>
              <w:rPr>
                <w:sz w:val="23"/>
                <w:szCs w:val="23"/>
                <w:color w:val="auto"/>
              </w:rPr>
            </w:pPr>
          </w:p>
        </w:tc>
        <w:tc>
          <w:tcPr>
            <w:tcW w:w="180" w:type="dxa"/>
            <w:vAlign w:val="bottom"/>
            <w:shd w:val="clear" w:color="auto" w:fill="BFBFBF"/>
          </w:tcPr>
          <w:p>
            <w:pPr>
              <w:spacing w:after="0"/>
              <w:rPr>
                <w:sz w:val="23"/>
                <w:szCs w:val="23"/>
                <w:color w:val="auto"/>
              </w:rPr>
            </w:pPr>
          </w:p>
        </w:tc>
        <w:tc>
          <w:tcPr>
            <w:tcW w:w="480" w:type="dxa"/>
            <w:vAlign w:val="bottom"/>
            <w:tcBorders>
              <w:right w:val="single" w:sz="8" w:color="BFBFBF"/>
            </w:tcBorders>
            <w:shd w:val="clear" w:color="auto" w:fill="BFBFBF"/>
          </w:tcPr>
          <w:p>
            <w:pPr>
              <w:spacing w:after="0"/>
              <w:rPr>
                <w:sz w:val="23"/>
                <w:szCs w:val="23"/>
                <w:color w:val="auto"/>
              </w:rPr>
            </w:pPr>
          </w:p>
        </w:tc>
        <w:tc>
          <w:tcPr>
            <w:tcW w:w="20" w:type="dxa"/>
            <w:vAlign w:val="bottom"/>
            <w:shd w:val="clear" w:color="auto" w:fill="BFBFBF"/>
          </w:tcPr>
          <w:p>
            <w:pPr>
              <w:spacing w:after="0"/>
              <w:rPr>
                <w:sz w:val="23"/>
                <w:szCs w:val="23"/>
                <w:color w:val="auto"/>
              </w:rPr>
            </w:pPr>
          </w:p>
        </w:tc>
        <w:tc>
          <w:tcPr>
            <w:tcW w:w="832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180" w:type="dxa"/>
            <w:vAlign w:val="bottom"/>
            <w:tcBorders>
              <w:bottom w:val="single" w:sz="8" w:color="auto"/>
            </w:tcBorders>
            <w:shd w:val="clear" w:color="auto" w:fill="BFBFBF"/>
          </w:tcPr>
          <w:p>
            <w:pPr>
              <w:spacing w:after="0"/>
              <w:rPr>
                <w:sz w:val="24"/>
                <w:szCs w:val="24"/>
                <w:color w:val="auto"/>
              </w:rPr>
            </w:pPr>
          </w:p>
        </w:tc>
        <w:tc>
          <w:tcPr>
            <w:tcW w:w="480" w:type="dxa"/>
            <w:vAlign w:val="bottom"/>
            <w:tcBorders>
              <w:bottom w:val="single" w:sz="8" w:color="auto"/>
              <w:right w:val="single" w:sz="8" w:color="BFBFBF"/>
            </w:tcBorders>
            <w:shd w:val="clear" w:color="auto" w:fill="BFBFBF"/>
          </w:tcPr>
          <w:p>
            <w:pPr>
              <w:spacing w:after="0"/>
              <w:rPr>
                <w:sz w:val="24"/>
                <w:szCs w:val="24"/>
                <w:color w:val="auto"/>
              </w:rPr>
            </w:pPr>
          </w:p>
        </w:tc>
        <w:tc>
          <w:tcPr>
            <w:tcW w:w="20" w:type="dxa"/>
            <w:vAlign w:val="bottom"/>
            <w:tcBorders>
              <w:bottom w:val="single" w:sz="8" w:color="auto"/>
            </w:tcBorders>
            <w:shd w:val="clear" w:color="auto" w:fill="BFBFBF"/>
          </w:tcPr>
          <w:p>
            <w:pPr>
              <w:spacing w:after="0"/>
              <w:rPr>
                <w:sz w:val="24"/>
                <w:szCs w:val="24"/>
                <w:color w:val="auto"/>
              </w:rPr>
            </w:pPr>
          </w:p>
        </w:tc>
        <w:tc>
          <w:tcPr>
            <w:tcW w:w="832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100" w:type="dxa"/>
            <w:vAlign w:val="bottom"/>
            <w:tcBorders>
              <w:bottom w:val="single" w:sz="8" w:color="auto"/>
            </w:tcBorders>
            <w:shd w:val="clear" w:color="auto" w:fill="BFBFBF"/>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1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auto"/>
            </w:tcBorders>
          </w:tcPr>
          <w:p>
            <w:pPr>
              <w:spacing w:after="0"/>
              <w:rPr>
                <w:sz w:val="11"/>
                <w:szCs w:val="11"/>
                <w:color w:val="auto"/>
              </w:rPr>
            </w:pPr>
          </w:p>
        </w:tc>
        <w:tc>
          <w:tcPr>
            <w:tcW w:w="1320" w:type="dxa"/>
            <w:vAlign w:val="bottom"/>
            <w:gridSpan w:val="4"/>
            <w:vMerge w:val="continue"/>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61,587,301 (1)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2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18"/>
                <w:szCs w:val="18"/>
                <w:color w:val="auto"/>
              </w:rPr>
            </w:pPr>
          </w:p>
        </w:tc>
        <w:tc>
          <w:tcPr>
            <w:tcW w:w="8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23"/>
                <w:szCs w:val="23"/>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61,587,301 (1)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61,587,301 (1)</w:t>
            </w: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4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68.5% (1)</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4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9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-6171565</wp:posOffset>
            </wp:positionV>
            <wp:extent cx="7132320" cy="62833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6283325"/>
                    </a:xfrm>
                    <a:prstGeom prst="rect">
                      <a:avLst/>
                    </a:prstGeom>
                    <a:noFill/>
                  </pic:spPr>
                </pic:pic>
              </a:graphicData>
            </a:graphic>
          </wp:anchor>
        </w:drawing>
      </w:r>
    </w:p>
    <w:p>
      <w:pPr>
        <w:spacing w:after="0" w:line="128" w:lineRule="exact"/>
        <w:rPr>
          <w:sz w:val="20"/>
          <w:szCs w:val="20"/>
          <w:color w:val="auto"/>
        </w:rPr>
      </w:pPr>
    </w:p>
    <w:p>
      <w:pPr>
        <w:ind w:right="700" w:firstLine="8"/>
        <w:spacing w:after="0" w:line="258" w:lineRule="auto"/>
        <w:tabs>
          <w:tab w:leader="none" w:pos="30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beneficial ownership as of December 31, 2020. As of the date of filing, the Reporting Person named above beneficially owned 49,640,242 shares of Common Stock, representing 54.6% of the outstanding Common Stock.</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CUSIP No. 00402L107</w:t>
            </w:r>
          </w:p>
        </w:tc>
        <w:tc>
          <w:tcPr>
            <w:tcW w:w="222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0"/>
              </w:rPr>
              <w:t>13G</w:t>
            </w:r>
          </w:p>
        </w:tc>
      </w:tr>
    </w:tbl>
    <w:p>
      <w:pPr>
        <w:spacing w:after="0" w:line="2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STATEMENT ON SCHEDULE 13G</w:t>
      </w:r>
    </w:p>
    <w:p>
      <w:pPr>
        <w:spacing w:after="0" w:line="2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Pursuant to Rule 13d-1(d) under the Securities Exchange Act of 1934, as amended (the “Act”), each of the persons listed below under Item 2 (each a “Reporting Person,” and collectively the “Reporting Persons”), have agreed to file one statement with respect to their beneficial ownership of Common Stock, par value $0.01 per share (“Common Stock”), of Academy Sports and Outdoors, Inc. (the “Issuer”).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46" w:lineRule="exact"/>
        <w:rPr>
          <w:sz w:val="20"/>
          <w:szCs w:val="20"/>
          <w:color w:val="auto"/>
        </w:rPr>
      </w:pP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Academy Sports and Outdoors, Inc.</w:t>
      </w:r>
    </w:p>
    <w:p>
      <w:pPr>
        <w:spacing w:after="0" w:line="242" w:lineRule="exact"/>
        <w:rPr>
          <w:sz w:val="20"/>
          <w:szCs w:val="20"/>
          <w:color w:val="auto"/>
        </w:rPr>
      </w:pPr>
    </w:p>
    <w:p>
      <w:pPr>
        <w:ind w:left="1300" w:hanging="482"/>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1800 North Mason Road, Katy, Texas 77449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246" w:lineRule="exact"/>
        <w:rPr>
          <w:sz w:val="20"/>
          <w:szCs w:val="20"/>
          <w:color w:val="auto"/>
        </w:rPr>
      </w:pPr>
    </w:p>
    <w:p>
      <w:pPr>
        <w:ind w:left="1300" w:hanging="482"/>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KKR 2006 Allstar Blocker L.P. (“Allstar Blocker”)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Allstar Co-Invest Blocker L.P. (“Allstar Co-Invest”)</w:t>
      </w:r>
    </w:p>
    <w:p>
      <w:pPr>
        <w:ind w:left="1300"/>
        <w:spacing w:after="0" w:line="230" w:lineRule="auto"/>
        <w:rPr>
          <w:sz w:val="20"/>
          <w:szCs w:val="20"/>
          <w:color w:val="auto"/>
        </w:rPr>
      </w:pPr>
      <w:r>
        <w:rPr>
          <w:rFonts w:ascii="Times New Roman" w:cs="Times New Roman" w:eastAsia="Times New Roman" w:hAnsi="Times New Roman"/>
          <w:sz w:val="22"/>
          <w:szCs w:val="22"/>
          <w:color w:val="auto"/>
        </w:rPr>
        <w:t>Allstar Co-Invest GP LLC (“Allstar Co-Invest GP”)</w:t>
      </w:r>
    </w:p>
    <w:p>
      <w:pPr>
        <w:ind w:left="1300"/>
        <w:spacing w:after="0" w:line="231" w:lineRule="auto"/>
        <w:rPr>
          <w:sz w:val="20"/>
          <w:szCs w:val="20"/>
          <w:color w:val="auto"/>
        </w:rPr>
      </w:pPr>
      <w:r>
        <w:rPr>
          <w:rFonts w:ascii="Times New Roman" w:cs="Times New Roman" w:eastAsia="Times New Roman" w:hAnsi="Times New Roman"/>
          <w:sz w:val="22"/>
          <w:szCs w:val="22"/>
          <w:color w:val="auto"/>
        </w:rPr>
        <w:t>Allstar LLC</w:t>
      </w:r>
    </w:p>
    <w:p>
      <w:pPr>
        <w:ind w:left="1300"/>
        <w:spacing w:after="0" w:line="230" w:lineRule="auto"/>
        <w:rPr>
          <w:sz w:val="20"/>
          <w:szCs w:val="20"/>
          <w:color w:val="auto"/>
        </w:rPr>
      </w:pPr>
      <w:r>
        <w:rPr>
          <w:rFonts w:ascii="Times New Roman" w:cs="Times New Roman" w:eastAsia="Times New Roman" w:hAnsi="Times New Roman"/>
          <w:sz w:val="22"/>
          <w:szCs w:val="22"/>
          <w:color w:val="auto"/>
        </w:rPr>
        <w:t>KKR 2006 Fund (Allstar) L.P. (“Allstar GP”)</w:t>
      </w:r>
    </w:p>
    <w:p>
      <w:pPr>
        <w:ind w:left="1300"/>
        <w:spacing w:after="0" w:line="231" w:lineRule="auto"/>
        <w:rPr>
          <w:sz w:val="20"/>
          <w:szCs w:val="20"/>
          <w:color w:val="auto"/>
        </w:rPr>
      </w:pPr>
      <w:r>
        <w:rPr>
          <w:rFonts w:ascii="Times New Roman" w:cs="Times New Roman" w:eastAsia="Times New Roman" w:hAnsi="Times New Roman"/>
          <w:sz w:val="22"/>
          <w:szCs w:val="22"/>
          <w:color w:val="auto"/>
        </w:rPr>
        <w:t>KKR Associates 2006 AIV L.P. (“KKR Associates 2006”)</w:t>
      </w:r>
    </w:p>
    <w:p>
      <w:pPr>
        <w:ind w:left="1300"/>
        <w:spacing w:after="0" w:line="230" w:lineRule="auto"/>
        <w:rPr>
          <w:sz w:val="20"/>
          <w:szCs w:val="20"/>
          <w:color w:val="auto"/>
        </w:rPr>
      </w:pPr>
      <w:r>
        <w:rPr>
          <w:rFonts w:ascii="Times New Roman" w:cs="Times New Roman" w:eastAsia="Times New Roman" w:hAnsi="Times New Roman"/>
          <w:sz w:val="22"/>
          <w:szCs w:val="22"/>
          <w:color w:val="auto"/>
        </w:rPr>
        <w:t>KKR 2006 AIV GP LLC (“KKR 2006 GP”)</w:t>
      </w:r>
    </w:p>
    <w:p>
      <w:pPr>
        <w:ind w:left="1300"/>
        <w:spacing w:after="0" w:line="231" w:lineRule="auto"/>
        <w:rPr>
          <w:sz w:val="20"/>
          <w:szCs w:val="20"/>
          <w:color w:val="auto"/>
        </w:rPr>
      </w:pPr>
      <w:r>
        <w:rPr>
          <w:rFonts w:ascii="Times New Roman" w:cs="Times New Roman" w:eastAsia="Times New Roman" w:hAnsi="Times New Roman"/>
          <w:sz w:val="22"/>
          <w:szCs w:val="22"/>
          <w:color w:val="auto"/>
        </w:rPr>
        <w:t>KKR Group Partnership L.P. (“KKR Group Partnership”)</w:t>
      </w:r>
    </w:p>
    <w:p>
      <w:pPr>
        <w:ind w:left="1300"/>
        <w:spacing w:after="0" w:line="230" w:lineRule="auto"/>
        <w:rPr>
          <w:sz w:val="20"/>
          <w:szCs w:val="20"/>
          <w:color w:val="auto"/>
        </w:rPr>
      </w:pPr>
      <w:r>
        <w:rPr>
          <w:rFonts w:ascii="Times New Roman" w:cs="Times New Roman" w:eastAsia="Times New Roman" w:hAnsi="Times New Roman"/>
          <w:sz w:val="22"/>
          <w:szCs w:val="22"/>
          <w:color w:val="auto"/>
        </w:rPr>
        <w:t>KKR Group Holdings Corp. (“KKR Group Holdings”)</w:t>
      </w:r>
    </w:p>
    <w:p>
      <w:pPr>
        <w:ind w:left="1300"/>
        <w:spacing w:after="0" w:line="231" w:lineRule="auto"/>
        <w:rPr>
          <w:sz w:val="20"/>
          <w:szCs w:val="20"/>
          <w:color w:val="auto"/>
        </w:rPr>
      </w:pPr>
      <w:r>
        <w:rPr>
          <w:rFonts w:ascii="Times New Roman" w:cs="Times New Roman" w:eastAsia="Times New Roman" w:hAnsi="Times New Roman"/>
          <w:sz w:val="22"/>
          <w:szCs w:val="22"/>
          <w:color w:val="auto"/>
        </w:rPr>
        <w:t>KKR &amp; Co. Inc. (“KKR &amp; Co.”)</w:t>
      </w:r>
    </w:p>
    <w:p>
      <w:pPr>
        <w:ind w:left="1300"/>
        <w:spacing w:after="0" w:line="230" w:lineRule="auto"/>
        <w:rPr>
          <w:sz w:val="20"/>
          <w:szCs w:val="20"/>
          <w:color w:val="auto"/>
        </w:rPr>
      </w:pPr>
      <w:r>
        <w:rPr>
          <w:rFonts w:ascii="Times New Roman" w:cs="Times New Roman" w:eastAsia="Times New Roman" w:hAnsi="Times New Roman"/>
          <w:sz w:val="22"/>
          <w:szCs w:val="22"/>
          <w:color w:val="auto"/>
        </w:rPr>
        <w:t>KKR Management LLP (“KKR Management”)</w:t>
      </w:r>
    </w:p>
    <w:p>
      <w:pPr>
        <w:ind w:left="1300"/>
        <w:spacing w:after="0" w:line="231" w:lineRule="auto"/>
        <w:rPr>
          <w:sz w:val="20"/>
          <w:szCs w:val="20"/>
          <w:color w:val="auto"/>
        </w:rPr>
      </w:pPr>
      <w:r>
        <w:rPr>
          <w:rFonts w:ascii="Times New Roman" w:cs="Times New Roman" w:eastAsia="Times New Roman" w:hAnsi="Times New Roman"/>
          <w:sz w:val="22"/>
          <w:szCs w:val="22"/>
          <w:color w:val="auto"/>
        </w:rPr>
        <w:t>Henry R. Kravis</w:t>
      </w:r>
    </w:p>
    <w:p>
      <w:pPr>
        <w:ind w:left="1300"/>
        <w:spacing w:after="0"/>
        <w:rPr>
          <w:sz w:val="20"/>
          <w:szCs w:val="20"/>
          <w:color w:val="auto"/>
        </w:rPr>
      </w:pPr>
      <w:r>
        <w:rPr>
          <w:rFonts w:ascii="Times New Roman" w:cs="Times New Roman" w:eastAsia="Times New Roman" w:hAnsi="Times New Roman"/>
          <w:sz w:val="22"/>
          <w:szCs w:val="22"/>
          <w:color w:val="auto"/>
        </w:rPr>
        <w:t>George R. Roberts</w:t>
      </w:r>
    </w:p>
    <w:p>
      <w:pPr>
        <w:spacing w:after="0" w:line="218" w:lineRule="exact"/>
        <w:rPr>
          <w:sz w:val="20"/>
          <w:szCs w:val="20"/>
          <w:color w:val="auto"/>
        </w:rPr>
      </w:pPr>
    </w:p>
    <w:p>
      <w:pPr>
        <w:ind w:left="1300" w:hanging="482"/>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principal business office for all persons filing (other than George R. Roberts) is: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Kohlberg Kravis Roberts &amp; Co. 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30 Hudson Yards</w:t>
      </w:r>
    </w:p>
    <w:p>
      <w:pPr>
        <w:ind w:left="1300"/>
        <w:spacing w:after="0"/>
        <w:rPr>
          <w:sz w:val="20"/>
          <w:szCs w:val="20"/>
          <w:color w:val="auto"/>
        </w:rPr>
      </w:pPr>
      <w:r>
        <w:rPr>
          <w:rFonts w:ascii="Times New Roman" w:cs="Times New Roman" w:eastAsia="Times New Roman" w:hAnsi="Times New Roman"/>
          <w:sz w:val="22"/>
          <w:szCs w:val="22"/>
          <w:color w:val="auto"/>
        </w:rPr>
        <w:t>New York, NY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15" w:name="page16"/>
    <w:bookmarkEnd w:id="15"/>
    <w:p>
      <w:pPr>
        <w:ind w:left="1300"/>
        <w:spacing w:after="0"/>
        <w:rPr>
          <w:sz w:val="20"/>
          <w:szCs w:val="20"/>
          <w:color w:val="auto"/>
        </w:rPr>
      </w:pPr>
      <w:r>
        <w:rPr>
          <w:rFonts w:ascii="Times New Roman" w:cs="Times New Roman" w:eastAsia="Times New Roman" w:hAnsi="Times New Roman"/>
          <w:sz w:val="22"/>
          <w:szCs w:val="22"/>
          <w:color w:val="auto"/>
        </w:rPr>
        <w:t>The principal business office for George R. Roberts is:</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Kohlberg Kravis Roberts &amp; Co. 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2800 Sand Hill Road, Suite 200</w:t>
      </w:r>
    </w:p>
    <w:p>
      <w:pPr>
        <w:ind w:left="130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18" w:lineRule="exact"/>
        <w:rPr>
          <w:sz w:val="20"/>
          <w:szCs w:val="20"/>
          <w:color w:val="auto"/>
        </w:rPr>
      </w:pPr>
    </w:p>
    <w:p>
      <w:pPr>
        <w:ind w:left="1300" w:hanging="482"/>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See Item 4 of each cover page.</w:t>
      </w:r>
    </w:p>
    <w:p>
      <w:pPr>
        <w:spacing w:after="0" w:line="242" w:lineRule="exact"/>
        <w:rPr>
          <w:sz w:val="20"/>
          <w:szCs w:val="20"/>
          <w:color w:val="auto"/>
        </w:rPr>
      </w:pPr>
    </w:p>
    <w:p>
      <w:pPr>
        <w:ind w:left="1300" w:hanging="48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42" w:lineRule="exact"/>
        <w:rPr>
          <w:sz w:val="20"/>
          <w:szCs w:val="20"/>
          <w:color w:val="auto"/>
        </w:rPr>
      </w:pPr>
    </w:p>
    <w:p>
      <w:pPr>
        <w:ind w:left="1300" w:hanging="482"/>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00402L107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tab/>
        <w:t>Ownership.</w:t>
      </w:r>
    </w:p>
    <w:p>
      <w:pPr>
        <w:spacing w:after="0" w:line="256" w:lineRule="exact"/>
        <w:rPr>
          <w:sz w:val="20"/>
          <w:szCs w:val="20"/>
          <w:color w:val="auto"/>
        </w:rPr>
      </w:pPr>
    </w:p>
    <w:p>
      <w:pPr>
        <w:ind w:left="1300" w:hanging="482"/>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43" w:lineRule="exact"/>
        <w:rPr>
          <w:sz w:val="20"/>
          <w:szCs w:val="20"/>
          <w:color w:val="auto"/>
        </w:rPr>
      </w:pPr>
    </w:p>
    <w:p>
      <w:pPr>
        <w:ind w:left="1300"/>
        <w:spacing w:after="0" w:line="235" w:lineRule="auto"/>
        <w:rPr>
          <w:sz w:val="20"/>
          <w:szCs w:val="20"/>
          <w:color w:val="auto"/>
        </w:rPr>
      </w:pPr>
      <w:r>
        <w:rPr>
          <w:rFonts w:ascii="Times New Roman" w:cs="Times New Roman" w:eastAsia="Times New Roman" w:hAnsi="Times New Roman"/>
          <w:sz w:val="22"/>
          <w:szCs w:val="22"/>
          <w:color w:val="auto"/>
        </w:rPr>
        <w:t>As of December 31, 2020, Allstar Blocker held 11,102,476 shares of Common Stock, or 12.3% of the outstanding shares of Common Stock, Allstar Co-Invest held 22,031,746 shares of Common Stock, or 24.5% of the outstanding shares of Common Stock, and Allstar LLC held 28,453,079 shares of Common Stock, or 31.6% of the outstanding shares of Common Stock, for an aggregate ownership of the Reporting Persons of 61,587,301 shares of Common Stock, or 68.5% of the outstanding shares of Common Stock. The outstanding shares of Common Stock as of December 31, 2020 is based on 89,913,905 shares of Common Stock outstanding as of December 3, 2020, as reported in the Quarterly Report on Form 10-Q, filed by the Issuer with the Securities and Exchange Commission on December 10, 2020.</w:t>
      </w:r>
    </w:p>
    <w:p>
      <w:pPr>
        <w:spacing w:after="0" w:line="205" w:lineRule="exact"/>
        <w:rPr>
          <w:sz w:val="20"/>
          <w:szCs w:val="20"/>
          <w:color w:val="auto"/>
        </w:rPr>
      </w:pPr>
    </w:p>
    <w:p>
      <w:pPr>
        <w:ind w:left="1300"/>
        <w:spacing w:after="0" w:line="235" w:lineRule="auto"/>
        <w:rPr>
          <w:sz w:val="20"/>
          <w:szCs w:val="20"/>
          <w:color w:val="auto"/>
        </w:rPr>
      </w:pPr>
      <w:r>
        <w:rPr>
          <w:rFonts w:ascii="Times New Roman" w:cs="Times New Roman" w:eastAsia="Times New Roman" w:hAnsi="Times New Roman"/>
          <w:sz w:val="22"/>
          <w:szCs w:val="22"/>
          <w:color w:val="auto"/>
        </w:rPr>
        <w:t>As of the date of filing, Allstar Blocker held 8,948,754 shares of Common Stock, or 9.8% of the outstanding shares of Common Stock, Allstar Co-Invest held 17,757,901 shares of Common Stock, or 19.5% of the outstanding shares of Common Stock, and Allstar LLC held 22,933,587 shares of Common Stock, or 25.2% of the outstanding shares of Common Stock, for an aggregate ownership of the Reporting Persons of 49,640,242 shares of Common Stock, or 54.6% of the outstanding shares of Common Stock. The outstanding shares of Common Stock as of the date of filing is based on 90,936,907 shares of Common Stock outstanding as of January 2, 2021, as reported in the prospectus dated January 27, 2021, filed by the Issuer with the Securities and Exchange Commission on January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6" w:name="page17"/>
    <w:bookmarkEnd w:id="16"/>
    <w:p>
      <w:pPr>
        <w:ind w:left="1300"/>
        <w:spacing w:after="0" w:line="247" w:lineRule="auto"/>
        <w:rPr>
          <w:sz w:val="20"/>
          <w:szCs w:val="20"/>
          <w:color w:val="auto"/>
        </w:rPr>
      </w:pPr>
      <w:r>
        <w:rPr>
          <w:rFonts w:ascii="Times New Roman" w:cs="Times New Roman" w:eastAsia="Times New Roman" w:hAnsi="Times New Roman"/>
          <w:sz w:val="21"/>
          <w:szCs w:val="21"/>
          <w:color w:val="auto"/>
        </w:rPr>
        <w:t>Allstar Co-Invest GP (as the general partner of Allstar Co-Invest) may also be deemed to be the beneficial owner of securities held by Allstar Co-Invest. Each of Allstar GP (as the managing member of Allstar LLC) and KKR Associates 2006 (as the general partner of Allstar GP) may also be deemed to be the beneficial owner of securities held by Allstar LLC. Each of KKR 2006 GP (as the general partner of Allstar Blocker and KKR Associates 2006 and the sole member of Allstar Co-Invest GP); KKR Group Partnership (as the sole member of KKR 2006 GP); KKR Group Holdings (as the general partner of KKR Group Partnership); KKR &amp; Co. (as the sole shareholder of KKR Group Holdings); and KKR Management (as the Series I preferred stockholder of KKR &amp; Co.) may also be deemed to be the beneficial owner of the securities held by Allstar Blocker, Allstar Co-Invest and Allstar LLC.</w:t>
      </w:r>
    </w:p>
    <w:p>
      <w:pPr>
        <w:spacing w:after="0" w:line="199" w:lineRule="exact"/>
        <w:rPr>
          <w:sz w:val="20"/>
          <w:szCs w:val="20"/>
          <w:color w:val="auto"/>
        </w:rPr>
      </w:pPr>
    </w:p>
    <w:p>
      <w:pPr>
        <w:ind w:left="1300" w:right="320"/>
        <w:spacing w:after="0" w:line="258" w:lineRule="auto"/>
        <w:rPr>
          <w:sz w:val="20"/>
          <w:szCs w:val="20"/>
          <w:color w:val="auto"/>
        </w:rPr>
      </w:pPr>
      <w:r>
        <w:rPr>
          <w:rFonts w:ascii="Times New Roman" w:cs="Times New Roman" w:eastAsia="Times New Roman" w:hAnsi="Times New Roman"/>
          <w:sz w:val="22"/>
          <w:szCs w:val="22"/>
          <w:color w:val="auto"/>
        </w:rPr>
        <w:t>Allstar Co-Invest GP, Allstar GP, KKR Associates 2006, KKR 2006 GP, KKR Group Partnership, KKR Group Holdings, KKR &amp; Co. and KKR Management disclaim beneficial ownership of such securities.</w:t>
      </w:r>
    </w:p>
    <w:p>
      <w:pPr>
        <w:spacing w:after="0" w:line="185" w:lineRule="exact"/>
        <w:rPr>
          <w:sz w:val="20"/>
          <w:szCs w:val="20"/>
          <w:color w:val="auto"/>
        </w:rPr>
      </w:pPr>
    </w:p>
    <w:p>
      <w:pPr>
        <w:ind w:left="1300" w:right="120"/>
        <w:spacing w:after="0" w:line="282" w:lineRule="auto"/>
        <w:rPr>
          <w:sz w:val="20"/>
          <w:szCs w:val="20"/>
          <w:color w:val="auto"/>
        </w:rPr>
      </w:pPr>
      <w:r>
        <w:rPr>
          <w:rFonts w:ascii="Times New Roman" w:cs="Times New Roman" w:eastAsia="Times New Roman" w:hAnsi="Times New Roman"/>
          <w:sz w:val="21"/>
          <w:szCs w:val="21"/>
          <w:color w:val="auto"/>
        </w:rPr>
        <w:t>As the founding partners of KKR Management, Messrs. Henry R. Kravis and George R. Roberts may be deemed to be the beneficial owner of the securities reported herein, but disclaim beneficial ownership of such securities.</w:t>
      </w:r>
    </w:p>
    <w:p>
      <w:pPr>
        <w:spacing w:after="0" w:line="171" w:lineRule="exact"/>
        <w:rPr>
          <w:sz w:val="20"/>
          <w:szCs w:val="20"/>
          <w:color w:val="auto"/>
        </w:rPr>
      </w:pPr>
    </w:p>
    <w:p>
      <w:pPr>
        <w:ind w:left="1300" w:hanging="482"/>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See Item 4(a) above.</w:t>
      </w:r>
    </w:p>
    <w:p>
      <w:pPr>
        <w:spacing w:after="0" w:line="242" w:lineRule="exact"/>
        <w:rPr>
          <w:sz w:val="20"/>
          <w:szCs w:val="20"/>
          <w:color w:val="auto"/>
        </w:rPr>
      </w:pPr>
    </w:p>
    <w:p>
      <w:pPr>
        <w:ind w:left="1300" w:hanging="482"/>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52"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4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See Item 5 of each cover page.</w:t>
      </w:r>
    </w:p>
    <w:p>
      <w:pPr>
        <w:spacing w:after="0" w:line="242" w:lineRule="exact"/>
        <w:rPr>
          <w:sz w:val="20"/>
          <w:szCs w:val="20"/>
          <w:color w:val="auto"/>
        </w:rPr>
      </w:pPr>
    </w:p>
    <w:p>
      <w:pPr>
        <w:ind w:left="1800" w:hanging="496"/>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4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See Item 6 of each cover page.</w:t>
      </w:r>
    </w:p>
    <w:p>
      <w:pPr>
        <w:spacing w:after="0" w:line="242" w:lineRule="exact"/>
        <w:rPr>
          <w:sz w:val="20"/>
          <w:szCs w:val="20"/>
          <w:color w:val="auto"/>
        </w:rPr>
      </w:pPr>
    </w:p>
    <w:p>
      <w:pPr>
        <w:ind w:left="1800" w:hanging="496"/>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4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See Item 7 of each cover page.</w:t>
      </w:r>
    </w:p>
    <w:p>
      <w:pPr>
        <w:spacing w:after="0" w:line="242" w:lineRule="exact"/>
        <w:rPr>
          <w:sz w:val="20"/>
          <w:szCs w:val="20"/>
          <w:color w:val="auto"/>
        </w:rPr>
      </w:pPr>
    </w:p>
    <w:p>
      <w:pPr>
        <w:ind w:left="1800" w:hanging="496"/>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4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See Item 8 of each cover page.</w:t>
      </w:r>
    </w:p>
    <w:p>
      <w:pPr>
        <w:spacing w:after="0" w:line="23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47" w:lineRule="exact"/>
        <w:rPr>
          <w:sz w:val="20"/>
          <w:szCs w:val="20"/>
          <w:color w:val="auto"/>
        </w:rPr>
      </w:pPr>
    </w:p>
    <w:p>
      <w:pPr>
        <w:ind w:left="820" w:right="560"/>
        <w:spacing w:after="0" w:line="281" w:lineRule="exact"/>
        <w:rPr>
          <w:sz w:val="20"/>
          <w:szCs w:val="20"/>
          <w:color w:val="auto"/>
        </w:rPr>
      </w:pPr>
      <w:r>
        <w:rPr>
          <w:rFonts w:ascii="Times New Roman" w:cs="Times New Roman" w:eastAsia="Times New Roman" w:hAnsi="Times New Roman"/>
          <w:sz w:val="22"/>
          <w:szCs w:val="22"/>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17" w:name="page18"/>
    <w:bookmarkEnd w:id="17"/>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47" w:lineRule="exact"/>
        <w:rPr>
          <w:sz w:val="20"/>
          <w:szCs w:val="20"/>
          <w:color w:val="auto"/>
        </w:rPr>
      </w:pPr>
    </w:p>
    <w:p>
      <w:pPr>
        <w:ind w:left="820"/>
        <w:spacing w:after="0" w:line="244" w:lineRule="auto"/>
        <w:rPr>
          <w:sz w:val="20"/>
          <w:szCs w:val="20"/>
          <w:color w:val="auto"/>
        </w:rPr>
      </w:pPr>
      <w:r>
        <w:rPr>
          <w:rFonts w:ascii="Times New Roman" w:cs="Times New Roman" w:eastAsia="Times New Roman" w:hAnsi="Times New Roman"/>
          <w:sz w:val="22"/>
          <w:szCs w:val="22"/>
          <w:color w:val="auto"/>
        </w:rPr>
        <w:t>See Item 4 above. To the best knowledge of the Reporting Persons, no one other than the Reporting Persons and the partners, members, affiliates and shareholders of the Reporting Persons has the right to receive or the power to direct the receipt of dividends from, or the proceeds from the sale of, shares of Common Stock.</w:t>
      </w:r>
    </w:p>
    <w:p>
      <w:pPr>
        <w:spacing w:after="0" w:line="206" w:lineRule="exact"/>
        <w:rPr>
          <w:sz w:val="20"/>
          <w:szCs w:val="20"/>
          <w:color w:val="auto"/>
        </w:rPr>
      </w:pPr>
    </w:p>
    <w:p>
      <w:pPr>
        <w:ind w:left="820" w:right="60" w:hanging="809"/>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tab/>
        <w:t>Identification and Classification of the Subsidiary Which Acquired the Security Being Reported on By the Parent Holding Company or Control Person.</w:t>
      </w:r>
    </w:p>
    <w:p>
      <w:pPr>
        <w:spacing w:after="0" w:line="17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4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4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Certifications.</w:t>
      </w:r>
    </w:p>
    <w:p>
      <w:pPr>
        <w:spacing w:after="0" w:line="24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ind w:right="90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the knowledge and belief of the undersigned, the undersigned certify that the information set forth in this statement is true, complete and correct.</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February 12, 2021</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KKR 2006 ALLSTAR BLOCKER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KKR 2006 AIV GP LLC, its general partner</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 for Robert H. Lewin, Chief Financial Officer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ALLSTAR CO-INVEST BLOCKER L.P.</w:t>
      </w:r>
    </w:p>
    <w:p>
      <w:pPr>
        <w:spacing w:after="0" w:line="3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By: Allstar Co-Invest GP LLC, its general partner</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 for Robert H. Lewin, Chief Financial Officer</w:t>
            </w: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ALLSTAR CO-INVEST GP LLC</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 for Robert H. Lewin, Chief Financial Officer</w:t>
            </w: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ALLSTAR LLC</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 for Robert H. Lewin, Chief Financial Officer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KKR 2006 FUND (ALLSTAR)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KKR Associates 2006 AIV L.P., its 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KKR 2006 AIV GP LLC, its general partner</w:t>
      </w:r>
    </w:p>
    <w:p>
      <w:pPr>
        <w:sectPr>
          <w:pgSz w:w="11900" w:h="16838" w:orient="portrait"/>
          <w:cols w:equalWidth="0" w:num="1">
            <w:col w:w="11240"/>
          </w:cols>
          <w:pgMar w:left="320" w:top="108" w:right="339" w:bottom="1440" w:gutter="0" w:footer="0" w:header="0"/>
        </w:sectPr>
      </w:pP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Terence P. Gallagher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Terence P. Gallagher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Attorney-in-fact for Robert H. Lewin, Chief Financial Officer</w:t>
      </w:r>
    </w:p>
    <w:p>
      <w:pPr>
        <w:spacing w:after="0" w:line="211" w:lineRule="exact"/>
        <w:rPr>
          <w:sz w:val="20"/>
          <w:szCs w:val="20"/>
          <w:color w:val="auto"/>
        </w:rPr>
      </w:pPr>
    </w:p>
    <w:p>
      <w:pPr>
        <w:sectPr>
          <w:pgSz w:w="11900" w:h="16838" w:orient="portrait"/>
          <w:cols w:equalWidth="0" w:num="2">
            <w:col w:w="6120" w:space="80"/>
            <w:col w:w="5040"/>
          </w:cols>
          <w:pgMar w:left="320" w:top="108" w:right="339" w:bottom="1440" w:gutter="0" w:footer="0" w:header="0"/>
          <w:type w:val="continuous"/>
        </w:sectPr>
      </w:pP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KKR ASSOCIATES 2006 AIV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KKR 2006 AIV GP LLC, 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216"/>
        </w:trPr>
        <w:tc>
          <w:tcPr>
            <w:tcW w:w="61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61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Attorney-in-fact for Robert H. Lewin, Chief Financial Officer</w:t>
            </w:r>
          </w:p>
        </w:tc>
      </w:tr>
      <w:tr>
        <w:trPr>
          <w:trHeight w:val="425"/>
        </w:trPr>
        <w:tc>
          <w:tcPr>
            <w:tcW w:w="61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type w:val="continuous"/>
        </w:sectPr>
      </w:pPr>
    </w:p>
    <w:bookmarkStart w:id="19" w:name="page20"/>
    <w:bookmarkEnd w:id="19"/>
    <w:p>
      <w:pPr>
        <w:ind w:left="5640"/>
        <w:spacing w:after="0"/>
        <w:rPr>
          <w:sz w:val="20"/>
          <w:szCs w:val="20"/>
          <w:color w:val="auto"/>
        </w:rPr>
      </w:pPr>
      <w:r>
        <w:rPr>
          <w:rFonts w:ascii="Times New Roman" w:cs="Times New Roman" w:eastAsia="Times New Roman" w:hAnsi="Times New Roman"/>
          <w:sz w:val="18"/>
          <w:szCs w:val="18"/>
          <w:b w:val="1"/>
          <w:bCs w:val="1"/>
          <w:color w:val="auto"/>
        </w:rPr>
        <w:t>KKR 2006 AIV GP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 for Robert H. Lewin, Chief Financial Officer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KKR GROUP PARTNERSHIP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KKR Group Holdings Corp.,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198"/>
        </w:trPr>
        <w:tc>
          <w:tcPr>
            <w:tcW w:w="620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 for Robert H. Lewin, Chief Financial Officer</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KKR GROUP HOLDINGS CORP.</w:t>
            </w:r>
          </w:p>
        </w:tc>
      </w:tr>
      <w:tr>
        <w:trPr>
          <w:trHeight w:val="439"/>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198"/>
        </w:trPr>
        <w:tc>
          <w:tcPr>
            <w:tcW w:w="620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 for Robert H. Lewin, Chief Financial Officer</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KKR &amp; CO. INC.</w:t>
            </w:r>
          </w:p>
        </w:tc>
      </w:tr>
      <w:tr>
        <w:trPr>
          <w:trHeight w:val="439"/>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198"/>
        </w:trPr>
        <w:tc>
          <w:tcPr>
            <w:tcW w:w="620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 for Robert H. Lewin, Chief Financial Officer</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KKR MANAGEMENT LLP</w:t>
            </w:r>
          </w:p>
        </w:tc>
      </w:tr>
      <w:tr>
        <w:trPr>
          <w:trHeight w:val="439"/>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198"/>
        </w:trPr>
        <w:tc>
          <w:tcPr>
            <w:tcW w:w="620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 for Robert H. Lewin, Chief Financial Officer</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HENRY R. KRAVIS</w:t>
            </w:r>
          </w:p>
        </w:tc>
      </w:tr>
      <w:tr>
        <w:trPr>
          <w:trHeight w:val="439"/>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198"/>
        </w:trPr>
        <w:tc>
          <w:tcPr>
            <w:tcW w:w="620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GEORGE R. ROBERTS</w:t>
            </w:r>
          </w:p>
        </w:tc>
      </w:tr>
      <w:tr>
        <w:trPr>
          <w:trHeight w:val="439"/>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198"/>
        </w:trPr>
        <w:tc>
          <w:tcPr>
            <w:tcW w:w="620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2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80" w:type="dxa"/>
            <w:vAlign w:val="bottom"/>
          </w:tcPr>
          <w:p>
            <w:pPr>
              <w:ind w:left="4140"/>
              <w:spacing w:after="0"/>
              <w:rPr>
                <w:sz w:val="20"/>
                <w:szCs w:val="20"/>
                <w:color w:val="auto"/>
              </w:rPr>
            </w:pPr>
            <w:r>
              <w:rPr>
                <w:rFonts w:ascii="Times New Roman" w:cs="Times New Roman" w:eastAsia="Times New Roman" w:hAnsi="Times New Roman"/>
                <w:sz w:val="22"/>
                <w:szCs w:val="22"/>
                <w:b w:val="1"/>
                <w:bCs w:val="1"/>
                <w:color w:val="auto"/>
              </w:rPr>
              <w:t>EXHIBITS</w:t>
            </w:r>
          </w:p>
        </w:tc>
      </w:tr>
      <w:tr>
        <w:trPr>
          <w:trHeight w:val="425"/>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280" w:type="dxa"/>
            <w:vAlign w:val="bottom"/>
          </w:tcPr>
          <w:p>
            <w:pPr>
              <w:spacing w:after="0"/>
              <w:rPr>
                <w:sz w:val="24"/>
                <w:szCs w:val="24"/>
                <w:color w:val="auto"/>
              </w:rPr>
            </w:pPr>
          </w:p>
        </w:tc>
      </w:tr>
      <w:tr>
        <w:trPr>
          <w:trHeight w:val="245"/>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1"/>
                <w:szCs w:val="21"/>
                <w:color w:val="auto"/>
              </w:rPr>
            </w:pPr>
          </w:p>
        </w:tc>
        <w:tc>
          <w:tcPr>
            <w:tcW w:w="10280" w:type="dxa"/>
            <w:vAlign w:val="bottom"/>
            <w:tcBorders>
              <w:bottom w:val="single" w:sz="8" w:color="auto"/>
            </w:tcBorders>
          </w:tcPr>
          <w:p>
            <w:pPr>
              <w:ind w:left="4960"/>
              <w:spacing w:after="0"/>
              <w:rPr>
                <w:sz w:val="20"/>
                <w:szCs w:val="20"/>
                <w:color w:val="auto"/>
              </w:rPr>
            </w:pPr>
            <w:r>
              <w:rPr>
                <w:rFonts w:ascii="Times New Roman" w:cs="Times New Roman" w:eastAsia="Times New Roman" w:hAnsi="Times New Roman"/>
                <w:sz w:val="18"/>
                <w:szCs w:val="18"/>
                <w:b w:val="1"/>
                <w:bCs w:val="1"/>
                <w:color w:val="auto"/>
              </w:rPr>
              <w:t>Title</w:t>
            </w:r>
          </w:p>
        </w:tc>
      </w:tr>
    </w:tbl>
    <w:p>
      <w:pPr>
        <w:spacing w:after="0" w:line="198" w:lineRule="exact"/>
        <w:rPr>
          <w:sz w:val="20"/>
          <w:szCs w:val="20"/>
          <w:color w:val="auto"/>
        </w:rPr>
      </w:pPr>
    </w:p>
    <w:p>
      <w:pPr>
        <w:ind w:left="960" w:hanging="952"/>
        <w:spacing w:after="0"/>
        <w:tabs>
          <w:tab w:leader="none" w:pos="960" w:val="left"/>
        </w:tabs>
        <w:numPr>
          <w:ilvl w:val="0"/>
          <w:numId w:val="2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960" w:hanging="952"/>
        <w:spacing w:after="0"/>
        <w:tabs>
          <w:tab w:leader="none" w:pos="960" w:val="left"/>
        </w:tabs>
        <w:numPr>
          <w:ilvl w:val="0"/>
          <w:numId w:val="3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Powers of Attorney granted by Henry R. Kravis, George R. Roberts and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22"/>
          <w:szCs w:val="22"/>
          <w:color w:val="auto"/>
        </w:rPr>
        <w:t>In accordance with Rule 13d-1(k) of the Securities Exchange Act of 1934, as amended, the undersigned agree to the joint filing on behalf of each of them of a Statement on Schedule 13G (including any and all amendments thereto) with respect to the common stock, par value $0.01 per share, of Academy Sports and Outdoors, Inc. and further agree that this Joint Filing Agreement shall be included as an Exhibit to such joint filing. In evidence thereof, the undersigned, being duly authorized, hereby execute this Joint Filing Agreement as of February 12, 2021.</w:t>
      </w:r>
    </w:p>
    <w:p>
      <w:pPr>
        <w:spacing w:after="0" w:line="20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KKR 2006 ALLSTAR BLOCKER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KKR 2006 AIV GP LLC, its general partner</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 for Robert H. Lewin, Chief Financial Officer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ALLSTAR CO-INVEST BLOCKER L.P.</w:t>
      </w:r>
    </w:p>
    <w:p>
      <w:pPr>
        <w:spacing w:after="0" w:line="3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By: Allstar Co-Invest GP LLC, its general partner</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 for Robert H. Lewin, Chief Financial Officer</w:t>
            </w: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ALLSTAR CO-INVEST GP LLC</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 for Robert H. Lewin, Chief Financial Officer</w:t>
            </w: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ALLSTAR LLC</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 for Robert H. Lewin, Chief Financial Officer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KKR 2006 FUND (ALLSTAR)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KKR Associates 2006 AIV L.P., its 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KKR 2006 AIV GP LLC, its general partner</w:t>
      </w:r>
    </w:p>
    <w:p>
      <w:pPr>
        <w:sectPr>
          <w:pgSz w:w="11900" w:h="16838" w:orient="portrait"/>
          <w:cols w:equalWidth="0" w:num="1">
            <w:col w:w="11240"/>
          </w:cols>
          <w:pgMar w:left="320" w:top="270" w:right="339" w:bottom="1440" w:gutter="0" w:footer="0" w:header="0"/>
        </w:sectPr>
      </w:pP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Terence P. Gallagher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Terence P. Gallagher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Attorney-in-fact for Robert H. Lewin, Chief Financial Officer</w:t>
      </w:r>
    </w:p>
    <w:p>
      <w:pPr>
        <w:spacing w:after="0" w:line="211" w:lineRule="exact"/>
        <w:rPr>
          <w:sz w:val="20"/>
          <w:szCs w:val="20"/>
          <w:color w:val="auto"/>
        </w:rPr>
      </w:pPr>
    </w:p>
    <w:p>
      <w:pPr>
        <w:sectPr>
          <w:pgSz w:w="11900" w:h="16838" w:orient="portrait"/>
          <w:cols w:equalWidth="0" w:num="2">
            <w:col w:w="6120" w:space="80"/>
            <w:col w:w="5040"/>
          </w:cols>
          <w:pgMar w:left="320" w:top="270" w:right="339" w:bottom="1440" w:gutter="0" w:footer="0" w:header="0"/>
          <w:type w:val="continuous"/>
        </w:sectPr>
      </w:pP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KKR ASSOCIATES 2006 AIV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KKR 2006 AIV GP LLC, 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216"/>
        </w:trPr>
        <w:tc>
          <w:tcPr>
            <w:tcW w:w="61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61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Attorney-in-fact for Robert H. Lewin, Chief Financial Officer</w:t>
            </w:r>
          </w:p>
        </w:tc>
      </w:tr>
      <w:tr>
        <w:trPr>
          <w:trHeight w:val="425"/>
        </w:trPr>
        <w:tc>
          <w:tcPr>
            <w:tcW w:w="61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0" w:right="339" w:bottom="1440" w:gutter="0" w:footer="0" w:header="0"/>
          <w:type w:val="continuous"/>
        </w:sectPr>
      </w:pPr>
    </w:p>
    <w:bookmarkStart w:id="22" w:name="page23"/>
    <w:bookmarkEnd w:id="22"/>
    <w:p>
      <w:pPr>
        <w:ind w:left="5640"/>
        <w:spacing w:after="0"/>
        <w:rPr>
          <w:sz w:val="20"/>
          <w:szCs w:val="20"/>
          <w:color w:val="auto"/>
        </w:rPr>
      </w:pPr>
      <w:r>
        <w:rPr>
          <w:rFonts w:ascii="Times New Roman" w:cs="Times New Roman" w:eastAsia="Times New Roman" w:hAnsi="Times New Roman"/>
          <w:sz w:val="18"/>
          <w:szCs w:val="18"/>
          <w:b w:val="1"/>
          <w:bCs w:val="1"/>
          <w:color w:val="auto"/>
        </w:rPr>
        <w:t>KKR 2006 AIV GP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 for Robert H. Lewin, Chief Financial Officer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KKR GROUP PARTNERSHIP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KKR Group Holdings Corp.,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198"/>
        </w:trPr>
        <w:tc>
          <w:tcPr>
            <w:tcW w:w="620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 for Robert H. Lewin, Chief Financial Officer</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KKR GROUP HOLDINGS CORP.</w:t>
            </w:r>
          </w:p>
        </w:tc>
      </w:tr>
      <w:tr>
        <w:trPr>
          <w:trHeight w:val="439"/>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198"/>
        </w:trPr>
        <w:tc>
          <w:tcPr>
            <w:tcW w:w="620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 for Robert H. Lewin, Chief Financial Officer</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KKR &amp; CO. INC.</w:t>
            </w:r>
          </w:p>
        </w:tc>
      </w:tr>
      <w:tr>
        <w:trPr>
          <w:trHeight w:val="439"/>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198"/>
        </w:trPr>
        <w:tc>
          <w:tcPr>
            <w:tcW w:w="620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 for Robert H. Lewin, Chief Financial Officer</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KKR MANAGEMENT LLP</w:t>
            </w:r>
          </w:p>
        </w:tc>
      </w:tr>
      <w:tr>
        <w:trPr>
          <w:trHeight w:val="439"/>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198"/>
        </w:trPr>
        <w:tc>
          <w:tcPr>
            <w:tcW w:w="620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 for Robert H. Lewin, Chief Financial Officer</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HENRY R. KRAVIS</w:t>
            </w:r>
          </w:p>
        </w:tc>
      </w:tr>
      <w:tr>
        <w:trPr>
          <w:trHeight w:val="439"/>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198"/>
        </w:trPr>
        <w:tc>
          <w:tcPr>
            <w:tcW w:w="620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GEORGE R. ROBERTS</w:t>
            </w:r>
          </w:p>
        </w:tc>
      </w:tr>
      <w:tr>
        <w:trPr>
          <w:trHeight w:val="439"/>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P. Gallagher</w:t>
            </w:r>
          </w:p>
        </w:tc>
      </w:tr>
      <w:tr>
        <w:trPr>
          <w:trHeight w:val="198"/>
        </w:trPr>
        <w:tc>
          <w:tcPr>
            <w:tcW w:w="620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Terence P. Gallagher</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01"/>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3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Know all men by these presents that Henry R. Kravis does hereby make, constitute and appoint William J. Janetschek, David J. Sorkin, Terence P. Gallagher, and Christopher B. Lee, or any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(i) Sections 13(d), 13(g), 13(f), 13(h) and 16(a) of the Securities Exchange Act of 1934, as amended, including without limitation, Schedule 13D, Schedule 13G, Form 13F, Form 13H, Form 3, Form 4 and Form 5 and (ii) in connection with any applications for EDGAR access codes, including without limitation the Form ID.</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Henry R. Kravis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R. Kravis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2014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3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Know all men by these presents that George R. Roberts does hereby make, constitute and appoint William J. Janetschek, David J. Sorkin, Terence P. Gallagher, and Christopher B. Lee, or any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(i) Sections 13(d), 13(g), 13(f), 13(h) and 16(a) of the Securities Exchange Act of 1934, as amended, including without limitation, Schedule 13D, Schedule 13G, Form 13F, Form 13H, Form 3, Form 4 and Form 5 and (ii) in connection with any applications for EDGAR access codes, including without limitation the Form ID.</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George 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George R. Roberts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38"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Know all men by these presents that Robert H. Lewin does hereby make, constitute and appoint David J. Sorkin, Terence P. Gallagher, and Christopher Lee, or any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(i) Sections 13(d), 13(g), 13(f), 13(h) and 16(a) of the Securities Exchange Act of 1934, as amended, including without limitation, Schedule 13D, Schedule 13G, Form 13F, Form 13H, Form 3, Form 4 and Form 5 and (ii) in connection with any applications for EDGAR access codes, including without limitation the Form ID.</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Robert H. Lewin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lowerLetter"/>
      <w:start w:val="1"/>
    </w:lvl>
  </w:abstractNum>
  <w:abstractNum w:abstractNumId="16">
    <w:nsid w:val="6763845E"/>
    <w:multiLevelType w:val="hybridMultilevel"/>
    <w:lvl w:ilvl="0">
      <w:lvlJc w:val="left"/>
      <w:lvlText w:val="(%1)"/>
      <w:numFmt w:val="lowerLetter"/>
      <w:start w:val="2"/>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lowerLetter"/>
      <w:start w:val="2"/>
    </w:lvl>
  </w:abstractNum>
  <w:abstractNum w:abstractNumId="19">
    <w:nsid w:val="79838CB2"/>
    <w:multiLevelType w:val="hybridMultilevel"/>
    <w:lvl w:ilvl="0">
      <w:lvlJc w:val="left"/>
      <w:lvlText w:val="(%1)"/>
      <w:numFmt w:val="lowerLetter"/>
      <w:start w:val="3"/>
    </w:lvl>
  </w:abstractNum>
  <w:abstractNum w:abstractNumId="20">
    <w:nsid w:val="4353D0CD"/>
    <w:multiLevelType w:val="hybridMultilevel"/>
    <w:lvl w:ilvl="0">
      <w:lvlJc w:val="left"/>
      <w:lvlText w:val="(%1)"/>
      <w:numFmt w:val="lowerLetter"/>
      <w:start w:val="4"/>
    </w:lvl>
  </w:abstractNum>
  <w:abstractNum w:abstractNumId="21">
    <w:nsid w:val="B03E0C6"/>
    <w:multiLevelType w:val="hybridMultilevel"/>
    <w:lvl w:ilvl="0">
      <w:lvlJc w:val="left"/>
      <w:lvlText w:val="(%1)"/>
      <w:numFmt w:val="lowerLetter"/>
      <w:start w:val="5"/>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2"/>
    </w:lvl>
  </w:abstractNum>
  <w:abstractNum w:abstractNumId="24">
    <w:nsid w:val="71F32454"/>
    <w:multiLevelType w:val="hybridMultilevel"/>
    <w:lvl w:ilvl="0">
      <w:lvlJc w:val="left"/>
      <w:lvlText w:val="(%1)"/>
      <w:numFmt w:val="lowerLetter"/>
      <w:start w:val="3"/>
    </w:lvl>
    <w:lvl w:ilvl="1">
      <w:lvlJc w:val="left"/>
      <w:lvlText w:val="(%2)"/>
      <w:numFmt w:val="lowerLetter"/>
      <w:start w:val="9"/>
    </w:lvl>
  </w:abstractNum>
  <w:abstractNum w:abstractNumId="25">
    <w:nsid w:val="2CA88611"/>
    <w:multiLevelType w:val="hybridMultilevel"/>
    <w:lvl w:ilvl="0">
      <w:lvlJc w:val="left"/>
      <w:lvlText w:val="(%1)"/>
      <w:numFmt w:val="lowerRoman"/>
      <w:start w:val="2"/>
    </w:lvl>
  </w:abstractNum>
  <w:abstractNum w:abstractNumId="26">
    <w:nsid w:val="836C40E"/>
    <w:multiLevelType w:val="hybridMultilevel"/>
    <w:lvl w:ilvl="0">
      <w:lvlJc w:val="left"/>
      <w:lvlText w:val="(%1)"/>
      <w:numFmt w:val="lowerRoman"/>
      <w:start w:val="3"/>
    </w:lvl>
  </w:abstractNum>
  <w:abstractNum w:abstractNumId="27">
    <w:nsid w:val="2901D82"/>
    <w:multiLevelType w:val="hybridMultilevel"/>
    <w:lvl w:ilvl="0">
      <w:lvlJc w:val="left"/>
      <w:lvlText w:val="(%1)"/>
      <w:numFmt w:val="lowerRoman"/>
      <w:start w:val="4"/>
    </w:lvl>
  </w:abstractNum>
  <w:abstractNum w:abstractNumId="28">
    <w:nsid w:val="3A95F874"/>
    <w:multiLevelType w:val="hybridMultilevel"/>
    <w:lvl w:ilvl="0">
      <w:lvlJc w:val="left"/>
      <w:lvlText w:val="1"/>
      <w:numFmt w:val="bullet"/>
      <w:start w:val="1"/>
    </w:lvl>
  </w:abstractNum>
  <w:abstractNum w:abstractNumId="29">
    <w:nsid w:val="8138641"/>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2021-02-12T05:35:25Z</dcterms:created>
  <dcterms:modified xsi:type="dcterms:W3CDTF">2021-02-12T05:35:25Z</dcterms:modified>
</cp:coreProperties>
</file>