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09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93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6"/>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03/01/2023</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Chairman, President and CEO</w:t>
            </w: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00" w:space="14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03/01/2023</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16,172</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476,210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03/01/2023</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6,027</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59.15</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470,183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3320" w:type="dxa"/>
            <w:vAlign w:val="bottom"/>
            <w:tcBorders>
              <w:bottom w:val="single" w:sz="8" w:color="2C2C2C"/>
            </w:tcBorders>
            <w:gridSpan w:val="7"/>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16,172</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03/01/2023</w:t>
            </w:r>
          </w:p>
        </w:tc>
        <w:tc>
          <w:tcPr>
            <w:tcW w:w="1140" w:type="dxa"/>
            <w:vAlign w:val="bottom"/>
          </w:tcPr>
          <w:p>
            <w:pPr>
              <w:spacing w:after="0"/>
              <w:rPr>
                <w:sz w:val="12"/>
                <w:szCs w:val="12"/>
                <w:color w:val="auto"/>
              </w:rPr>
            </w:pPr>
          </w:p>
        </w:tc>
        <w:tc>
          <w:tcPr>
            <w:tcW w:w="72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16,172</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47,588</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-2026285</wp:posOffset>
            </wp:positionV>
            <wp:extent cx="29210" cy="2031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313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3" w:lineRule="exact"/>
        <w:rPr>
          <w:rFonts w:ascii="Times New Roman" w:cs="Times New Roman" w:eastAsia="Times New Roman" w:hAnsi="Times New Roman"/>
          <w:sz w:val="13"/>
          <w:szCs w:val="13"/>
          <w:color w:val="008000"/>
        </w:rPr>
      </w:pPr>
    </w:p>
    <w:p>
      <w:pPr>
        <w:ind w:left="40" w:right="24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3/30/22, the Reporting Person was granted 63,760 performance-based restricted stock units ("RSUs"). These RSUs vest if certain performance criteria and/or Issuer stock price conditions are met and certified by the Issuer's compensation committee. On 3/1/23, the Issuer's compensation committee certified achievement of 93.7% of the performance criteria during fiscal 2022 meaning that 59,713 RSUs were deemed earned. Of this earned amount, 1/48 of the RSUs earned will vest for every monthly anniversary since the Vesting Commencement Date (i.e., 1/30/22), and thereafter, subject to the Reporting Person's continued service with the Issuer through each applicable vesting date. The remaining unearned amount of this grant (i.e., 4,047 RSUs) may vest upon certification by the Issuer's compensation committee of achievement of certain Issuer stock price conditions as of the fourth anniversary of the Vesting Commencement Date.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2023-03-03T17:58:05Z</dcterms:created>
  <dcterms:modified xsi:type="dcterms:W3CDTF">2023-03-03T17:58:05Z</dcterms:modified>
</cp:coreProperties>
</file>