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HICKS KEN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4"/>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01/14/2022</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58"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01/14/2022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38.91</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440,820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rounded to the nearest cent. These shares were purchased in multiple transactions at prices ranging from $38.65 to $39.00, inclusive. The Reporting Person undertakes to provide to the Issuer, any security holder of the Issuer, or the staff of the U.S. Securities and Exchange Commission, upon request, full information regarding the number of shares purchased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Gary Holland, Attorney-in- </w:t>
      </w:r>
      <w:r>
        <w:rPr>
          <w:rFonts w:ascii="Arial" w:cs="Arial" w:eastAsia="Arial" w:hAnsi="Arial"/>
          <w:sz w:val="34"/>
          <w:szCs w:val="34"/>
          <w:color w:val="0000FF"/>
          <w:vertAlign w:val="subscript"/>
        </w:rPr>
        <w:t>01/14/2022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2022-01-14T17:09:17Z</dcterms:created>
  <dcterms:modified xsi:type="dcterms:W3CDTF">2022-01-14T17:09:17Z</dcterms:modified>
</cp:coreProperties>
</file>