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137160</wp:posOffset>
            </wp:positionV>
            <wp:extent cx="1809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3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140335</wp:posOffset>
            </wp:positionV>
            <wp:extent cx="1809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July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133985</wp:posOffset>
            </wp:positionV>
            <wp:extent cx="216027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27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Academy Sports and Outdoors, Inc.</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120650</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71" w:lineRule="exact"/>
        <w:rPr>
          <w:sz w:val="24"/>
          <w:szCs w:val="24"/>
          <w:color w:val="auto"/>
        </w:rPr>
      </w:pPr>
    </w:p>
    <w:p>
      <w:pPr>
        <w:sectPr>
          <w:pgSz w:w="11900" w:h="16838" w:orient="portrait"/>
          <w:cols w:equalWidth="0" w:num="3">
            <w:col w:w="4900" w:space="720"/>
            <w:col w:w="2660" w:space="720"/>
            <w:col w:w="2160"/>
          </w:cols>
          <w:pgMar w:left="340" w:top="747" w:right="39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800" w:space="720"/>
            <w:col w:w="2500" w:space="720"/>
            <w:col w:w="2420"/>
          </w:cols>
          <w:pgMar w:left="340" w:top="747" w:right="39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940" w:space="720"/>
            <w:col w:w="2320" w:space="720"/>
            <w:col w:w="2460"/>
          </w:cols>
          <w:pgMar w:left="340" w:top="747" w:right="399" w:bottom="144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Katy, Texas 77449</w:t>
      </w:r>
    </w:p>
    <w:p>
      <w:pPr>
        <w:spacing w:after="0" w:line="77" w:lineRule="exact"/>
        <w:rPr>
          <w:sz w:val="24"/>
          <w:szCs w:val="24"/>
          <w:color w:val="auto"/>
        </w:rPr>
      </w:pPr>
    </w:p>
    <w:p>
      <w:pPr>
        <w:ind w:left="414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ind w:left="5460"/>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ind w:left="4240"/>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283"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left="70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144145</wp:posOffset>
            </wp:positionV>
            <wp:extent cx="1809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4"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0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8"/>
        </w:trPr>
        <w:tc>
          <w:tcPr>
            <w:tcW w:w="4500" w:type="dxa"/>
            <w:vAlign w:val="bottom"/>
            <w:gridSpan w:val="3"/>
          </w:tcPr>
          <w:p>
            <w:pPr>
              <w:jc w:val="center"/>
              <w:ind w:right="160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2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212"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386715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ind w:left="960" w:right="120" w:hanging="1295"/>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July 6, 2023, the Board of Directors of Academy Sports and Outdoors, Inc. (the “Company”) approved the appointment of Earl Carlton (Carl) Ford, IV, as the Company’s Executive Vice President and Chief Financial Officer, effective as of July 12, 2023 (the “Effective Date”). As a result, effective at such time, Michael P. Mullican will transition out of the role of Chief Financial Officer of the Company. Mr. Mullican assumed the role of President of the Company on June 1, 2023, but continued and will continue to serve as the Company’s Chief Financial Officer until the Effective Date.</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Prior to this appointment, Mr. Ford, 45, served as the Company’s Senior Vice President, Finance, since joining the Company in January 2019. Prior to joining the Company, Mr. Ford spent 15 years, from April 2003 to December 2018, with Belk, Inc., a department store chain, serving as Vice President of Financial Planning &amp; Analysis, Vice President of Internal Audit between May 2009 and April 2011, and, prior to that, in other leadership roles in accounting and treasury where he was responsible for external reporting, internal controls, cash flow forecasting, and debt instruments, among other areas. Prior to joining Belk, Inc., Mr. Ford worked for Deloitte &amp; Touche in its Audit practice. Mr. Ford holds a bachelor’s degree in accounting from the University of Southern Mississippi and a master’s degree in accounting from the University of Alabama.</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There is no arrangement or understanding between Mr. Ford and any other person pursuant to which Mr. Ford was appointed as Executive Vice President and Chief Financial Officer. There is no family relationship between Mr. Ford and any director or executive officer of the Company, and there are no transactions involving Mr. Ford and the Company that require disclosure under Item 404(a) of Regulation S-K.</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this appointment, Mr. Ford entered into an employment agreement with the Company and Academy Managing Co., LLC on July 6, 2023 (the “Employment Agreement”), the terms of which take effect as of the Effective Date. Pursuant to the Employment Agreement, Mr. Ford will receive an annual base salary of $500,000 and will continue to be eligible to participate in the Company’s annual cash bonus plan with a target bonus opportunity equal to 120% of his annual base salary. In connection with Mr. Ford’s appointment, he will also receive equity awards valued at $1,000,000 under the Company’s 2020 Omnibus Incentive Plan, as amended, comprised of a grant of time-based stock options (the “Time-Based Options”) with a grant date value of approximately $250,000, a grant of time-based restricted stock units (the “Time-Based RSUs”) with a grant date value of approximately $250,000, and a grant of performance-based restricted stock units (the “Performance-Based RSUs”) with a grant date value of approximately $500,000. Subject to Mr. Ford’s continued employment through each applicable vesting date, the Time-Based Options and Time-Based RSUs will vest in three equal annual installments beginning on the first anniversary of the grant date, and the Performance-Based RSUs will vest if certain preestablished performance metrics related to the Company’s (i) adjusted pre-tax income, and (ii) return on invested capital, over a 3-year period beginning on January 29, 2023 and ending on January 31, 2026, are achieved and certified by the Compensation Committee of the Board of Directors.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Employment Agreement, if the Company terminates Mr. Ford’s employment without “cause” or if Mr. Ford resigns for “good reason” (each as defined in the Employment Agreement), then Mr. Ford will be eligible to receive the following severance payments and benefits subject to his execution and non-revocation of a release of claims: (i) any unpaid bonus under the Company’s annual cash bonus plan for the fiscal year immediately preceding the fiscal year in which such termination occurs; (ii) a cash severance payment in an amount equal to the product of (x) two multiplied by (y) the sum of (A) his annual base salary and (B) the average annual bonus paid (or earned, to the extent not yet paid as of the termination date) under the Company’s annual cash bonus plan for the two prior fiscal years; (iii) a pro-rata annual bonus for the year of termination based on actual results for the year (assuming achievement of any individual performance goals at 100%); and (iv) a lump sum payment intended to offset the incremental costs of 24 months of COBRA coverage.</w:t>
      </w:r>
    </w:p>
    <w:p>
      <w:pPr>
        <w:spacing w:after="0" w:line="192"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Mr. Ford is also subject to customary confidentiality, intellectual property assignment, non-competition, and non-solicitation covenants under the Employment Agreement. The Company will also enter into its standard form of indemnification agreement with Mr. Ford, which will provide indemnification protection in connection with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 w:name="page3"/>
    <w:bookmarkEnd w:id="2"/>
    <w:p>
      <w:pPr>
        <w:ind w:right="20"/>
        <w:spacing w:after="0" w:line="263" w:lineRule="auto"/>
        <w:rPr>
          <w:sz w:val="20"/>
          <w:szCs w:val="20"/>
          <w:color w:val="auto"/>
        </w:rPr>
      </w:pPr>
      <w:r>
        <w:rPr>
          <w:rFonts w:ascii="Arial" w:cs="Arial" w:eastAsia="Arial" w:hAnsi="Arial"/>
          <w:sz w:val="18"/>
          <w:szCs w:val="18"/>
          <w:color w:val="auto"/>
        </w:rPr>
        <w:t>service as Executive Vice President and Chief Financial Officer of the Company. A copy of the form of indemnification agreement was previously filed as Exhibit 10.37 to Amendment No., 1 to the Company’s Registration Statement on Form S-1 filed on September 23, 2020 and is incorporated herein by reference.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summary of the Employment Agreement does not purport to be a complete description of such agreement and is qualified in its entirety by reference to the full text of such agreement, a copy of which is attached hereto as Exhibit 10.1 to this Current Report on Form 8-K and is incorporated herein by reference.</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July 11, 2023, the Company issued a press release announcing the appointment of Mr. Ford as Executive Vice President and Chief Financial Officer. A copy of the press release is attached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1272540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1" w:right="45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33" w:lineRule="exact"/>
        <w:rPr>
          <w:sz w:val="20"/>
          <w:szCs w:val="20"/>
          <w:color w:val="auto"/>
        </w:rPr>
      </w:pPr>
    </w:p>
    <w:p>
      <w:pPr>
        <w:ind w:left="720"/>
        <w:spacing w:after="0"/>
        <w:tabs>
          <w:tab w:leader="none" w:pos="21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Earl Carlton (Carl) Ford, IV Employment Agreement, dated July 6, 2023.</w:t>
      </w:r>
    </w:p>
    <w:p>
      <w:pPr>
        <w:ind w:left="1480"/>
        <w:spacing w:after="0"/>
        <w:rPr>
          <w:sz w:val="20"/>
          <w:szCs w:val="20"/>
          <w:color w:val="auto"/>
        </w:rPr>
      </w:pPr>
      <w:r>
        <w:rPr>
          <w:rFonts w:ascii="Arial" w:cs="Arial" w:eastAsia="Arial" w:hAnsi="Arial"/>
          <w:sz w:val="20"/>
          <w:szCs w:val="20"/>
          <w:u w:val="single" w:color="auto"/>
          <w:color w:val="0000FF"/>
        </w:rPr>
        <w:t>10.1</w:t>
      </w:r>
    </w:p>
    <w:p>
      <w:pPr>
        <w:spacing w:after="0" w:line="51" w:lineRule="exact"/>
        <w:rPr>
          <w:sz w:val="20"/>
          <w:szCs w:val="20"/>
          <w:color w:val="auto"/>
        </w:rPr>
      </w:pPr>
    </w:p>
    <w:p>
      <w:pPr>
        <w:ind w:left="1480"/>
        <w:spacing w:after="0"/>
        <w:tabs>
          <w:tab w:leader="none" w:pos="2180" w:val="left"/>
        </w:tabs>
        <w:rPr>
          <w:sz w:val="20"/>
          <w:szCs w:val="20"/>
          <w:color w:val="auto"/>
        </w:rPr>
      </w:pPr>
      <w:r>
        <w:rPr>
          <w:rFonts w:ascii="Arial" w:cs="Arial" w:eastAsia="Arial" w:hAnsi="Arial"/>
          <w:sz w:val="20"/>
          <w:szCs w:val="20"/>
          <w:u w:val="single" w:color="auto"/>
          <w:color w:val="0000FF"/>
        </w:rPr>
        <w:t>99.1</w:t>
      </w:r>
      <w:r>
        <w:rPr>
          <w:sz w:val="20"/>
          <w:szCs w:val="20"/>
          <w:color w:val="auto"/>
        </w:rPr>
        <w:tab/>
      </w:r>
      <w:r>
        <w:rPr>
          <w:rFonts w:ascii="Arial" w:cs="Arial" w:eastAsia="Arial" w:hAnsi="Arial"/>
          <w:sz w:val="15"/>
          <w:szCs w:val="15"/>
          <w:color w:val="auto"/>
        </w:rPr>
        <w:t>Press Release, dated July 11, 2023.</w:t>
      </w:r>
    </w:p>
    <w:p>
      <w:pPr>
        <w:spacing w:after="0" w:line="83" w:lineRule="exact"/>
        <w:rPr>
          <w:sz w:val="20"/>
          <w:szCs w:val="20"/>
          <w:color w:val="auto"/>
        </w:rPr>
      </w:pPr>
    </w:p>
    <w:p>
      <w:pPr>
        <w:ind w:left="2200" w:hanging="666"/>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6"/>
          <w:szCs w:val="16"/>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 w:name="page5"/>
    <w:bookmarkEnd w:id="4"/>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July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27089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5" w:name="page6"/>
    <w:bookmarkEnd w:id="5"/>
    <w:p>
      <w:pPr>
        <w:ind w:left="10040"/>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July 6, 2023, is entered into by and among Earl Carlton (Carl) Ford, IV (the “</w:t>
      </w:r>
      <w:r>
        <w:rPr>
          <w:rFonts w:ascii="Arial" w:cs="Arial" w:eastAsia="Arial" w:hAnsi="Arial"/>
          <w:sz w:val="22"/>
          <w:szCs w:val="22"/>
          <w:b w:val="1"/>
          <w:bCs w:val="1"/>
          <w:color w:val="auto"/>
        </w:rPr>
        <w:t>Executive</w:t>
      </w:r>
      <w:r>
        <w:rPr>
          <w:rFonts w:ascii="Arial" w:cs="Arial" w:eastAsia="Arial" w:hAnsi="Arial"/>
          <w:sz w:val="22"/>
          <w:szCs w:val="22"/>
          <w:color w:val="auto"/>
        </w:rPr>
        <w:t xml:space="preserve">”), Academy Managing Co., L.L.C., a Texas limited liability company (the “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Academy Sports and Outdoors, Inc., a Delaware corporation (the </w:t>
      </w:r>
      <w:r>
        <w:rPr>
          <w:rFonts w:ascii="Arial" w:cs="Arial" w:eastAsia="Arial" w:hAnsi="Arial"/>
          <w:sz w:val="22"/>
          <w:szCs w:val="22"/>
          <w:b w:val="1"/>
          <w:bCs w:val="1"/>
          <w:color w:val="auto"/>
        </w:rPr>
        <w:t>“Parent</w:t>
      </w:r>
      <w:r>
        <w:rPr>
          <w:rFonts w:ascii="Arial" w:cs="Arial" w:eastAsia="Arial" w:hAnsi="Arial"/>
          <w:sz w:val="22"/>
          <w:szCs w:val="22"/>
          <w:color w:val="auto"/>
        </w:rPr>
        <w:t>,” and together with its subsidiaries and affiliates, the “</w:t>
      </w:r>
      <w:r>
        <w:rPr>
          <w:rFonts w:ascii="Arial" w:cs="Arial" w:eastAsia="Arial" w:hAnsi="Arial"/>
          <w:sz w:val="22"/>
          <w:szCs w:val="22"/>
          <w:b w:val="1"/>
          <w:bCs w:val="1"/>
          <w:color w:val="auto"/>
        </w:rPr>
        <w:t>Company Group</w:t>
      </w:r>
      <w:r>
        <w:rPr>
          <w:rFonts w:ascii="Arial" w:cs="Arial" w:eastAsia="Arial" w:hAnsi="Arial"/>
          <w:sz w:val="22"/>
          <w:szCs w:val="22"/>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wishes to continue to employ the Executive as the Executive Vice President and Chief</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Officer of the Company and the Executive wishes to continue to work as the Executive Vice President and Chief Financial Officer of the Company; and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wish to enter into this Agreement 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below; and</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Agreement is intended to supersede any and all prior agreements, arrangements or understandings</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Executive and the Company relating to the Executive’s provision of services to Company Group, including that certain Team Member Employment Agreement, dated December 11, 2018, by and among Executive and the Company (the “</w:t>
      </w:r>
      <w:r>
        <w:rPr>
          <w:rFonts w:ascii="Arial" w:cs="Arial" w:eastAsia="Arial" w:hAnsi="Arial"/>
          <w:sz w:val="22"/>
          <w:szCs w:val="22"/>
          <w:b w:val="1"/>
          <w:bCs w:val="1"/>
          <w:color w:val="auto"/>
        </w:rPr>
        <w:t>Prior Arrangements</w:t>
      </w:r>
      <w:r>
        <w:rPr>
          <w:rFonts w:ascii="Arial" w:cs="Arial" w:eastAsia="Arial" w:hAnsi="Arial"/>
          <w:sz w:val="22"/>
          <w:szCs w:val="22"/>
          <w:color w:val="auto"/>
        </w:rPr>
        <w:t>”), which Prior Arrangements shall be null and void and of no further force or effect upon and following the Effective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it is hereby agreed as follows:</w:t>
      </w:r>
    </w:p>
    <w:p>
      <w:pPr>
        <w:spacing w:after="0" w:line="193" w:lineRule="exact"/>
        <w:rPr>
          <w:sz w:val="20"/>
          <w:szCs w:val="20"/>
          <w:color w:val="auto"/>
        </w:rPr>
      </w:pPr>
    </w:p>
    <w:p>
      <w:pPr>
        <w:jc w:val="both"/>
        <w:ind w:firstLine="656"/>
        <w:spacing w:after="0" w:line="217" w:lineRule="auto"/>
        <w:tabs>
          <w:tab w:leader="none" w:pos="129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AND TERM</w:t>
      </w:r>
      <w:r>
        <w:rPr>
          <w:rFonts w:ascii="Arial" w:cs="Arial" w:eastAsia="Arial" w:hAnsi="Arial"/>
          <w:sz w:val="22"/>
          <w:szCs w:val="22"/>
          <w:color w:val="auto"/>
        </w:rPr>
        <w:t>. The Company hereby agrees to continue to employ the Executive,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hereby accepts such continued employment, on the terms and conditions hereinafter set forth. The period of employment of the Executive by the Company hereunder (the “</w:t>
      </w:r>
      <w:r>
        <w:rPr>
          <w:rFonts w:ascii="Arial" w:cs="Arial" w:eastAsia="Arial" w:hAnsi="Arial"/>
          <w:sz w:val="22"/>
          <w:szCs w:val="22"/>
          <w:b w:val="1"/>
          <w:bCs w:val="1"/>
          <w:color w:val="auto"/>
        </w:rPr>
        <w:t>Employment Period</w:t>
      </w:r>
      <w:r>
        <w:rPr>
          <w:rFonts w:ascii="Arial" w:cs="Arial" w:eastAsia="Arial" w:hAnsi="Arial"/>
          <w:sz w:val="22"/>
          <w:szCs w:val="22"/>
          <w:color w:val="auto"/>
        </w:rPr>
        <w:t>”) shall commence on July 12, 2023 (such date, the “</w:t>
      </w:r>
      <w:r>
        <w:rPr>
          <w:rFonts w:ascii="Arial" w:cs="Arial" w:eastAsia="Arial" w:hAnsi="Arial"/>
          <w:sz w:val="22"/>
          <w:szCs w:val="22"/>
          <w:b w:val="1"/>
          <w:bCs w:val="1"/>
          <w:color w:val="auto"/>
        </w:rPr>
        <w:t>Effective Date</w:t>
      </w:r>
      <w:r>
        <w:rPr>
          <w:rFonts w:ascii="Arial" w:cs="Arial" w:eastAsia="Arial" w:hAnsi="Arial"/>
          <w:sz w:val="22"/>
          <w:szCs w:val="22"/>
          <w:color w:val="auto"/>
        </w:rPr>
        <w:t>”) and shall end when terminated by either the Company or the Executive in accordance with Section 5 hereof.</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POSITION AND DUTIES.</w:t>
      </w:r>
    </w:p>
    <w:p>
      <w:pPr>
        <w:spacing w:after="0" w:line="185" w:lineRule="exact"/>
        <w:rPr>
          <w:rFonts w:ascii="Arial" w:cs="Arial" w:eastAsia="Arial" w:hAnsi="Arial"/>
          <w:sz w:val="22"/>
          <w:szCs w:val="22"/>
          <w:b w:val="1"/>
          <w:bCs w:val="1"/>
          <w:color w:val="auto"/>
        </w:rPr>
      </w:pPr>
    </w:p>
    <w:p>
      <w:pPr>
        <w:jc w:val="both"/>
        <w:ind w:firstLine="1304"/>
        <w:spacing w:after="0" w:line="252" w:lineRule="auto"/>
        <w:tabs>
          <w:tab w:leader="none" w:pos="1944" w:val="left"/>
        </w:tabs>
        <w:numPr>
          <w:ilvl w:val="1"/>
          <w:numId w:val="3"/>
        </w:numPr>
        <w:rPr>
          <w:rFonts w:ascii="Arial" w:cs="Arial" w:eastAsia="Arial" w:hAnsi="Arial"/>
          <w:sz w:val="19"/>
          <w:szCs w:val="19"/>
          <w:color w:val="auto"/>
        </w:rPr>
      </w:pPr>
      <w:r>
        <w:rPr>
          <w:rFonts w:ascii="Arial" w:cs="Arial" w:eastAsia="Arial" w:hAnsi="Arial"/>
          <w:sz w:val="19"/>
          <w:szCs w:val="19"/>
          <w:color w:val="auto"/>
        </w:rPr>
        <w:t>As of the Effective Date, the Executive shall serve as the Executive Vice President and Chief Financial Officer of the Company Group, in which capacity the Executive shall have such duties and authority as are customary to such position and as otherwise determined from time to time by the Company. The Executive shall report to the President of the Company Group (the “</w:t>
      </w:r>
      <w:r>
        <w:rPr>
          <w:rFonts w:ascii="Arial" w:cs="Arial" w:eastAsia="Arial" w:hAnsi="Arial"/>
          <w:sz w:val="19"/>
          <w:szCs w:val="19"/>
          <w:b w:val="1"/>
          <w:bCs w:val="1"/>
          <w:color w:val="auto"/>
        </w:rPr>
        <w:t>President</w:t>
      </w:r>
      <w:r>
        <w:rPr>
          <w:rFonts w:ascii="Arial" w:cs="Arial" w:eastAsia="Arial" w:hAnsi="Arial"/>
          <w:sz w:val="19"/>
          <w:szCs w:val="19"/>
          <w:color w:val="auto"/>
        </w:rPr>
        <w:t>”) or such other officer as may be designated by the Company from time to time. The Executive shall, if requested, also serve as an officer or director of any member of the Company Group for no additional compensation.</w:t>
      </w:r>
    </w:p>
    <w:p>
      <w:pPr>
        <w:spacing w:after="0" w:line="148" w:lineRule="exact"/>
        <w:rPr>
          <w:rFonts w:ascii="Arial" w:cs="Arial" w:eastAsia="Arial" w:hAnsi="Arial"/>
          <w:sz w:val="19"/>
          <w:szCs w:val="19"/>
          <w:color w:val="auto"/>
        </w:rPr>
      </w:pPr>
    </w:p>
    <w:p>
      <w:pPr>
        <w:jc w:val="both"/>
        <w:ind w:firstLine="1304"/>
        <w:spacing w:after="0" w:line="249" w:lineRule="auto"/>
        <w:tabs>
          <w:tab w:leader="none" w:pos="1944" w:val="left"/>
        </w:tabs>
        <w:numPr>
          <w:ilvl w:val="1"/>
          <w:numId w:val="3"/>
        </w:numPr>
        <w:rPr>
          <w:rFonts w:ascii="Arial" w:cs="Arial" w:eastAsia="Arial" w:hAnsi="Arial"/>
          <w:sz w:val="19"/>
          <w:szCs w:val="19"/>
          <w:color w:val="auto"/>
        </w:rPr>
      </w:pPr>
      <w:r>
        <w:rPr>
          <w:rFonts w:ascii="Arial" w:cs="Arial" w:eastAsia="Arial" w:hAnsi="Arial"/>
          <w:sz w:val="19"/>
          <w:szCs w:val="19"/>
          <w:color w:val="auto"/>
        </w:rPr>
        <w:t>During the Employment Period, the Executive agrees to devote the Executive’s full time and reasonable best efforts to the performance of the Executive’s duties to the Company Group. The foregoing shall not be construed to prohibit the Executive from engaging in activities relating to serving on civic and charitable boards or committees, managing personal investments, and otherwise engaging in activities as approved in writing by the Chief Executive Officer of the Company Group (the “</w:t>
      </w:r>
      <w:r>
        <w:rPr>
          <w:rFonts w:ascii="Arial" w:cs="Arial" w:eastAsia="Arial" w:hAnsi="Arial"/>
          <w:sz w:val="19"/>
          <w:szCs w:val="19"/>
          <w:b w:val="1"/>
          <w:bCs w:val="1"/>
          <w:color w:val="auto"/>
        </w:rPr>
        <w:t>CEO</w:t>
      </w:r>
      <w:r>
        <w:rPr>
          <w:rFonts w:ascii="Arial" w:cs="Arial" w:eastAsia="Arial" w:hAnsi="Arial"/>
          <w:sz w:val="19"/>
          <w:szCs w:val="19"/>
          <w:color w:val="auto"/>
        </w:rPr>
        <w:t>”) or the President; provided that such activities do not significantly interfere or conflict with the performance by the Executive of the Executive’s duties, responsibilities, or authorities hereunder.</w:t>
      </w:r>
    </w:p>
    <w:p>
      <w:pPr>
        <w:spacing w:after="0" w:line="145"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PLACE OF PERFORMANCE</w:t>
      </w:r>
      <w:r>
        <w:rPr>
          <w:rFonts w:ascii="Arial" w:cs="Arial" w:eastAsia="Arial" w:hAnsi="Arial"/>
          <w:sz w:val="19"/>
          <w:szCs w:val="19"/>
          <w:color w:val="auto"/>
        </w:rPr>
        <w:t>. During the Employment Period, the Executive’s principal business address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at the Company’s current principal executive offices in Katy, Texas (the “</w:t>
      </w:r>
      <w:r>
        <w:rPr>
          <w:rFonts w:ascii="Arial" w:cs="Arial" w:eastAsia="Arial" w:hAnsi="Arial"/>
          <w:sz w:val="19"/>
          <w:szCs w:val="19"/>
          <w:b w:val="1"/>
          <w:bCs w:val="1"/>
          <w:color w:val="auto"/>
        </w:rPr>
        <w:t>Principal Place of Employment</w:t>
      </w:r>
      <w:r>
        <w:rPr>
          <w:rFonts w:ascii="Arial" w:cs="Arial" w:eastAsia="Arial" w:hAnsi="Arial"/>
          <w:sz w:val="19"/>
          <w:szCs w:val="19"/>
          <w:color w:val="auto"/>
        </w:rPr>
        <w:t>”). The Executive acknowledges that the Executive’s duties and responsibilities shall require the Executive to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94"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on business to the extent reasonably necessary to fully perform the Executive’s duties and responsibilities hereunder.</w:t>
      </w:r>
    </w:p>
    <w:p>
      <w:pPr>
        <w:spacing w:after="0" w:line="18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p>
    <w:p>
      <w:pPr>
        <w:spacing w:after="0" w:line="185" w:lineRule="exact"/>
        <w:rPr>
          <w:rFonts w:ascii="Arial" w:cs="Arial" w:eastAsia="Arial" w:hAnsi="Arial"/>
          <w:sz w:val="22"/>
          <w:szCs w:val="22"/>
          <w:b w:val="1"/>
          <w:bCs w:val="1"/>
          <w:color w:val="auto"/>
        </w:rPr>
      </w:pPr>
    </w:p>
    <w:p>
      <w:pPr>
        <w:jc w:val="both"/>
        <w:ind w:firstLine="1304"/>
        <w:spacing w:after="0" w:line="218" w:lineRule="auto"/>
        <w:tabs>
          <w:tab w:leader="none" w:pos="1944"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 xml:space="preserve">Base Salary. </w:t>
      </w:r>
      <w:r>
        <w:rPr>
          <w:rFonts w:ascii="Arial" w:cs="Arial" w:eastAsia="Arial" w:hAnsi="Arial"/>
          <w:sz w:val="22"/>
          <w:szCs w:val="22"/>
          <w:color w:val="auto"/>
        </w:rPr>
        <w:t>Commencing as of the Effective Date, the Company shall pay the Executive an annual base</w:t>
      </w:r>
      <w:r>
        <w:rPr>
          <w:rFonts w:ascii="Arial" w:cs="Arial" w:eastAsia="Arial" w:hAnsi="Arial"/>
          <w:sz w:val="22"/>
          <w:szCs w:val="22"/>
          <w:i w:val="1"/>
          <w:iCs w:val="1"/>
          <w:color w:val="auto"/>
        </w:rPr>
        <w:t xml:space="preserve"> </w:t>
      </w:r>
      <w:r>
        <w:rPr>
          <w:rFonts w:ascii="Arial" w:cs="Arial" w:eastAsia="Arial" w:hAnsi="Arial"/>
          <w:sz w:val="22"/>
          <w:szCs w:val="22"/>
          <w:color w:val="auto"/>
        </w:rPr>
        <w:t>salary of $500,000.00 (the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Company’s customary payroll practices. The Base Salary may, at the discretion of the Board of Directors of the Parent (the “</w:t>
      </w:r>
      <w:r>
        <w:rPr>
          <w:rFonts w:ascii="Arial" w:cs="Arial" w:eastAsia="Arial" w:hAnsi="Arial"/>
          <w:sz w:val="22"/>
          <w:szCs w:val="22"/>
          <w:b w:val="1"/>
          <w:bCs w:val="1"/>
          <w:color w:val="auto"/>
        </w:rPr>
        <w:t>Board</w:t>
      </w:r>
      <w:r>
        <w:rPr>
          <w:rFonts w:ascii="Arial" w:cs="Arial" w:eastAsia="Arial" w:hAnsi="Arial"/>
          <w:sz w:val="22"/>
          <w:szCs w:val="22"/>
          <w:color w:val="auto"/>
        </w:rPr>
        <w:t>”) or any committee thereof, be adjusted during the Employment Period.</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944" w:val="left"/>
        </w:tabs>
        <w:numPr>
          <w:ilvl w:val="1"/>
          <w:numId w:val="4"/>
        </w:numPr>
        <w:rPr>
          <w:rFonts w:ascii="Arial" w:cs="Arial" w:eastAsia="Arial" w:hAnsi="Arial"/>
          <w:sz w:val="19"/>
          <w:szCs w:val="19"/>
          <w:color w:val="auto"/>
        </w:rPr>
      </w:pPr>
      <w:r>
        <w:rPr>
          <w:rFonts w:ascii="Arial" w:cs="Arial" w:eastAsia="Arial" w:hAnsi="Arial"/>
          <w:sz w:val="19"/>
          <w:szCs w:val="19"/>
          <w:i w:val="1"/>
          <w:iCs w:val="1"/>
          <w:color w:val="auto"/>
        </w:rPr>
        <w:t xml:space="preserve">Annual Bonuses. </w:t>
      </w:r>
      <w:r>
        <w:rPr>
          <w:rFonts w:ascii="Arial" w:cs="Arial" w:eastAsia="Arial" w:hAnsi="Arial"/>
          <w:sz w:val="19"/>
          <w:szCs w:val="19"/>
          <w:color w:val="auto"/>
        </w:rPr>
        <w:t>During the Employment Period, the Executive shall be eligible to receive an annual cash</w:t>
      </w:r>
      <w:r>
        <w:rPr>
          <w:rFonts w:ascii="Arial" w:cs="Arial" w:eastAsia="Arial" w:hAnsi="Arial"/>
          <w:sz w:val="19"/>
          <w:szCs w:val="19"/>
          <w:i w:val="1"/>
          <w:iCs w:val="1"/>
          <w:color w:val="auto"/>
        </w:rPr>
        <w:t xml:space="preserve"> </w:t>
      </w:r>
      <w:r>
        <w:rPr>
          <w:rFonts w:ascii="Arial" w:cs="Arial" w:eastAsia="Arial" w:hAnsi="Arial"/>
          <w:sz w:val="19"/>
          <w:szCs w:val="19"/>
          <w:color w:val="auto"/>
        </w:rPr>
        <w:t>bonus based on performance objectives established by the Board or a committee thereof for each fiscal year (the “</w:t>
      </w:r>
      <w:r>
        <w:rPr>
          <w:rFonts w:ascii="Arial" w:cs="Arial" w:eastAsia="Arial" w:hAnsi="Arial"/>
          <w:sz w:val="19"/>
          <w:szCs w:val="19"/>
          <w:b w:val="1"/>
          <w:b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color w:val="auto"/>
        </w:rPr>
        <w:t>Bonus</w:t>
      </w:r>
      <w:r>
        <w:rPr>
          <w:rFonts w:ascii="Arial" w:cs="Arial" w:eastAsia="Arial" w:hAnsi="Arial"/>
          <w:sz w:val="19"/>
          <w:szCs w:val="19"/>
          <w:color w:val="auto"/>
        </w:rPr>
        <w:t>”). The Executive’s target Annual Bonus amount will be the 120% of the Base Salary in effect as of the end of the fiscal</w:t>
      </w:r>
      <w:r>
        <w:rPr>
          <w:rFonts w:ascii="Arial" w:cs="Arial" w:eastAsia="Arial" w:hAnsi="Arial"/>
          <w:sz w:val="19"/>
          <w:szCs w:val="19"/>
          <w:b w:val="1"/>
          <w:bCs w:val="1"/>
          <w:color w:val="auto"/>
        </w:rPr>
        <w:t xml:space="preserve"> </w:t>
      </w:r>
      <w:r>
        <w:rPr>
          <w:rFonts w:ascii="Arial" w:cs="Arial" w:eastAsia="Arial" w:hAnsi="Arial"/>
          <w:sz w:val="19"/>
          <w:szCs w:val="19"/>
          <w:color w:val="auto"/>
        </w:rPr>
        <w:t>year applicable to such Annual Bonus, or such other percentage of Base Salary designated as the target by the Board or a committee thereof (the “</w:t>
      </w:r>
      <w:r>
        <w:rPr>
          <w:rFonts w:ascii="Arial" w:cs="Arial" w:eastAsia="Arial" w:hAnsi="Arial"/>
          <w:sz w:val="19"/>
          <w:szCs w:val="19"/>
          <w:b w:val="1"/>
          <w:bCs w:val="1"/>
          <w:color w:val="auto"/>
        </w:rPr>
        <w:t>Target Bonus Opportunity</w:t>
      </w:r>
      <w:r>
        <w:rPr>
          <w:rFonts w:ascii="Arial" w:cs="Arial" w:eastAsia="Arial" w:hAnsi="Arial"/>
          <w:sz w:val="19"/>
          <w:szCs w:val="19"/>
          <w:color w:val="auto"/>
        </w:rPr>
        <w:t>”). Notwithstanding the preceding, the Executive’s Annual Bonus, if any, may be below (including zero), at, or above the target based upon the achievement of the performance objectives.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 xml:space="preserve">The actual Annual Bonus payable, if any, shall be determined based on the achievement of the pre-established performance targets for each applicable fiscal year, with any Annual Bonus earned thereunder to be paid in the immediately following fiscal year in accordance with the Company’s annual incentive plan;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as expressly provided otherwise herein, the Executive’s continued employment or service through the payment date shall be required in order for Executive to earn such Annual Bonus. Except as specifically provided in Section 7 hereof, the Executive shall not be entitled to a pro rata Annual Bonus upon a termination of employment for any reason. For the avoidance of doubt, the Annual Bonus for fiscal year 2023 shall be pro-rated and determined in accordance with the applicable plan documents then in effect for the period commencing on January 29, 2023 and ending on the day immediately prior to the Effective Date and the period commencing on the Effective Date and until the end of fiscal year 2023.</w:t>
      </w:r>
    </w:p>
    <w:p>
      <w:pPr>
        <w:spacing w:after="0" w:line="376" w:lineRule="exact"/>
        <w:rPr>
          <w:sz w:val="20"/>
          <w:szCs w:val="20"/>
          <w:color w:val="auto"/>
        </w:rPr>
      </w:pPr>
    </w:p>
    <w:p>
      <w:pPr>
        <w:jc w:val="both"/>
        <w:ind w:firstLine="1304"/>
        <w:spacing w:after="0" w:line="216" w:lineRule="auto"/>
        <w:tabs>
          <w:tab w:leader="none" w:pos="1944"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Expenses. </w:t>
      </w:r>
      <w:r>
        <w:rPr>
          <w:rFonts w:ascii="Arial" w:cs="Arial" w:eastAsia="Arial" w:hAnsi="Arial"/>
          <w:sz w:val="22"/>
          <w:szCs w:val="22"/>
          <w:color w:val="auto"/>
        </w:rPr>
        <w:t>The Company Group shall reimburse the Executive for all reasonable business, entertainment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travel expenses incurred during the Employment Period by the Executive in performing services hereunder, including all travel expenses while away from the Katy, Texas area on business or at the request of and in the service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in each case, that such expenses are incurred, accounted for, and reimbursed in accordance with the Company’s expense reimbursement policy.</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Other Benefits. </w:t>
      </w:r>
      <w:r>
        <w:rPr>
          <w:rFonts w:ascii="Arial" w:cs="Arial" w:eastAsia="Arial" w:hAnsi="Arial"/>
          <w:sz w:val="22"/>
          <w:szCs w:val="22"/>
          <w:color w:val="auto"/>
        </w:rPr>
        <w:t>During the Employment Period, the Executive shall be entitled to participate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employee benefit plans as in effect from time to time (the “</w:t>
      </w:r>
      <w:r>
        <w:rPr>
          <w:rFonts w:ascii="Arial" w:cs="Arial" w:eastAsia="Arial" w:hAnsi="Arial"/>
          <w:sz w:val="22"/>
          <w:szCs w:val="22"/>
          <w:b w:val="1"/>
          <w:bCs w:val="1"/>
          <w:color w:val="auto"/>
        </w:rPr>
        <w:t>Employee Benefits</w:t>
      </w:r>
      <w:r>
        <w:rPr>
          <w:rFonts w:ascii="Arial" w:cs="Arial" w:eastAsia="Arial" w:hAnsi="Arial"/>
          <w:sz w:val="22"/>
          <w:szCs w:val="22"/>
          <w:color w:val="auto"/>
        </w:rPr>
        <w:t>”), on the same basis as those benefits are generally made available to other senior executives of the Company, in each case to the extent that the Executive is eligible under the terms of such plans or programs. The Company shall have the right to change, amend or discontinue any benefit plan, program, or arrangement at any time.</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Paid Time Off. </w:t>
      </w:r>
      <w:r>
        <w:rPr>
          <w:rFonts w:ascii="Arial" w:cs="Arial" w:eastAsia="Arial" w:hAnsi="Arial"/>
          <w:sz w:val="22"/>
          <w:szCs w:val="22"/>
          <w:color w:val="auto"/>
        </w:rPr>
        <w:t>During the Employment Period, the Executive shall be entitled to accrue paid time off</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PTO</w:t>
      </w:r>
      <w:r>
        <w:rPr>
          <w:rFonts w:ascii="Arial" w:cs="Arial" w:eastAsia="Arial" w:hAnsi="Arial"/>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7" w:name="page8"/>
    <w:bookmarkEnd w:id="7"/>
    <w:p>
      <w:pPr>
        <w:ind w:firstLine="1304"/>
        <w:spacing w:after="0" w:line="232" w:lineRule="auto"/>
        <w:tabs>
          <w:tab w:leader="none" w:pos="1944" w:val="left"/>
        </w:tabs>
        <w:numPr>
          <w:ilvl w:val="1"/>
          <w:numId w:val="6"/>
        </w:numPr>
        <w:rPr>
          <w:rFonts w:ascii="Arial" w:cs="Arial" w:eastAsia="Arial" w:hAnsi="Arial"/>
          <w:sz w:val="22"/>
          <w:szCs w:val="22"/>
          <w:color w:val="auto"/>
        </w:rPr>
      </w:pPr>
      <w:r>
        <w:rPr>
          <w:rFonts w:ascii="Arial" w:cs="Arial" w:eastAsia="Arial" w:hAnsi="Arial"/>
          <w:sz w:val="22"/>
          <w:szCs w:val="22"/>
          <w:i w:val="1"/>
          <w:iCs w:val="1"/>
          <w:color w:val="auto"/>
        </w:rPr>
        <w:t>Annual Equity Grants</w:t>
      </w:r>
      <w:r>
        <w:rPr>
          <w:rFonts w:ascii="Arial" w:cs="Arial" w:eastAsia="Arial" w:hAnsi="Arial"/>
          <w:sz w:val="22"/>
          <w:szCs w:val="22"/>
          <w:color w:val="auto"/>
        </w:rPr>
        <w:t>. The Executive’s eligibility to receive and the terms and conditions of future annual</w:t>
      </w:r>
      <w:r>
        <w:rPr>
          <w:rFonts w:ascii="Arial" w:cs="Arial" w:eastAsia="Arial" w:hAnsi="Arial"/>
          <w:sz w:val="22"/>
          <w:szCs w:val="22"/>
          <w:i w:val="1"/>
          <w:iCs w:val="1"/>
          <w:color w:val="auto"/>
        </w:rPr>
        <w:t xml:space="preserve"> </w:t>
      </w:r>
      <w:r>
        <w:rPr>
          <w:rFonts w:ascii="Arial" w:cs="Arial" w:eastAsia="Arial" w:hAnsi="Arial"/>
          <w:sz w:val="22"/>
          <w:szCs w:val="22"/>
          <w:color w:val="auto"/>
        </w:rPr>
        <w:t>equity awards will be determined by the Board or a committee thereof in its sole discretion.</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Employment Period shall end and this Agreement and the Executive’s employment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in the event of a termination of the Executive’s employment in accordance with any of the provisions of this Section 5 and Section 6, as applicable, on the Date of Termination.</w:t>
      </w:r>
    </w:p>
    <w:p>
      <w:pPr>
        <w:spacing w:after="0" w:line="158" w:lineRule="exact"/>
        <w:rPr>
          <w:rFonts w:ascii="Arial" w:cs="Arial" w:eastAsia="Arial" w:hAnsi="Arial"/>
          <w:sz w:val="22"/>
          <w:szCs w:val="22"/>
          <w:b w:val="1"/>
          <w:bCs w:val="1"/>
          <w:color w:val="auto"/>
        </w:rPr>
      </w:pPr>
    </w:p>
    <w:p>
      <w:pPr>
        <w:ind w:left="1960" w:hanging="656"/>
        <w:spacing w:after="0"/>
        <w:tabs>
          <w:tab w:leader="none" w:pos="1960" w:val="left"/>
        </w:tabs>
        <w:numPr>
          <w:ilvl w:val="1"/>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Death. </w:t>
      </w:r>
      <w:r>
        <w:rPr>
          <w:rFonts w:ascii="Arial" w:cs="Arial" w:eastAsia="Arial" w:hAnsi="Arial"/>
          <w:sz w:val="19"/>
          <w:szCs w:val="19"/>
          <w:color w:val="auto"/>
        </w:rPr>
        <w:t>The Executive’s employment hereunder and this Agreement shall terminate upon the Executive’s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death.</w:t>
      </w:r>
    </w:p>
    <w:p>
      <w:pPr>
        <w:spacing w:after="0" w:line="161" w:lineRule="exact"/>
        <w:rPr>
          <w:rFonts w:ascii="Arial" w:cs="Arial" w:eastAsia="Arial" w:hAnsi="Arial"/>
          <w:sz w:val="19"/>
          <w:szCs w:val="19"/>
          <w:color w:val="auto"/>
        </w:rPr>
      </w:pPr>
    </w:p>
    <w:p>
      <w:pPr>
        <w:jc w:val="both"/>
        <w:ind w:firstLine="1304"/>
        <w:spacing w:after="0" w:line="224" w:lineRule="auto"/>
        <w:tabs>
          <w:tab w:leader="none" w:pos="1944" w:val="left"/>
        </w:tabs>
        <w:numPr>
          <w:ilvl w:val="1"/>
          <w:numId w:val="7"/>
        </w:numPr>
        <w:rPr>
          <w:rFonts w:ascii="Arial" w:cs="Arial" w:eastAsia="Arial" w:hAnsi="Arial"/>
          <w:sz w:val="21"/>
          <w:szCs w:val="21"/>
          <w:color w:val="auto"/>
        </w:rPr>
      </w:pPr>
      <w:r>
        <w:rPr>
          <w:rFonts w:ascii="Arial" w:cs="Arial" w:eastAsia="Arial" w:hAnsi="Arial"/>
          <w:sz w:val="21"/>
          <w:szCs w:val="21"/>
          <w:i w:val="1"/>
          <w:iCs w:val="1"/>
          <w:color w:val="auto"/>
        </w:rPr>
        <w:t xml:space="preserve">Disability. </w:t>
      </w:r>
      <w:r>
        <w:rPr>
          <w:rFonts w:ascii="Arial" w:cs="Arial" w:eastAsia="Arial" w:hAnsi="Arial"/>
          <w:sz w:val="21"/>
          <w:szCs w:val="21"/>
          <w:color w:val="auto"/>
        </w:rPr>
        <w:t>The Company may terminate the Executive’s employment and this Agreement as a result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Executive’s Disability.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means a condition entitling the Executive to receive benefits under a long-term disability plan of any member of the Company Group in which the Executive is eligible to participate, or, in the absence of such a plan, the complete and permanent inability of the Executive by reason of illness or accident to perform the duties of the Executive’s position. Any determination of whether Disability exists in the absence of a long-term disability plan shall be made by the Company in its sole and absolute discretion.</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944" w:val="left"/>
        </w:tabs>
        <w:numPr>
          <w:ilvl w:val="1"/>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Cause. </w:t>
      </w:r>
      <w:r>
        <w:rPr>
          <w:rFonts w:ascii="Arial" w:cs="Arial" w:eastAsia="Arial" w:hAnsi="Arial"/>
          <w:sz w:val="22"/>
          <w:szCs w:val="22"/>
          <w:color w:val="auto"/>
        </w:rPr>
        <w:t>The Company may terminate the Executive’s employment hereunder and this Agreement for Cause.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 purposes of this Agreement, the Company shall have </w:t>
      </w:r>
      <w:r>
        <w:rPr>
          <w:rFonts w:ascii="Arial" w:cs="Arial" w:eastAsia="Arial" w:hAnsi="Arial"/>
          <w:sz w:val="22"/>
          <w:szCs w:val="22"/>
          <w:i w:val="1"/>
          <w:iCs w:val="1"/>
          <w:color w:val="auto"/>
        </w:rPr>
        <w:t>“</w:t>
      </w:r>
      <w:r>
        <w:rPr>
          <w:rFonts w:ascii="Arial" w:cs="Arial" w:eastAsia="Arial" w:hAnsi="Arial"/>
          <w:sz w:val="22"/>
          <w:szCs w:val="22"/>
          <w:b w:val="1"/>
          <w:bCs w:val="1"/>
          <w:color w:val="auto"/>
        </w:rPr>
        <w:t>Cause</w:t>
      </w:r>
      <w:r>
        <w:rPr>
          <w:rFonts w:ascii="Arial" w:cs="Arial" w:eastAsia="Arial" w:hAnsi="Arial"/>
          <w:sz w:val="22"/>
          <w:szCs w:val="22"/>
          <w:i w:val="1"/>
          <w:iCs w:val="1"/>
          <w:color w:val="auto"/>
        </w:rPr>
        <w:t>”</w:t>
      </w:r>
      <w:r>
        <w:rPr>
          <w:rFonts w:ascii="Arial" w:cs="Arial" w:eastAsia="Arial" w:hAnsi="Arial"/>
          <w:sz w:val="22"/>
          <w:szCs w:val="22"/>
          <w:color w:val="auto"/>
        </w:rPr>
        <w:t xml:space="preserve"> to terminate the Executive’s employment hereunder upon the occurrence of any of the following events:</w:t>
      </w:r>
    </w:p>
    <w:p>
      <w:pPr>
        <w:spacing w:after="0" w:line="158" w:lineRule="exact"/>
        <w:rPr>
          <w:rFonts w:ascii="Arial" w:cs="Arial" w:eastAsia="Arial" w:hAnsi="Arial"/>
          <w:sz w:val="22"/>
          <w:szCs w:val="22"/>
          <w:color w:val="auto"/>
        </w:rPr>
      </w:pPr>
    </w:p>
    <w:p>
      <w:pPr>
        <w:ind w:left="660" w:firstLine="1088"/>
        <w:spacing w:after="0" w:line="232" w:lineRule="auto"/>
        <w:tabs>
          <w:tab w:leader="none" w:pos="2034"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willful neglect in the performance of the Executive’s duties for the Company Group or willful or repeated failure or refusal to perform such duties;</w:t>
      </w:r>
    </w:p>
    <w:p>
      <w:pPr>
        <w:spacing w:after="0" w:line="158" w:lineRule="exact"/>
        <w:rPr>
          <w:rFonts w:ascii="Arial" w:cs="Arial" w:eastAsia="Arial" w:hAnsi="Arial"/>
          <w:sz w:val="22"/>
          <w:szCs w:val="22"/>
          <w:color w:val="auto"/>
        </w:rPr>
      </w:pPr>
    </w:p>
    <w:p>
      <w:pPr>
        <w:jc w:val="both"/>
        <w:ind w:left="660" w:firstLine="1028"/>
        <w:spacing w:after="0" w:line="223" w:lineRule="auto"/>
        <w:tabs>
          <w:tab w:leader="none" w:pos="2012"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engagement in conduct in connection with the Executive’s employment or service with the Company Group, which results in, or could reasonably be expected to result in, material harm to the business or reputation of the Company or any other member of the Company Group;</w:t>
      </w:r>
    </w:p>
    <w:p>
      <w:pPr>
        <w:spacing w:after="0" w:line="158" w:lineRule="exact"/>
        <w:rPr>
          <w:rFonts w:ascii="Arial" w:cs="Arial" w:eastAsia="Arial" w:hAnsi="Arial"/>
          <w:sz w:val="22"/>
          <w:szCs w:val="22"/>
          <w:color w:val="auto"/>
        </w:rPr>
      </w:pPr>
    </w:p>
    <w:p>
      <w:pPr>
        <w:jc w:val="both"/>
        <w:ind w:left="660" w:firstLine="968"/>
        <w:spacing w:after="0" w:line="223" w:lineRule="auto"/>
        <w:tabs>
          <w:tab w:leader="none" w:pos="2011"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conviction of, or plea of guilty or no contest to, (A) any felony; or (V) any other crime that results in, or could reasonably be expected to result in, material harm to the business or reputation of the Company or any other member of the Company Group;</w:t>
      </w:r>
    </w:p>
    <w:p>
      <w:pPr>
        <w:spacing w:after="0" w:line="158" w:lineRule="exact"/>
        <w:rPr>
          <w:rFonts w:ascii="Arial" w:cs="Arial" w:eastAsia="Arial" w:hAnsi="Arial"/>
          <w:sz w:val="22"/>
          <w:szCs w:val="22"/>
          <w:color w:val="auto"/>
        </w:rPr>
      </w:pPr>
    </w:p>
    <w:p>
      <w:pPr>
        <w:jc w:val="both"/>
        <w:ind w:left="660" w:firstLine="980"/>
        <w:spacing w:after="0" w:line="223" w:lineRule="auto"/>
        <w:tabs>
          <w:tab w:leader="none" w:pos="2016"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material violation of any of the written policies of the Company Group, including, but not limited to, those relating to sexual harassment or the disclosure or misuse of confidential information, and the Ethics and Code of Conduct Policy;</w:t>
      </w:r>
    </w:p>
    <w:p>
      <w:pPr>
        <w:spacing w:after="0" w:line="158" w:lineRule="exact"/>
        <w:rPr>
          <w:rFonts w:ascii="Arial" w:cs="Arial" w:eastAsia="Arial" w:hAnsi="Arial"/>
          <w:sz w:val="22"/>
          <w:szCs w:val="22"/>
          <w:color w:val="auto"/>
        </w:rPr>
      </w:pPr>
    </w:p>
    <w:p>
      <w:pPr>
        <w:ind w:left="660" w:firstLine="1040"/>
        <w:spacing w:after="0" w:line="232" w:lineRule="auto"/>
        <w:tabs>
          <w:tab w:leader="none" w:pos="2020"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fraud or misappropriation, embezzlement or misuse of funds or property belonging to the Company or any other member of the Company Group; or</w:t>
      </w:r>
    </w:p>
    <w:p>
      <w:pPr>
        <w:spacing w:after="0" w:line="158" w:lineRule="exact"/>
        <w:rPr>
          <w:rFonts w:ascii="Arial" w:cs="Arial" w:eastAsia="Arial" w:hAnsi="Arial"/>
          <w:sz w:val="22"/>
          <w:szCs w:val="22"/>
          <w:color w:val="auto"/>
        </w:rPr>
      </w:pPr>
    </w:p>
    <w:p>
      <w:pPr>
        <w:ind w:left="660" w:firstLine="980"/>
        <w:spacing w:after="0" w:line="232" w:lineRule="auto"/>
        <w:tabs>
          <w:tab w:leader="none" w:pos="2015"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Executive’s act of personal dishonesty that involves personal profit in connection with the Executive’s employment or service to the Company Group.</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7"/>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hereunder for Good Reason.</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for the Executive’s termination of employment shall mean the occurrence, without the Executive’s prior written consent, of any one or more 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the following that constitutes a material negative change to the Executive in the service relationship:</w:t>
      </w:r>
    </w:p>
    <w:p>
      <w:pPr>
        <w:spacing w:after="0" w:line="179" w:lineRule="exact"/>
        <w:rPr>
          <w:sz w:val="20"/>
          <w:szCs w:val="20"/>
          <w:color w:val="auto"/>
        </w:rPr>
      </w:pPr>
    </w:p>
    <w:p>
      <w:pPr>
        <w:ind w:left="660" w:firstLine="1088"/>
        <w:spacing w:after="0" w:line="232" w:lineRule="auto"/>
        <w:tabs>
          <w:tab w:leader="none" w:pos="2028"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reduction in the Base Salary, other than as part of an across the board reduction in base salaries of no more than 15% that is applied to all similarly situated executives;</w:t>
      </w:r>
    </w:p>
    <w:p>
      <w:pPr>
        <w:spacing w:after="0" w:line="158" w:lineRule="exact"/>
        <w:rPr>
          <w:rFonts w:ascii="Arial" w:cs="Arial" w:eastAsia="Arial" w:hAnsi="Arial"/>
          <w:sz w:val="22"/>
          <w:szCs w:val="22"/>
          <w:color w:val="auto"/>
        </w:rPr>
      </w:pPr>
    </w:p>
    <w:p>
      <w:pPr>
        <w:ind w:left="2040" w:hanging="352"/>
        <w:spacing w:after="0"/>
        <w:tabs>
          <w:tab w:leader="none" w:pos="20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requiring the Executive to be based at any office located more than 50 miles from Katy,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Texas; or</w:t>
      </w:r>
    </w:p>
    <w:p>
      <w:pPr>
        <w:spacing w:after="0" w:line="161" w:lineRule="exact"/>
        <w:rPr>
          <w:rFonts w:ascii="Arial" w:cs="Arial" w:eastAsia="Arial" w:hAnsi="Arial"/>
          <w:sz w:val="19"/>
          <w:szCs w:val="19"/>
          <w:color w:val="auto"/>
        </w:rPr>
      </w:pPr>
    </w:p>
    <w:p>
      <w:pPr>
        <w:ind w:left="2000" w:hanging="372"/>
        <w:spacing w:after="0"/>
        <w:tabs>
          <w:tab w:leader="none" w:pos="20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material breach by the Company or the Parent of any material provision of this Agreement.</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Notwithstanding the foregoing, Good Reason shall cease to exist unless (A) within sixty (60) days of Executive’s knowledge of the initial existence of the condition or conditions giving rise to Good Reason the Executive provides written notice to the Company of the existence of such condition or conditions, (B) the Company fails to remedy such condition or conditions within thirty (30) days following the receipt of such written notice (the “</w:t>
      </w:r>
      <w:r>
        <w:rPr>
          <w:rFonts w:ascii="Arial" w:cs="Arial" w:eastAsia="Arial" w:hAnsi="Arial"/>
          <w:sz w:val="19"/>
          <w:szCs w:val="19"/>
          <w:b w:val="1"/>
          <w:bCs w:val="1"/>
          <w:color w:val="auto"/>
        </w:rPr>
        <w:t>Cure Period</w:t>
      </w:r>
      <w:r>
        <w:rPr>
          <w:rFonts w:ascii="Arial" w:cs="Arial" w:eastAsia="Arial" w:hAnsi="Arial"/>
          <w:sz w:val="19"/>
          <w:szCs w:val="19"/>
          <w:color w:val="auto"/>
        </w:rPr>
        <w:t xml:space="preserve"> ”), (C) if any such condition is not remedied within such Cure Period, the Executive provides a notice of termination for Good Reason to the Company and (D) the Executive’s employment terminates on the termination date set forth in such notice of termination.</w:t>
      </w:r>
    </w:p>
    <w:p>
      <w:pPr>
        <w:spacing w:after="0" w:line="152" w:lineRule="exact"/>
        <w:rPr>
          <w:sz w:val="20"/>
          <w:szCs w:val="20"/>
          <w:color w:val="auto"/>
        </w:rPr>
      </w:pPr>
    </w:p>
    <w:p>
      <w:pPr>
        <w:jc w:val="both"/>
        <w:ind w:firstLine="1304"/>
        <w:spacing w:after="0" w:line="226" w:lineRule="auto"/>
        <w:tabs>
          <w:tab w:leader="none" w:pos="1944" w:val="left"/>
        </w:tabs>
        <w:numPr>
          <w:ilvl w:val="1"/>
          <w:numId w:val="9"/>
        </w:numPr>
        <w:rPr>
          <w:rFonts w:ascii="Arial" w:cs="Arial" w:eastAsia="Arial" w:hAnsi="Arial"/>
          <w:sz w:val="21"/>
          <w:szCs w:val="21"/>
          <w:color w:val="auto"/>
        </w:rPr>
      </w:pPr>
      <w:r>
        <w:rPr>
          <w:rFonts w:ascii="Arial" w:cs="Arial" w:eastAsia="Arial" w:hAnsi="Arial"/>
          <w:sz w:val="21"/>
          <w:szCs w:val="21"/>
          <w:i w:val="1"/>
          <w:iCs w:val="1"/>
          <w:color w:val="auto"/>
        </w:rPr>
        <w:t xml:space="preserve">Without Cause or Good Reason. </w:t>
      </w:r>
      <w:r>
        <w:rPr>
          <w:rFonts w:ascii="Arial" w:cs="Arial" w:eastAsia="Arial" w:hAnsi="Arial"/>
          <w:sz w:val="21"/>
          <w:szCs w:val="21"/>
          <w:color w:val="auto"/>
        </w:rPr>
        <w:t>Either party hereto may terminate the employment of the Executive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PROCEDURE.</w:t>
      </w:r>
    </w:p>
    <w:p>
      <w:pPr>
        <w:spacing w:after="0" w:line="185" w:lineRule="exact"/>
        <w:rPr>
          <w:rFonts w:ascii="Arial" w:cs="Arial" w:eastAsia="Arial" w:hAnsi="Arial"/>
          <w:sz w:val="22"/>
          <w:szCs w:val="22"/>
          <w:b w:val="1"/>
          <w:bCs w:val="1"/>
          <w:color w:val="auto"/>
        </w:rPr>
      </w:pPr>
    </w:p>
    <w:p>
      <w:pPr>
        <w:jc w:val="both"/>
        <w:ind w:firstLine="1304"/>
        <w:spacing w:after="0" w:line="211" w:lineRule="auto"/>
        <w:tabs>
          <w:tab w:leader="none" w:pos="1944" w:val="left"/>
        </w:tabs>
        <w:numPr>
          <w:ilvl w:val="1"/>
          <w:numId w:val="10"/>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of the Executive’s employment by the Company or by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(other than a termination pursuant to Section 5(a) hereof) shall be communicated by written Notice of Termination to the other party hereto in accordance with Section 11 hereof. For purposes of this Agreement, a “</w:t>
      </w:r>
      <w:r>
        <w:rPr>
          <w:rFonts w:ascii="Arial" w:cs="Arial" w:eastAsia="Arial" w:hAnsi="Arial"/>
          <w:sz w:val="22"/>
          <w:szCs w:val="22"/>
          <w:b w:val="1"/>
          <w:bCs w:val="1"/>
          <w:color w:val="auto"/>
        </w:rPr>
        <w:t>Notice of Termination</w:t>
      </w:r>
      <w:r>
        <w:rPr>
          <w:rFonts w:ascii="Arial" w:cs="Arial" w:eastAsia="Arial" w:hAnsi="Arial"/>
          <w:sz w:val="22"/>
          <w:szCs w:val="22"/>
          <w:color w:val="auto"/>
        </w:rPr>
        <w:t>” shall mean a notice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158" w:lineRule="exact"/>
        <w:rPr>
          <w:rFonts w:ascii="Arial" w:cs="Arial" w:eastAsia="Arial" w:hAnsi="Arial"/>
          <w:sz w:val="22"/>
          <w:szCs w:val="22"/>
          <w:color w:val="auto"/>
        </w:rPr>
      </w:pPr>
    </w:p>
    <w:p>
      <w:pPr>
        <w:jc w:val="both"/>
        <w:ind w:firstLine="1304"/>
        <w:spacing w:after="0" w:line="245" w:lineRule="auto"/>
        <w:tabs>
          <w:tab w:leader="none" w:pos="1944" w:val="left"/>
        </w:tabs>
        <w:numPr>
          <w:ilvl w:val="1"/>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Date of Termination. </w:t>
      </w:r>
      <w:r>
        <w:rPr>
          <w:rFonts w:ascii="Arial" w:cs="Arial" w:eastAsia="Arial" w:hAnsi="Arial"/>
          <w:sz w:val="19"/>
          <w:szCs w:val="19"/>
          <w:color w:val="auto"/>
        </w:rPr>
        <w:t>“</w:t>
      </w:r>
      <w:r>
        <w:rPr>
          <w:rFonts w:ascii="Arial" w:cs="Arial" w:eastAsia="Arial" w:hAnsi="Arial"/>
          <w:sz w:val="19"/>
          <w:szCs w:val="19"/>
          <w:b w:val="1"/>
          <w:bCs w:val="1"/>
          <w:color w:val="auto"/>
        </w:rPr>
        <w:t>Date of Termination</w:t>
      </w:r>
      <w:r>
        <w:rPr>
          <w:rFonts w:ascii="Arial" w:cs="Arial" w:eastAsia="Arial" w:hAnsi="Arial"/>
          <w:sz w:val="19"/>
          <w:szCs w:val="19"/>
          <w:color w:val="auto"/>
        </w:rPr>
        <w:t>” shall mean the effective date of termination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Executive’s employment for any reason, which shall be (i) if the Executive’s employment is terminated pursuant to Section 5(a) hereof, the date of the Executive’s death, (ii) if the Executive’s employment is terminated pursuant to Section 5(b) or 5(c) hereof, the date specified in the Notice of Termination, which date may be no earlier than the date the Executive is given notice in accordance with Section 11 hereof, (iii) if the Executive’s employment is terminated pursuant to Section 5(d) hereof, the date on which a Notice of Termination is given or any later date (within thirty (30) days of the date of such Notice of Termination) set forth in such Notice of Termination, or (iv) if the Executive’s employment is terminated for any other reason, the date specified in the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employment is terminated by the Executive without Good Reason, such date shall be at least thirty (30) days following the date on which Notice 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21"/>
          <w:szCs w:val="21"/>
          <w:color w:val="auto"/>
        </w:rPr>
        <w:t>Termination is given (unless the Company accepts the Executive’s resignation prior to the expiration of such 30-day notice period). The Company may also place the Executive on “garden leave” for all or any portion of such notice period.</w:t>
      </w:r>
    </w:p>
    <w:p>
      <w:pPr>
        <w:spacing w:after="0" w:line="14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UPON TERMINATION.</w:t>
      </w:r>
    </w:p>
    <w:p>
      <w:pPr>
        <w:spacing w:after="0" w:line="185" w:lineRule="exact"/>
        <w:rPr>
          <w:rFonts w:ascii="Arial" w:cs="Arial" w:eastAsia="Arial" w:hAnsi="Arial"/>
          <w:sz w:val="22"/>
          <w:szCs w:val="22"/>
          <w:b w:val="1"/>
          <w:bCs w:val="1"/>
          <w:color w:val="auto"/>
        </w:rPr>
      </w:pPr>
    </w:p>
    <w:p>
      <w:pPr>
        <w:jc w:val="both"/>
        <w:ind w:firstLine="1304"/>
        <w:spacing w:after="0" w:line="223" w:lineRule="auto"/>
        <w:tabs>
          <w:tab w:leader="none" w:pos="1944"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Disability; Death. </w:t>
      </w:r>
      <w:r>
        <w:rPr>
          <w:rFonts w:ascii="Arial" w:cs="Arial" w:eastAsia="Arial" w:hAnsi="Arial"/>
          <w:sz w:val="22"/>
          <w:szCs w:val="22"/>
          <w:color w:val="auto"/>
        </w:rPr>
        <w:t>Following the termination of the Executive’s employment pursuant to Section 5(a) or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5(b) hereof, the Company Group shall pay to the Executive (or the Executive’s designated beneficiary or legal representative, if applicable):</w:t>
      </w:r>
    </w:p>
    <w:p>
      <w:pPr>
        <w:spacing w:after="0" w:line="158" w:lineRule="exact"/>
        <w:rPr>
          <w:rFonts w:ascii="Arial" w:cs="Arial" w:eastAsia="Arial" w:hAnsi="Arial"/>
          <w:sz w:val="22"/>
          <w:szCs w:val="22"/>
          <w:color w:val="auto"/>
        </w:rPr>
      </w:pPr>
    </w:p>
    <w:p>
      <w:pPr>
        <w:ind w:left="660" w:firstLine="1088"/>
        <w:spacing w:after="0" w:line="232" w:lineRule="auto"/>
        <w:tabs>
          <w:tab w:leader="none" w:pos="2021"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Base Salary accrued through the date of termination, payable within thirty (30) days after the Date of Termination (or such earlier date as may be required by applicable law);</w:t>
      </w:r>
    </w:p>
    <w:p>
      <w:pPr>
        <w:spacing w:after="0" w:line="158" w:lineRule="exact"/>
        <w:rPr>
          <w:rFonts w:ascii="Arial" w:cs="Arial" w:eastAsia="Arial" w:hAnsi="Arial"/>
          <w:sz w:val="22"/>
          <w:szCs w:val="22"/>
          <w:color w:val="auto"/>
        </w:rPr>
      </w:pPr>
    </w:p>
    <w:p>
      <w:pPr>
        <w:jc w:val="both"/>
        <w:ind w:left="660" w:firstLine="1028"/>
        <w:spacing w:after="0" w:line="218" w:lineRule="auto"/>
        <w:tabs>
          <w:tab w:leader="none" w:pos="2017" w:val="left"/>
        </w:tabs>
        <w:numPr>
          <w:ilvl w:val="2"/>
          <w:numId w:val="11"/>
        </w:numPr>
        <w:rPr>
          <w:rFonts w:ascii="Arial" w:cs="Arial" w:eastAsia="Arial" w:hAnsi="Arial"/>
          <w:sz w:val="22"/>
          <w:szCs w:val="22"/>
          <w:color w:val="auto"/>
        </w:rPr>
      </w:pPr>
      <w:r>
        <w:rPr>
          <w:rFonts w:ascii="Arial" w:cs="Arial" w:eastAsia="Arial" w:hAnsi="Arial"/>
          <w:sz w:val="22"/>
          <w:szCs w:val="22"/>
          <w:color w:val="auto"/>
        </w:rPr>
        <w:t>reimbursement for any unreimbursed business expenses properly incurred by the Executive in accordance with Company policy prior to the date of Executive’s termination; provided, that claims for such reimbursement (accompanied by appropriate supporting documentation) are submitted to the Company within 60 days following the date of the Executive’s termination of employment;</w:t>
      </w:r>
    </w:p>
    <w:p>
      <w:pPr>
        <w:spacing w:after="0" w:line="160" w:lineRule="exact"/>
        <w:rPr>
          <w:rFonts w:ascii="Arial" w:cs="Arial" w:eastAsia="Arial" w:hAnsi="Arial"/>
          <w:sz w:val="22"/>
          <w:szCs w:val="22"/>
          <w:color w:val="auto"/>
        </w:rPr>
      </w:pPr>
    </w:p>
    <w:p>
      <w:pPr>
        <w:jc w:val="both"/>
        <w:ind w:left="660" w:firstLine="968"/>
        <w:spacing w:after="0" w:line="223" w:lineRule="auto"/>
        <w:tabs>
          <w:tab w:leader="none" w:pos="2024" w:val="left"/>
        </w:tabs>
        <w:numPr>
          <w:ilvl w:val="2"/>
          <w:numId w:val="11"/>
        </w:numPr>
        <w:rPr>
          <w:rFonts w:ascii="Arial" w:cs="Arial" w:eastAsia="Arial" w:hAnsi="Arial"/>
          <w:sz w:val="22"/>
          <w:szCs w:val="22"/>
          <w:color w:val="auto"/>
        </w:rPr>
      </w:pPr>
      <w:r>
        <w:rPr>
          <w:rFonts w:ascii="Arial" w:cs="Arial" w:eastAsia="Arial" w:hAnsi="Arial"/>
          <w:sz w:val="22"/>
          <w:szCs w:val="22"/>
          <w:color w:val="auto"/>
        </w:rPr>
        <w:t>such Employee Benefits, if any, as to which Executive may be entitled under the employee benefit plans of the Company Group, which shall be paid in accordance with the terms of the applicable plans (the amounts described in clauses (i) through (iii) hereof, the “</w:t>
      </w:r>
      <w:r>
        <w:rPr>
          <w:rFonts w:ascii="Arial" w:cs="Arial" w:eastAsia="Arial" w:hAnsi="Arial"/>
          <w:sz w:val="22"/>
          <w:szCs w:val="22"/>
          <w:b w:val="1"/>
          <w:bCs w:val="1"/>
          <w:color w:val="auto"/>
        </w:rPr>
        <w:t>Accrued Obligations</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left="660" w:firstLine="980"/>
        <w:spacing w:after="0" w:line="218" w:lineRule="auto"/>
        <w:tabs>
          <w:tab w:leader="none" w:pos="2055" w:val="left"/>
        </w:tabs>
        <w:numPr>
          <w:ilvl w:val="2"/>
          <w:numId w:val="11"/>
        </w:numPr>
        <w:rPr>
          <w:rFonts w:ascii="Arial" w:cs="Arial" w:eastAsia="Arial" w:hAnsi="Arial"/>
          <w:sz w:val="22"/>
          <w:szCs w:val="22"/>
          <w:color w:val="auto"/>
        </w:rPr>
      </w:pPr>
      <w:r>
        <w:rPr>
          <w:rFonts w:ascii="Arial" w:cs="Arial" w:eastAsia="Arial" w:hAnsi="Arial"/>
          <w:sz w:val="22"/>
          <w:szCs w:val="22"/>
          <w:color w:val="auto"/>
        </w:rPr>
        <w:t>any Annual Bonus for the fiscal year of the Company immediately preceding the fiscal year of the Company in which the Date of Termination occurs, earned but not paid as of the Date of Termination to be paid on the date when bonuses are otherwise paid to Company Group executives, and in all events by March 15 of the calendar year following the year in which the Date of Termination occurs;</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44"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By the Company for Cause or by the Executive Without Good Reason. </w:t>
      </w:r>
      <w:r>
        <w:rPr>
          <w:rFonts w:ascii="Arial" w:cs="Arial" w:eastAsia="Arial" w:hAnsi="Arial"/>
          <w:sz w:val="22"/>
          <w:szCs w:val="22"/>
          <w:color w:val="auto"/>
        </w:rPr>
        <w:t>If during the Employment Period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 is terminated by the Company for Cause pursuant to Section 5(c) hereof or by the Executive without Good Reason pursuant to Section 5(e) hereof, the Company Group shall pay to the Executive the Accrued Obligations. Following such payments, the Company Group shall have no further obligations, including with respect to any Annual Bonus, to the Executive other than as may be required by law.</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44" w:val="left"/>
        </w:tabs>
        <w:numPr>
          <w:ilvl w:val="1"/>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By the Company Without Cause or by the Executive for Good Reason. </w:t>
      </w:r>
      <w:r>
        <w:rPr>
          <w:rFonts w:ascii="Arial" w:cs="Arial" w:eastAsia="Arial" w:hAnsi="Arial"/>
          <w:sz w:val="22"/>
          <w:szCs w:val="22"/>
          <w:color w:val="auto"/>
        </w:rPr>
        <w:t>If during the Employment Period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 is terminated by the Company without Cause, other than as a result of the Executive’s death or Disability, or if the Executive terminates the Executive’s employment for Good Reason, then the Company Group shall pay to the Executive:</w:t>
      </w:r>
    </w:p>
    <w:p>
      <w:pPr>
        <w:spacing w:after="0" w:line="160" w:lineRule="exact"/>
        <w:rPr>
          <w:rFonts w:ascii="Arial" w:cs="Arial" w:eastAsia="Arial" w:hAnsi="Arial"/>
          <w:sz w:val="22"/>
          <w:szCs w:val="22"/>
          <w:color w:val="auto"/>
        </w:rPr>
      </w:pPr>
    </w:p>
    <w:p>
      <w:pPr>
        <w:ind w:left="2000" w:hanging="252"/>
        <w:spacing w:after="0"/>
        <w:tabs>
          <w:tab w:leader="none" w:pos="2000"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179" w:lineRule="exact"/>
        <w:rPr>
          <w:rFonts w:ascii="Arial" w:cs="Arial" w:eastAsia="Arial" w:hAnsi="Arial"/>
          <w:sz w:val="22"/>
          <w:szCs w:val="22"/>
          <w:color w:val="auto"/>
        </w:rPr>
      </w:pPr>
    </w:p>
    <w:p>
      <w:pPr>
        <w:jc w:val="both"/>
        <w:ind w:left="660" w:firstLine="1028"/>
        <w:spacing w:after="0" w:line="218" w:lineRule="auto"/>
        <w:tabs>
          <w:tab w:leader="none" w:pos="2055" w:val="left"/>
        </w:tabs>
        <w:numPr>
          <w:ilvl w:val="2"/>
          <w:numId w:val="11"/>
        </w:numPr>
        <w:rPr>
          <w:rFonts w:ascii="Arial" w:cs="Arial" w:eastAsia="Arial" w:hAnsi="Arial"/>
          <w:sz w:val="22"/>
          <w:szCs w:val="22"/>
          <w:color w:val="auto"/>
        </w:rPr>
      </w:pPr>
      <w:r>
        <w:rPr>
          <w:rFonts w:ascii="Arial" w:cs="Arial" w:eastAsia="Arial" w:hAnsi="Arial"/>
          <w:sz w:val="22"/>
          <w:szCs w:val="22"/>
          <w:color w:val="auto"/>
        </w:rPr>
        <w:t>any Annual Bonus for the fiscal year of the Company immediately preceding the fiscal year of the Company in which the Date of Termination occurs, earned but not paid as of the Date of Termination, to be paid on the date when bonuses are otherwise paid to Company Group executives, and in all events by March 15 of the calendar year following the year in which the Date of Termination occurs;</w:t>
      </w:r>
    </w:p>
    <w:p>
      <w:pPr>
        <w:spacing w:after="0" w:line="160" w:lineRule="exact"/>
        <w:rPr>
          <w:rFonts w:ascii="Arial" w:cs="Arial" w:eastAsia="Arial" w:hAnsi="Arial"/>
          <w:sz w:val="22"/>
          <w:szCs w:val="22"/>
          <w:color w:val="auto"/>
        </w:rPr>
      </w:pPr>
    </w:p>
    <w:p>
      <w:pPr>
        <w:ind w:left="2020" w:hanging="392"/>
        <w:spacing w:after="0"/>
        <w:tabs>
          <w:tab w:leader="none" w:pos="2020" w:val="left"/>
        </w:tabs>
        <w:numPr>
          <w:ilvl w:val="2"/>
          <w:numId w:val="11"/>
        </w:numPr>
        <w:rPr>
          <w:rFonts w:ascii="Arial" w:cs="Arial" w:eastAsia="Arial" w:hAnsi="Arial"/>
          <w:sz w:val="19"/>
          <w:szCs w:val="19"/>
          <w:color w:val="auto"/>
        </w:rPr>
      </w:pPr>
      <w:r>
        <w:rPr>
          <w:rFonts w:ascii="Arial" w:cs="Arial" w:eastAsia="Arial" w:hAnsi="Arial"/>
          <w:sz w:val="19"/>
          <w:szCs w:val="19"/>
          <w:color w:val="auto"/>
        </w:rPr>
        <w:t>a cash severance payment in an amount equal to the product of (x) two (2) multiplied by (y) the sum of</w:t>
      </w:r>
    </w:p>
    <w:p>
      <w:pPr>
        <w:spacing w:after="0" w:line="15" w:lineRule="exact"/>
        <w:rPr>
          <w:rFonts w:ascii="Arial" w:cs="Arial" w:eastAsia="Arial" w:hAnsi="Arial"/>
          <w:sz w:val="19"/>
          <w:szCs w:val="19"/>
          <w:color w:val="auto"/>
        </w:rPr>
      </w:pPr>
    </w:p>
    <w:p>
      <w:pPr>
        <w:ind w:left="660"/>
        <w:spacing w:after="0" w:line="224" w:lineRule="auto"/>
        <w:rPr>
          <w:rFonts w:ascii="Arial" w:cs="Arial" w:eastAsia="Arial" w:hAnsi="Arial"/>
          <w:sz w:val="19"/>
          <w:szCs w:val="19"/>
          <w:color w:val="auto"/>
        </w:rPr>
      </w:pPr>
      <w:r>
        <w:rPr>
          <w:rFonts w:ascii="Arial" w:cs="Arial" w:eastAsia="Arial" w:hAnsi="Arial"/>
          <w:sz w:val="22"/>
          <w:szCs w:val="22"/>
          <w:color w:val="auto"/>
        </w:rPr>
        <w:t>(A) the Base Salary and (B) the average Annual Bonus paid to (or earned by, to the extent not yet paid as of the Date of Termination)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0" w:name="page11"/>
    <w:bookmarkEnd w:id="10"/>
    <w:p>
      <w:pPr>
        <w:jc w:val="both"/>
        <w:ind w:left="660"/>
        <w:spacing w:after="0" w:line="247" w:lineRule="auto"/>
        <w:rPr>
          <w:sz w:val="20"/>
          <w:szCs w:val="20"/>
          <w:color w:val="auto"/>
        </w:rPr>
      </w:pPr>
      <w:r>
        <w:rPr>
          <w:rFonts w:ascii="Arial" w:cs="Arial" w:eastAsia="Arial" w:hAnsi="Arial"/>
          <w:sz w:val="19"/>
          <w:szCs w:val="19"/>
          <w:color w:val="auto"/>
        </w:rPr>
        <w:t>Executive for the two fiscal years of the Company immediately preceding the fiscal year in which the Date of Termination occurs. The Company shall make such payment in equal installments ratably over twenty-four (24) months following the Date of Termination (the “</w:t>
      </w:r>
      <w:r>
        <w:rPr>
          <w:rFonts w:ascii="Arial" w:cs="Arial" w:eastAsia="Arial" w:hAnsi="Arial"/>
          <w:sz w:val="19"/>
          <w:szCs w:val="19"/>
          <w:b w:val="1"/>
          <w:bCs w:val="1"/>
          <w:color w:val="auto"/>
        </w:rPr>
        <w:t>Severance Period</w:t>
      </w:r>
      <w:r>
        <w:rPr>
          <w:rFonts w:ascii="Arial" w:cs="Arial" w:eastAsia="Arial" w:hAnsi="Arial"/>
          <w:sz w:val="19"/>
          <w:szCs w:val="19"/>
          <w:color w:val="auto"/>
        </w:rPr>
        <w:t>”) in accordance with the Company’s normal payroll cycle and procedures, with the first installment to be paid on the first payroll date following the date on which the Release (as defined in Section 7(f) below) becomes irrevocable (the “</w:t>
      </w:r>
      <w:r>
        <w:rPr>
          <w:rFonts w:ascii="Arial" w:cs="Arial" w:eastAsia="Arial" w:hAnsi="Arial"/>
          <w:sz w:val="19"/>
          <w:szCs w:val="19"/>
          <w:b w:val="1"/>
          <w:bCs w:val="1"/>
          <w:color w:val="auto"/>
        </w:rPr>
        <w:t>Release Effective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154" w:lineRule="exact"/>
        <w:rPr>
          <w:sz w:val="20"/>
          <w:szCs w:val="20"/>
          <w:color w:val="auto"/>
        </w:rPr>
      </w:pPr>
    </w:p>
    <w:p>
      <w:pPr>
        <w:jc w:val="both"/>
        <w:ind w:left="660" w:firstLine="980"/>
        <w:spacing w:after="0" w:line="247" w:lineRule="auto"/>
        <w:tabs>
          <w:tab w:leader="none" w:pos="2013" w:val="left"/>
        </w:tabs>
        <w:numPr>
          <w:ilvl w:val="2"/>
          <w:numId w:val="12"/>
        </w:numPr>
        <w:rPr>
          <w:rFonts w:ascii="Arial" w:cs="Arial" w:eastAsia="Arial" w:hAnsi="Arial"/>
          <w:sz w:val="19"/>
          <w:szCs w:val="19"/>
          <w:color w:val="auto"/>
        </w:rPr>
      </w:pPr>
      <w:r>
        <w:rPr>
          <w:rFonts w:ascii="Arial" w:cs="Arial" w:eastAsia="Arial" w:hAnsi="Arial"/>
          <w:sz w:val="19"/>
          <w:szCs w:val="19"/>
          <w:color w:val="auto"/>
        </w:rPr>
        <w:t>a pro rata portion of the actual Annual Bonus that would have been earned by Executive for the fiscal year in which the Date of Termination occurs (assuming Executive achieved any individual goals for such fiscal year at 100% of target), based on the number of days between and including the first day of the fiscal year of the Company in which the Date of Termination occurs and the Date of Termination, payable on the date when bonuses are otherwise paid to Company executives and in all events by March 15 of the calendar year following the year in which such termination occurs The Company shall make such payment in a lump sum when annual bonuses for the fiscal year in which the Date of Termination occurs are otherwise paid to other similarly situated employees of the Company Group;</w:t>
      </w:r>
    </w:p>
    <w:p>
      <w:pPr>
        <w:spacing w:after="0" w:line="153" w:lineRule="exact"/>
        <w:rPr>
          <w:rFonts w:ascii="Arial" w:cs="Arial" w:eastAsia="Arial" w:hAnsi="Arial"/>
          <w:sz w:val="19"/>
          <w:szCs w:val="19"/>
          <w:color w:val="auto"/>
        </w:rPr>
      </w:pPr>
    </w:p>
    <w:p>
      <w:pPr>
        <w:jc w:val="both"/>
        <w:ind w:left="660" w:firstLine="1040"/>
        <w:spacing w:after="0" w:line="249" w:lineRule="auto"/>
        <w:tabs>
          <w:tab w:leader="none" w:pos="2054" w:val="left"/>
        </w:tabs>
        <w:numPr>
          <w:ilvl w:val="2"/>
          <w:numId w:val="12"/>
        </w:numPr>
        <w:rPr>
          <w:rFonts w:ascii="Arial" w:cs="Arial" w:eastAsia="Arial" w:hAnsi="Arial"/>
          <w:sz w:val="19"/>
          <w:szCs w:val="19"/>
          <w:color w:val="auto"/>
        </w:rPr>
      </w:pPr>
      <w:r>
        <w:rPr>
          <w:rFonts w:ascii="Arial" w:cs="Arial" w:eastAsia="Arial" w:hAnsi="Arial"/>
          <w:sz w:val="19"/>
          <w:szCs w:val="19"/>
          <w:color w:val="auto"/>
        </w:rPr>
        <w:t>subject to the Executive’s timely election of continuation coverage under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xml:space="preserve">”), a cash payment in an amount equal to (A) the total monthly employer contribution rate for Executive’s and any covered dependent’s participation in the medical insurance benefits of the Company (determined based on the rate in effect on the Date of Termination)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the number of months in the Severance Period. Such amount shall be payable to the Executive in a lump-sum amount in accordance with the Company’s normal payroll cycle and procedures on the first payroll date following the Release Effective Date;</w:t>
      </w:r>
    </w:p>
    <w:p>
      <w:pPr>
        <w:spacing w:after="0" w:line="151" w:lineRule="exact"/>
        <w:rPr>
          <w:rFonts w:ascii="Arial" w:cs="Arial" w:eastAsia="Arial" w:hAnsi="Arial"/>
          <w:sz w:val="19"/>
          <w:szCs w:val="19"/>
          <w:color w:val="auto"/>
        </w:rPr>
      </w:pPr>
    </w:p>
    <w:p>
      <w:pPr>
        <w:jc w:val="both"/>
        <w:ind w:firstLine="1304"/>
        <w:spacing w:after="0" w:line="242" w:lineRule="auto"/>
        <w:tabs>
          <w:tab w:leader="none" w:pos="1944" w:val="left"/>
        </w:tabs>
        <w:numPr>
          <w:ilvl w:val="1"/>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No Duty to Mitigate; Release. </w:t>
      </w:r>
      <w:r>
        <w:rPr>
          <w:rFonts w:ascii="Arial" w:cs="Arial" w:eastAsia="Arial" w:hAnsi="Arial"/>
          <w:sz w:val="19"/>
          <w:szCs w:val="19"/>
          <w:color w:val="auto"/>
        </w:rPr>
        <w:t>The Company agrees that, if the Executive’s employment with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terminates for any reason during the Employment Period, the Executive is not required to seek other employment or to attempt in any way to reduce any amounts payable to the Executive by the Company pursuant to this Section 7. Notwithstanding anything to the contrary contained herein, payments to the Executive (or the Executive’s designated beneficiary or legal representative, if applicable) under this Section 7 (other than the Accrued Obligations) are contingent upon (i) the Executive’s continued compliance with the provisions of Section 8 hereof and (ii) the Executive’s execution and delivery, without revocation, of a fully effective release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Release</w:t>
      </w:r>
      <w:r>
        <w:rPr>
          <w:rFonts w:ascii="Arial" w:cs="Arial" w:eastAsia="Arial" w:hAnsi="Arial"/>
          <w:sz w:val="19"/>
          <w:szCs w:val="19"/>
          <w:color w:val="auto"/>
        </w:rPr>
        <w:t>”), which Release must be executed (and not revoked) by the Executive on or prior to the sixtieth (60th) day following the Date of Termination (such sixty-day period, the “</w:t>
      </w:r>
      <w:r>
        <w:rPr>
          <w:rFonts w:ascii="Arial" w:cs="Arial" w:eastAsia="Arial" w:hAnsi="Arial"/>
          <w:sz w:val="19"/>
          <w:szCs w:val="19"/>
          <w:b w:val="1"/>
          <w:bCs w:val="1"/>
          <w:color w:val="auto"/>
        </w:rPr>
        <w:t>Release Period</w:t>
      </w:r>
      <w:r>
        <w:rPr>
          <w:rFonts w:ascii="Arial" w:cs="Arial" w:eastAsia="Arial" w:hAnsi="Arial"/>
          <w:sz w:val="19"/>
          <w:szCs w:val="19"/>
          <w:color w:val="auto"/>
        </w:rPr>
        <w:t>”). Notwithstanding the foregoing, to the extent required to comply with Section 409A, if the Release Period straddles the ending and beginning of two (2) consecutive calendar years, then the first installment of any installment payments of severance payable to the Executive under this Section 7 shall be paid on the first regularly scheduled payroll date that occurs in the second calendar year.</w:t>
      </w:r>
    </w:p>
    <w:p>
      <w:pPr>
        <w:spacing w:after="0" w:line="378" w:lineRule="exact"/>
        <w:rPr>
          <w:rFonts w:ascii="Arial" w:cs="Arial" w:eastAsia="Arial" w:hAnsi="Arial"/>
          <w:sz w:val="19"/>
          <w:szCs w:val="19"/>
          <w:color w:val="auto"/>
        </w:rPr>
      </w:pPr>
    </w:p>
    <w:p>
      <w:pPr>
        <w:ind w:left="1300" w:hanging="644"/>
        <w:spacing w:after="0"/>
        <w:tabs>
          <w:tab w:leader="none" w:pos="13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68" w:lineRule="auto"/>
        <w:tabs>
          <w:tab w:leader="none" w:pos="1944" w:val="left"/>
        </w:tabs>
        <w:numPr>
          <w:ilvl w:val="1"/>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Confidential Information. </w:t>
      </w:r>
      <w:r>
        <w:rPr>
          <w:rFonts w:ascii="Arial" w:cs="Arial" w:eastAsia="Arial" w:hAnsi="Arial"/>
          <w:sz w:val="19"/>
          <w:szCs w:val="19"/>
          <w:color w:val="auto"/>
        </w:rPr>
        <w:t>The Company agrees to provide the Executive certain trade secrets, confidential</w:t>
      </w:r>
      <w:r>
        <w:rPr>
          <w:rFonts w:ascii="Arial" w:cs="Arial" w:eastAsia="Arial" w:hAnsi="Arial"/>
          <w:sz w:val="19"/>
          <w:szCs w:val="19"/>
          <w:i w:val="1"/>
          <w:iCs w:val="1"/>
          <w:color w:val="auto"/>
        </w:rPr>
        <w:t xml:space="preserve"> </w:t>
      </w:r>
      <w:r>
        <w:rPr>
          <w:rFonts w:ascii="Arial" w:cs="Arial" w:eastAsia="Arial" w:hAnsi="Arial"/>
          <w:sz w:val="19"/>
          <w:szCs w:val="19"/>
          <w:color w:val="auto"/>
        </w:rPr>
        <w:t>information and knowledge or data relating to the Company Group and its businesses during the Employment Period. The Executive shall hold in a fiduciary capacity for the benefit of the Company Group all trade secrets, confidential information,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1" w:name="page12"/>
    <w:bookmarkEnd w:id="11"/>
    <w:p>
      <w:pPr>
        <w:jc w:val="both"/>
        <w:spacing w:after="0" w:line="234" w:lineRule="auto"/>
        <w:rPr>
          <w:sz w:val="20"/>
          <w:szCs w:val="20"/>
          <w:color w:val="auto"/>
        </w:rPr>
      </w:pPr>
      <w:r>
        <w:rPr>
          <w:rFonts w:ascii="Arial" w:cs="Arial" w:eastAsia="Arial" w:hAnsi="Arial"/>
          <w:sz w:val="21"/>
          <w:szCs w:val="21"/>
          <w:color w:val="auto"/>
        </w:rPr>
        <w:t>knowledge or data relating to the Company Group and its businesses, which shall have been obtained by the Executive during the Executive’s employment by any member of the Company Group (hereinafter being collectively referred to as “</w:t>
      </w:r>
      <w:r>
        <w:rPr>
          <w:rFonts w:ascii="Arial" w:cs="Arial" w:eastAsia="Arial" w:hAnsi="Arial"/>
          <w:sz w:val="21"/>
          <w:szCs w:val="21"/>
          <w:b w:val="1"/>
          <w:bCs w:val="1"/>
          <w:color w:val="auto"/>
        </w:rPr>
        <w:t>Confidential</w:t>
      </w:r>
      <w:r>
        <w:rPr>
          <w:rFonts w:ascii="Arial" w:cs="Arial" w:eastAsia="Arial" w:hAnsi="Arial"/>
          <w:sz w:val="21"/>
          <w:szCs w:val="21"/>
          <w:color w:val="auto"/>
        </w:rPr>
        <w:t xml:space="preserve"> </w:t>
      </w:r>
      <w:r>
        <w:rPr>
          <w:rFonts w:ascii="Arial" w:cs="Arial" w:eastAsia="Arial" w:hAnsi="Arial"/>
          <w:sz w:val="21"/>
          <w:szCs w:val="21"/>
          <w:b w:val="1"/>
          <w:bCs w:val="1"/>
          <w:color w:val="auto"/>
        </w:rPr>
        <w:t>Information</w:t>
      </w:r>
      <w:r>
        <w:rPr>
          <w:rFonts w:ascii="Arial" w:cs="Arial" w:eastAsia="Arial" w:hAnsi="Arial"/>
          <w:sz w:val="21"/>
          <w:szCs w:val="21"/>
          <w:color w:val="auto"/>
        </w:rPr>
        <w:t>”). For the avoidance of doubt, Confidential Information shall not include information that:</w:t>
      </w:r>
    </w:p>
    <w:p>
      <w:pPr>
        <w:spacing w:after="0" w:line="158" w:lineRule="exact"/>
        <w:rPr>
          <w:sz w:val="20"/>
          <w:szCs w:val="20"/>
          <w:color w:val="auto"/>
        </w:rPr>
      </w:pPr>
    </w:p>
    <w:p>
      <w:pPr>
        <w:jc w:val="both"/>
        <w:ind w:left="660" w:firstLine="1088"/>
        <w:spacing w:after="0" w:line="268" w:lineRule="auto"/>
        <w:tabs>
          <w:tab w:leader="none" w:pos="2011"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was already in the Executive’s possession prior to the Executive’s commencement of employment with the Company Group;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information is not known by the Executive to be subject to another confidentiality agreement with, or otherwise subject to an obligation of secrecy to, any member of the Company Group,</w:t>
      </w:r>
    </w:p>
    <w:p>
      <w:pPr>
        <w:spacing w:after="0" w:line="132" w:lineRule="exact"/>
        <w:rPr>
          <w:rFonts w:ascii="Arial" w:cs="Arial" w:eastAsia="Arial" w:hAnsi="Arial"/>
          <w:sz w:val="19"/>
          <w:szCs w:val="19"/>
          <w:color w:val="auto"/>
        </w:rPr>
      </w:pPr>
    </w:p>
    <w:p>
      <w:pPr>
        <w:ind w:left="660" w:firstLine="1028"/>
        <w:spacing w:after="0" w:line="232" w:lineRule="auto"/>
        <w:tabs>
          <w:tab w:leader="none" w:pos="2016" w:val="left"/>
        </w:tabs>
        <w:numPr>
          <w:ilvl w:val="0"/>
          <w:numId w:val="15"/>
        </w:numPr>
        <w:rPr>
          <w:rFonts w:ascii="Arial" w:cs="Arial" w:eastAsia="Arial" w:hAnsi="Arial"/>
          <w:sz w:val="22"/>
          <w:szCs w:val="22"/>
          <w:color w:val="auto"/>
        </w:rPr>
      </w:pPr>
      <w:r>
        <w:rPr>
          <w:rFonts w:ascii="Arial" w:cs="Arial" w:eastAsia="Arial" w:hAnsi="Arial"/>
          <w:sz w:val="22"/>
          <w:szCs w:val="22"/>
          <w:color w:val="auto"/>
        </w:rPr>
        <w:t>becomes generally available to the public other than as a result of acts by the Executive or representatives of the Executive in violation of this Agreement, or</w:t>
      </w:r>
    </w:p>
    <w:p>
      <w:pPr>
        <w:spacing w:after="0" w:line="158" w:lineRule="exact"/>
        <w:rPr>
          <w:rFonts w:ascii="Arial" w:cs="Arial" w:eastAsia="Arial" w:hAnsi="Arial"/>
          <w:sz w:val="22"/>
          <w:szCs w:val="22"/>
          <w:color w:val="auto"/>
        </w:rPr>
      </w:pPr>
    </w:p>
    <w:p>
      <w:pPr>
        <w:jc w:val="both"/>
        <w:ind w:left="660" w:firstLine="968"/>
        <w:spacing w:after="0" w:line="218" w:lineRule="auto"/>
        <w:tabs>
          <w:tab w:leader="none" w:pos="2037"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becomes available to the Executive on a non-confidential basis from a source other than the Company Group or any of its directors, managers, officers employees, agents or advisors;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source is not known by the Executive to be bound by a confidentiality agreement with, or otherwise bound by an obligation of secrecy to, any member of the Company Group.</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Nothing in this Agreement shall prohibit or impede the Executive from communicating, cooperating or filing a complaint with any U.S. federal, state or local governmental or law enforcement branch, agency or entity (collectively, a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communications and 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2" w:name="page13"/>
    <w:bookmarkEnd w:id="12"/>
    <w:p>
      <w:pPr>
        <w:spacing w:after="0" w:line="232" w:lineRule="auto"/>
        <w:rPr>
          <w:sz w:val="20"/>
          <w:szCs w:val="20"/>
          <w:color w:val="auto"/>
        </w:rPr>
      </w:pPr>
      <w:r>
        <w:rPr>
          <w:rFonts w:ascii="Arial" w:cs="Arial" w:eastAsia="Arial" w:hAnsi="Arial"/>
          <w:sz w:val="22"/>
          <w:szCs w:val="22"/>
          <w:color w:val="auto"/>
        </w:rPr>
        <w:t>Company Group’s attorney-client privilege or attorney work product or the Company Group’s trade secrets without prior written consent of the Company’s General Counsel.</w:t>
      </w:r>
    </w:p>
    <w:p>
      <w:pPr>
        <w:spacing w:after="0" w:line="159" w:lineRule="exact"/>
        <w:rPr>
          <w:sz w:val="20"/>
          <w:szCs w:val="20"/>
          <w:color w:val="auto"/>
        </w:rPr>
      </w:pPr>
    </w:p>
    <w:p>
      <w:pPr>
        <w:jc w:val="both"/>
        <w:ind w:firstLine="1304"/>
        <w:spacing w:after="0" w:line="238" w:lineRule="auto"/>
        <w:tabs>
          <w:tab w:leader="none" w:pos="1944" w:val="left"/>
        </w:tabs>
        <w:numPr>
          <w:ilvl w:val="1"/>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Intellectual Property. </w:t>
      </w:r>
      <w:r>
        <w:rPr>
          <w:rFonts w:ascii="Arial" w:cs="Arial" w:eastAsia="Arial" w:hAnsi="Arial"/>
          <w:sz w:val="19"/>
          <w:szCs w:val="19"/>
          <w:color w:val="auto"/>
        </w:rPr>
        <w:t>If the Executive creates, invents, designs, develops, contributes to or improves any</w:t>
      </w:r>
      <w:r>
        <w:rPr>
          <w:rFonts w:ascii="Arial" w:cs="Arial" w:eastAsia="Arial" w:hAnsi="Arial"/>
          <w:sz w:val="19"/>
          <w:szCs w:val="19"/>
          <w:i w:val="1"/>
          <w:iCs w:val="1"/>
          <w:color w:val="auto"/>
        </w:rPr>
        <w:t xml:space="preserve"> </w:t>
      </w:r>
      <w:r>
        <w:rPr>
          <w:rFonts w:ascii="Arial" w:cs="Arial" w:eastAsia="Arial" w:hAnsi="Arial"/>
          <w:sz w:val="19"/>
          <w:szCs w:val="19"/>
          <w:color w:val="auto"/>
        </w:rPr>
        <w:t>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9"/>
          <w:szCs w:val="19"/>
          <w:b w:val="1"/>
          <w:bCs w:val="1"/>
          <w:color w:val="auto"/>
        </w:rPr>
        <w:t>Works</w:t>
      </w:r>
      <w:r>
        <w:rPr>
          <w:rFonts w:ascii="Arial" w:cs="Arial" w:eastAsia="Arial" w:hAnsi="Arial"/>
          <w:sz w:val="19"/>
          <w:szCs w:val="19"/>
          <w:color w:val="auto"/>
        </w:rPr>
        <w:t>”), either alone or with third parties, at any time during the Executive’s employment by the Company Group and within the scope of such employment and/or with the use of any the Company Group resources or as the result of any work performed by the Executive for the Company Group (“</w:t>
      </w:r>
      <w:r>
        <w:rPr>
          <w:rFonts w:ascii="Arial" w:cs="Arial" w:eastAsia="Arial" w:hAnsi="Arial"/>
          <w:sz w:val="19"/>
          <w:szCs w:val="19"/>
          <w:b w:val="1"/>
          <w:bCs w:val="1"/>
          <w:color w:val="auto"/>
        </w:rPr>
        <w:t>Company Works</w:t>
      </w:r>
      <w:r>
        <w:rPr>
          <w:rFonts w:ascii="Arial" w:cs="Arial" w:eastAsia="Arial" w:hAnsi="Arial"/>
          <w:sz w:val="19"/>
          <w:szCs w:val="19"/>
          <w:color w:val="auto"/>
        </w:rPr>
        <w:t>”),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17 U.S.C. §</w:t>
      </w:r>
    </w:p>
    <w:p>
      <w:pPr>
        <w:spacing w:after="0" w:line="10" w:lineRule="exact"/>
        <w:rPr>
          <w:rFonts w:ascii="Arial" w:cs="Arial" w:eastAsia="Arial" w:hAnsi="Arial"/>
          <w:sz w:val="19"/>
          <w:szCs w:val="19"/>
          <w:color w:val="auto"/>
        </w:rPr>
      </w:pPr>
    </w:p>
    <w:p>
      <w:pPr>
        <w:ind w:left="460" w:hanging="452"/>
        <w:spacing w:after="0"/>
        <w:tabs>
          <w:tab w:leader="none" w:pos="4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by the Executive for the Company.</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Arial" w:cs="Arial" w:eastAsia="Arial" w:hAnsi="Arial"/>
          <w:sz w:val="22"/>
          <w:szCs w:val="22"/>
          <w:b w:val="1"/>
          <w:bCs w:val="1"/>
          <w:color w:val="auto"/>
        </w:rPr>
        <w:t>Preexisting Works</w:t>
      </w:r>
      <w:r>
        <w:rPr>
          <w:rFonts w:ascii="Arial" w:cs="Arial" w:eastAsia="Arial" w:hAnsi="Arial"/>
          <w:sz w:val="22"/>
          <w:szCs w:val="22"/>
          <w:color w:val="auto"/>
        </w:rPr>
        <w:t>”),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3" w:name="page14"/>
    <w:bookmarkEnd w:id="13"/>
    <w:p>
      <w:pPr>
        <w:jc w:val="both"/>
        <w:spacing w:after="0" w:line="218" w:lineRule="auto"/>
        <w:rPr>
          <w:sz w:val="20"/>
          <w:szCs w:val="20"/>
          <w:color w:val="auto"/>
        </w:rPr>
      </w:pPr>
      <w:r>
        <w:rPr>
          <w:rFonts w:ascii="Arial" w:cs="Arial" w:eastAsia="Arial" w:hAnsi="Arial"/>
          <w:sz w:val="22"/>
          <w:szCs w:val="22"/>
          <w:color w:val="auto"/>
        </w:rPr>
        <w:t>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61" w:lineRule="exact"/>
        <w:rPr>
          <w:sz w:val="20"/>
          <w:szCs w:val="20"/>
          <w:color w:val="auto"/>
        </w:rPr>
      </w:pPr>
    </w:p>
    <w:p>
      <w:pPr>
        <w:jc w:val="both"/>
        <w:ind w:firstLine="1304"/>
        <w:spacing w:after="0" w:line="241" w:lineRule="auto"/>
        <w:tabs>
          <w:tab w:leader="none" w:pos="1944"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In consideration of the payments, benefits and other obligations of the Company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pursuant to this Agreement, including, without limitation, the Company’s provision to the Executive of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Arial" w:cs="Arial" w:eastAsia="Arial" w:hAnsi="Arial"/>
          <w:sz w:val="19"/>
          <w:szCs w:val="19"/>
          <w:b w:val="1"/>
          <w:bCs w:val="1"/>
          <w:color w:val="auto"/>
        </w:rPr>
        <w:t>Restricted Period</w:t>
      </w:r>
      <w:r>
        <w:rPr>
          <w:rFonts w:ascii="Arial" w:cs="Arial" w:eastAsia="Arial" w:hAnsi="Arial"/>
          <w:sz w:val="19"/>
          <w:szCs w:val="19"/>
          <w:color w:val="auto"/>
        </w:rPr>
        <w:t>”),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 Sports; Eastbay; Fanatics; Foot Locker; WSS;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161" w:lineRule="exact"/>
        <w:rPr>
          <w:rFonts w:ascii="Arial" w:cs="Arial" w:eastAsia="Arial" w:hAnsi="Arial"/>
          <w:sz w:val="19"/>
          <w:szCs w:val="19"/>
          <w:color w:val="auto"/>
        </w:rPr>
      </w:pPr>
    </w:p>
    <w:p>
      <w:pPr>
        <w:jc w:val="both"/>
        <w:ind w:firstLine="1304"/>
        <w:spacing w:after="0" w:line="222" w:lineRule="auto"/>
        <w:tabs>
          <w:tab w:leader="none" w:pos="1944" w:val="left"/>
        </w:tabs>
        <w:numPr>
          <w:ilvl w:val="0"/>
          <w:numId w:val="18"/>
        </w:numPr>
        <w:rPr>
          <w:rFonts w:ascii="Arial" w:cs="Arial" w:eastAsia="Arial" w:hAnsi="Arial"/>
          <w:sz w:val="21"/>
          <w:szCs w:val="21"/>
          <w:color w:val="auto"/>
        </w:rPr>
      </w:pPr>
      <w:r>
        <w:rPr>
          <w:rFonts w:ascii="Arial" w:cs="Arial" w:eastAsia="Arial" w:hAnsi="Arial"/>
          <w:sz w:val="21"/>
          <w:szCs w:val="21"/>
          <w:i w:val="1"/>
          <w:iCs w:val="1"/>
          <w:color w:val="auto"/>
        </w:rPr>
        <w:t>Non-Disparagement</w:t>
      </w:r>
      <w:r>
        <w:rPr>
          <w:rFonts w:ascii="Arial" w:cs="Arial" w:eastAsia="Arial" w:hAnsi="Arial"/>
          <w:sz w:val="21"/>
          <w:szCs w:val="21"/>
          <w:color w:val="auto"/>
        </w:rPr>
        <w:t>. The Executive will not, other than as required by law or by order of a court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 xml:space="preserve">Non-Solicitation; No-Hire. </w:t>
      </w:r>
      <w:r>
        <w:rPr>
          <w:rFonts w:ascii="Arial" w:cs="Arial" w:eastAsia="Arial" w:hAnsi="Arial"/>
          <w:sz w:val="22"/>
          <w:szCs w:val="22"/>
          <w:color w:val="auto"/>
        </w:rPr>
        <w:t>In further consideration of the payments, benefits and other obligations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160" w:lineRule="exact"/>
        <w:rPr>
          <w:rFonts w:ascii="Arial" w:cs="Arial" w:eastAsia="Arial" w:hAnsi="Arial"/>
          <w:sz w:val="22"/>
          <w:szCs w:val="22"/>
          <w:color w:val="auto"/>
        </w:rPr>
      </w:pPr>
    </w:p>
    <w:p>
      <w:pPr>
        <w:jc w:val="both"/>
        <w:ind w:left="660" w:firstLine="1088"/>
        <w:spacing w:after="0" w:line="223" w:lineRule="auto"/>
        <w:tabs>
          <w:tab w:leader="none" w:pos="2017" w:val="left"/>
        </w:tabs>
        <w:numPr>
          <w:ilvl w:val="1"/>
          <w:numId w:val="18"/>
        </w:numPr>
        <w:rPr>
          <w:rFonts w:ascii="Arial" w:cs="Arial" w:eastAsia="Arial" w:hAnsi="Arial"/>
          <w:sz w:val="22"/>
          <w:szCs w:val="22"/>
          <w:color w:val="auto"/>
        </w:rPr>
      </w:pPr>
      <w:r>
        <w:rPr>
          <w:rFonts w:ascii="Arial" w:cs="Arial" w:eastAsia="Arial" w:hAnsi="Arial"/>
          <w:sz w:val="22"/>
          <w:szCs w:val="22"/>
          <w:color w:val="auto"/>
        </w:rPr>
        <w:t>solicit on the Executive’s own behalf or on behalf of another person or entity, the employment or services of any individual who was an employee, consultant or independent contractor of any member of the Company Group at any time during the six (6) month period immediately prior to the Date of Termination;</w:t>
      </w:r>
    </w:p>
    <w:p>
      <w:pPr>
        <w:spacing w:after="0" w:line="158" w:lineRule="exact"/>
        <w:rPr>
          <w:rFonts w:ascii="Arial" w:cs="Arial" w:eastAsia="Arial" w:hAnsi="Arial"/>
          <w:sz w:val="22"/>
          <w:szCs w:val="22"/>
          <w:color w:val="auto"/>
        </w:rPr>
      </w:pPr>
    </w:p>
    <w:p>
      <w:pPr>
        <w:ind w:left="660" w:firstLine="1028"/>
        <w:spacing w:after="0" w:line="247" w:lineRule="auto"/>
        <w:tabs>
          <w:tab w:leader="none" w:pos="2038" w:val="left"/>
        </w:tabs>
        <w:numPr>
          <w:ilvl w:val="1"/>
          <w:numId w:val="18"/>
        </w:numPr>
        <w:rPr>
          <w:rFonts w:ascii="Arial" w:cs="Arial" w:eastAsia="Arial" w:hAnsi="Arial"/>
          <w:sz w:val="21"/>
          <w:szCs w:val="21"/>
          <w:color w:val="auto"/>
        </w:rPr>
      </w:pPr>
      <w:r>
        <w:rPr>
          <w:rFonts w:ascii="Arial" w:cs="Arial" w:eastAsia="Arial" w:hAnsi="Arial"/>
          <w:sz w:val="21"/>
          <w:szCs w:val="21"/>
          <w:color w:val="auto"/>
        </w:rPr>
        <w:t>hire any individual who was an employee, consultant or independent contractor of any member of the Company Group at any time during the six (6) month period immediately prior to the Date of Termination; 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4" w:name="page15"/>
    <w:bookmarkEnd w:id="14"/>
    <w:p>
      <w:pPr>
        <w:jc w:val="both"/>
        <w:ind w:left="660" w:firstLine="968"/>
        <w:spacing w:after="0" w:line="252" w:lineRule="auto"/>
        <w:tabs>
          <w:tab w:leader="none" w:pos="2013" w:val="left"/>
        </w:tabs>
        <w:numPr>
          <w:ilvl w:val="0"/>
          <w:numId w:val="19"/>
        </w:numPr>
        <w:rPr>
          <w:rFonts w:ascii="Arial" w:cs="Arial" w:eastAsia="Arial" w:hAnsi="Arial"/>
          <w:sz w:val="19"/>
          <w:szCs w:val="19"/>
          <w:color w:val="auto"/>
        </w:rPr>
      </w:pPr>
      <w:r>
        <w:rPr>
          <w:rFonts w:ascii="Arial" w:cs="Arial" w:eastAsia="Arial" w:hAnsi="Arial"/>
          <w:sz w:val="19"/>
          <w:szCs w:val="19"/>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4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159" w:lineRule="exact"/>
        <w:rPr>
          <w:sz w:val="20"/>
          <w:szCs w:val="20"/>
          <w:color w:val="auto"/>
        </w:rPr>
      </w:pPr>
    </w:p>
    <w:p>
      <w:pPr>
        <w:jc w:val="both"/>
        <w:ind w:firstLine="1304"/>
        <w:spacing w:after="0" w:line="241" w:lineRule="auto"/>
        <w:tabs>
          <w:tab w:leader="none" w:pos="1944"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 xml:space="preserve">Enforcement. </w:t>
      </w:r>
      <w:r>
        <w:rPr>
          <w:rFonts w:ascii="Arial" w:cs="Arial" w:eastAsia="Arial" w:hAnsi="Arial"/>
          <w:sz w:val="19"/>
          <w:szCs w:val="19"/>
          <w:color w:val="auto"/>
        </w:rPr>
        <w:t>The Executive and the Company agree and acknowledge that the Company has a substantial</w:t>
      </w:r>
      <w:r>
        <w:rPr>
          <w:rFonts w:ascii="Arial" w:cs="Arial" w:eastAsia="Arial" w:hAnsi="Arial"/>
          <w:sz w:val="19"/>
          <w:szCs w:val="19"/>
          <w:i w:val="1"/>
          <w:iCs w:val="1"/>
          <w:color w:val="auto"/>
        </w:rPr>
        <w:t xml:space="preserve"> </w:t>
      </w:r>
      <w:r>
        <w:rPr>
          <w:rFonts w:ascii="Arial" w:cs="Arial" w:eastAsia="Arial" w:hAnsi="Arial"/>
          <w:sz w:val="19"/>
          <w:szCs w:val="19"/>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Obligations), in the event that the Executive has violated any provision of Section 8.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185" w:lineRule="exact"/>
        <w:rPr>
          <w:rFonts w:ascii="Arial" w:cs="Arial" w:eastAsia="Arial" w:hAnsi="Arial"/>
          <w:sz w:val="22"/>
          <w:szCs w:val="22"/>
          <w:b w:val="1"/>
          <w:bCs w:val="1"/>
          <w:color w:val="auto"/>
        </w:rPr>
      </w:pPr>
    </w:p>
    <w:p>
      <w:pPr>
        <w:jc w:val="both"/>
        <w:ind w:firstLine="1304"/>
        <w:spacing w:after="0" w:line="221" w:lineRule="auto"/>
        <w:tabs>
          <w:tab w:leader="none" w:pos="1944"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Compliance With 409A</w:t>
      </w:r>
      <w:r>
        <w:rPr>
          <w:rFonts w:ascii="Arial" w:cs="Arial" w:eastAsia="Arial" w:hAnsi="Arial"/>
          <w:sz w:val="21"/>
          <w:szCs w:val="21"/>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agrees to maintain, to the maximum extent practicable, the original intent and economic benefit to the Executive of the applicable provision without violating the provisions of Section 409A.</w:t>
      </w:r>
    </w:p>
    <w:p>
      <w:pPr>
        <w:spacing w:after="0" w:line="165" w:lineRule="exact"/>
        <w:rPr>
          <w:rFonts w:ascii="Arial" w:cs="Arial" w:eastAsia="Arial" w:hAnsi="Arial"/>
          <w:sz w:val="21"/>
          <w:szCs w:val="21"/>
          <w:color w:val="auto"/>
        </w:rPr>
      </w:pPr>
    </w:p>
    <w:p>
      <w:pPr>
        <w:jc w:val="both"/>
        <w:ind w:firstLine="1304"/>
        <w:spacing w:after="0" w:line="214" w:lineRule="auto"/>
        <w:tabs>
          <w:tab w:leader="none" w:pos="1944"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Six-month Wait for Specified Employees</w:t>
      </w:r>
      <w:r>
        <w:rPr>
          <w:rFonts w:ascii="Arial" w:cs="Arial" w:eastAsia="Arial" w:hAnsi="Arial"/>
          <w:sz w:val="22"/>
          <w:szCs w:val="22"/>
          <w:color w:val="auto"/>
        </w:rPr>
        <w:t>.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 (ii) the date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5" w:name="page16"/>
    <w:bookmarkEnd w:id="15"/>
    <w:p>
      <w:pPr>
        <w:jc w:val="both"/>
        <w:spacing w:after="0" w:line="244" w:lineRule="auto"/>
        <w:rPr>
          <w:sz w:val="20"/>
          <w:szCs w:val="20"/>
          <w:color w:val="auto"/>
        </w:rPr>
      </w:pPr>
      <w:r>
        <w:rPr>
          <w:rFonts w:ascii="Arial" w:cs="Arial" w:eastAsia="Arial" w:hAnsi="Arial"/>
          <w:sz w:val="19"/>
          <w:szCs w:val="19"/>
          <w:color w:val="auto"/>
        </w:rPr>
        <w:t>of the Executive’s death (such relevant period, the “</w:t>
      </w:r>
      <w:r>
        <w:rPr>
          <w:rFonts w:ascii="Arial" w:cs="Arial" w:eastAsia="Arial" w:hAnsi="Arial"/>
          <w:sz w:val="19"/>
          <w:szCs w:val="19"/>
          <w:b w:val="1"/>
          <w:bCs w:val="1"/>
          <w:color w:val="auto"/>
        </w:rPr>
        <w:t>Delay Period</w:t>
      </w:r>
      <w:r>
        <w:rPr>
          <w:rFonts w:ascii="Arial" w:cs="Arial" w:eastAsia="Arial" w:hAnsi="Arial"/>
          <w:sz w:val="19"/>
          <w:szCs w:val="19"/>
          <w:color w:val="auto"/>
        </w:rPr>
        <w:t>”). Upon the expiration of the Delay Period, all payments and benefits delayed pursuant to this Section 9(b)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Arial" w:cs="Arial" w:eastAsia="Arial" w:hAnsi="Arial"/>
          <w:sz w:val="19"/>
          <w:szCs w:val="19"/>
          <w:b w:val="1"/>
          <w:bCs w:val="1"/>
          <w:color w:val="auto"/>
        </w:rPr>
        <w:t>Separation From Service</w:t>
      </w:r>
      <w:r>
        <w:rPr>
          <w:rFonts w:ascii="Arial" w:cs="Arial" w:eastAsia="Arial" w:hAnsi="Arial"/>
          <w:sz w:val="19"/>
          <w:szCs w:val="19"/>
          <w:color w:val="auto"/>
        </w:rPr>
        <w:t>” and “</w:t>
      </w:r>
      <w:r>
        <w:rPr>
          <w:rFonts w:ascii="Arial" w:cs="Arial" w:eastAsia="Arial" w:hAnsi="Arial"/>
          <w:sz w:val="19"/>
          <w:szCs w:val="19"/>
          <w:b w:val="1"/>
          <w:bCs w:val="1"/>
          <w:color w:val="auto"/>
        </w:rPr>
        <w:t>Specified Employee</w:t>
      </w:r>
      <w:r>
        <w:rPr>
          <w:rFonts w:ascii="Arial" w:cs="Arial" w:eastAsia="Arial" w:hAnsi="Arial"/>
          <w:sz w:val="19"/>
          <w:szCs w:val="19"/>
          <w:color w:val="auto"/>
        </w:rPr>
        <w:t>” shall have the meanings ascribed to those terms in Section 409A, the term “</w:t>
      </w:r>
      <w:r>
        <w:rPr>
          <w:rFonts w:ascii="Arial" w:cs="Arial" w:eastAsia="Arial" w:hAnsi="Arial"/>
          <w:sz w:val="19"/>
          <w:szCs w:val="19"/>
          <w:b w:val="1"/>
          <w:bCs w:val="1"/>
          <w:color w:val="auto"/>
        </w:rPr>
        <w:t>Section 409A</w:t>
      </w:r>
      <w:r>
        <w:rPr>
          <w:rFonts w:ascii="Arial" w:cs="Arial" w:eastAsia="Arial" w:hAnsi="Arial"/>
          <w:sz w:val="19"/>
          <w:szCs w:val="19"/>
          <w:color w:val="auto"/>
        </w:rPr>
        <w:t>” means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issued thereunder by the Internal Revenue Service and the Department of Treasury.</w:t>
      </w:r>
    </w:p>
    <w:p>
      <w:pPr>
        <w:spacing w:after="0" w:line="155" w:lineRule="exact"/>
        <w:rPr>
          <w:sz w:val="20"/>
          <w:szCs w:val="20"/>
          <w:color w:val="auto"/>
        </w:rPr>
      </w:pPr>
    </w:p>
    <w:p>
      <w:pPr>
        <w:jc w:val="both"/>
        <w:ind w:firstLine="1304"/>
        <w:spacing w:after="0" w:line="216"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 as a Separation from Service</w:t>
      </w:r>
      <w:r>
        <w:rPr>
          <w:rFonts w:ascii="Arial" w:cs="Arial" w:eastAsia="Arial" w:hAnsi="Arial"/>
          <w:sz w:val="22"/>
          <w:szCs w:val="22"/>
          <w:color w:val="auto"/>
        </w:rPr>
        <w:t>. 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57" w:lineRule="exact"/>
        <w:rPr>
          <w:rFonts w:ascii="Arial" w:cs="Arial" w:eastAsia="Arial" w:hAnsi="Arial"/>
          <w:sz w:val="22"/>
          <w:szCs w:val="22"/>
          <w:color w:val="auto"/>
        </w:rPr>
      </w:pPr>
    </w:p>
    <w:p>
      <w:pPr>
        <w:jc w:val="both"/>
        <w:ind w:firstLine="1304"/>
        <w:spacing w:after="0" w:line="221" w:lineRule="auto"/>
        <w:tabs>
          <w:tab w:leader="none" w:pos="1944"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Payment Period for Reimbursements, In-Kind Benefits</w:t>
      </w:r>
      <w:r>
        <w:rPr>
          <w:rFonts w:ascii="Arial" w:cs="Arial" w:eastAsia="Arial" w:hAnsi="Arial"/>
          <w:sz w:val="21"/>
          <w:szCs w:val="21"/>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58" w:lineRule="exact"/>
        <w:rPr>
          <w:rFonts w:ascii="Arial" w:cs="Arial" w:eastAsia="Arial" w:hAnsi="Arial"/>
          <w:sz w:val="21"/>
          <w:szCs w:val="21"/>
          <w:color w:val="auto"/>
        </w:rPr>
      </w:pPr>
    </w:p>
    <w:p>
      <w:pPr>
        <w:jc w:val="both"/>
        <w:ind w:firstLine="1304"/>
        <w:spacing w:after="0" w:line="268" w:lineRule="auto"/>
        <w:tabs>
          <w:tab w:leader="none" w:pos="1944"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Payments Within Specified Number of Days</w:t>
      </w:r>
      <w:r>
        <w:rPr>
          <w:rFonts w:ascii="Arial" w:cs="Arial" w:eastAsia="Arial" w:hAnsi="Arial"/>
          <w:sz w:val="19"/>
          <w:szCs w:val="19"/>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32" w:lineRule="exact"/>
        <w:rPr>
          <w:rFonts w:ascii="Arial" w:cs="Arial" w:eastAsia="Arial" w:hAnsi="Arial"/>
          <w:sz w:val="19"/>
          <w:szCs w:val="19"/>
          <w:color w:val="auto"/>
        </w:rPr>
      </w:pPr>
    </w:p>
    <w:p>
      <w:pPr>
        <w:ind w:firstLine="1304"/>
        <w:spacing w:after="0" w:line="232"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Installments as Separate Payment</w:t>
      </w:r>
      <w:r>
        <w:rPr>
          <w:rFonts w:ascii="Arial" w:cs="Arial" w:eastAsia="Arial" w:hAnsi="Arial"/>
          <w:sz w:val="22"/>
          <w:szCs w:val="22"/>
          <w:color w:val="auto"/>
        </w:rPr>
        <w:t>. If under this Agreement, an amount is to be paid in two or more installments, for purposes of Section 409A, each installment shall be treated as a separate payment.</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BINDING AGREEMENT.</w:t>
      </w:r>
    </w:p>
    <w:p>
      <w:pPr>
        <w:spacing w:after="0" w:line="185" w:lineRule="exact"/>
        <w:rPr>
          <w:rFonts w:ascii="Arial" w:cs="Arial" w:eastAsia="Arial" w:hAnsi="Arial"/>
          <w:sz w:val="22"/>
          <w:szCs w:val="22"/>
          <w:b w:val="1"/>
          <w:bCs w:val="1"/>
          <w:color w:val="auto"/>
        </w:rPr>
      </w:pPr>
    </w:p>
    <w:p>
      <w:pPr>
        <w:jc w:val="both"/>
        <w:ind w:firstLine="1304"/>
        <w:spacing w:after="0" w:line="247" w:lineRule="auto"/>
        <w:tabs>
          <w:tab w:leader="none" w:pos="1944" w:val="left"/>
        </w:tabs>
        <w:numPr>
          <w:ilvl w:val="1"/>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Company’s Successors. </w:t>
      </w:r>
      <w:r>
        <w:rPr>
          <w:rFonts w:ascii="Arial" w:cs="Arial" w:eastAsia="Arial" w:hAnsi="Arial"/>
          <w:sz w:val="19"/>
          <w:szCs w:val="19"/>
          <w:color w:val="auto"/>
        </w:rPr>
        <w:t>The Company and the Parent will require any successor (whether direct or indirect,</w:t>
      </w:r>
      <w:r>
        <w:rPr>
          <w:rFonts w:ascii="Arial" w:cs="Arial" w:eastAsia="Arial" w:hAnsi="Arial"/>
          <w:sz w:val="19"/>
          <w:szCs w:val="19"/>
          <w:i w:val="1"/>
          <w:iCs w:val="1"/>
          <w:color w:val="auto"/>
        </w:rPr>
        <w:t xml:space="preserve"> </w:t>
      </w:r>
      <w:r>
        <w:rPr>
          <w:rFonts w:ascii="Arial" w:cs="Arial" w:eastAsia="Arial" w:hAnsi="Arial"/>
          <w:sz w:val="19"/>
          <w:szCs w:val="19"/>
          <w:color w:val="auto"/>
        </w:rPr>
        <w:t>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3" w:right="339" w:bottom="1440" w:gutter="0" w:footer="0" w:header="0"/>
        </w:sectPr>
      </w:pPr>
    </w:p>
    <w:bookmarkStart w:id="16" w:name="page17"/>
    <w:bookmarkEnd w:id="16"/>
    <w:p>
      <w:pPr>
        <w:jc w:val="both"/>
        <w:spacing w:after="0" w:line="214" w:lineRule="auto"/>
        <w:rPr>
          <w:sz w:val="20"/>
          <w:szCs w:val="20"/>
          <w:color w:val="auto"/>
        </w:rPr>
      </w:pPr>
      <w:r>
        <w:rPr>
          <w:rFonts w:ascii="Arial" w:cs="Arial" w:eastAsia="Arial" w:hAnsi="Arial"/>
          <w:sz w:val="22"/>
          <w:szCs w:val="22"/>
          <w:color w:val="auto"/>
        </w:rPr>
        <w:t>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59" w:lineRule="exact"/>
        <w:rPr>
          <w:sz w:val="20"/>
          <w:szCs w:val="20"/>
          <w:color w:val="auto"/>
        </w:rPr>
      </w:pPr>
    </w:p>
    <w:p>
      <w:pPr>
        <w:jc w:val="both"/>
        <w:ind w:firstLine="1304"/>
        <w:spacing w:after="0" w:line="249" w:lineRule="auto"/>
        <w:tabs>
          <w:tab w:leader="none" w:pos="1944" w:val="left"/>
        </w:tabs>
        <w:numPr>
          <w:ilvl w:val="1"/>
          <w:numId w:val="24"/>
        </w:numPr>
        <w:rPr>
          <w:rFonts w:ascii="Arial" w:cs="Arial" w:eastAsia="Arial" w:hAnsi="Arial"/>
          <w:sz w:val="19"/>
          <w:szCs w:val="19"/>
          <w:color w:val="auto"/>
        </w:rPr>
      </w:pPr>
      <w:r>
        <w:rPr>
          <w:rFonts w:ascii="Arial" w:cs="Arial" w:eastAsia="Arial" w:hAnsi="Arial"/>
          <w:sz w:val="19"/>
          <w:szCs w:val="19"/>
          <w:i w:val="1"/>
          <w:iCs w:val="1"/>
          <w:color w:val="auto"/>
        </w:rPr>
        <w:t xml:space="preserve">Executive’s Successors. </w:t>
      </w:r>
      <w:r>
        <w:rPr>
          <w:rFonts w:ascii="Arial" w:cs="Arial" w:eastAsia="Arial" w:hAnsi="Arial"/>
          <w:sz w:val="19"/>
          <w:szCs w:val="19"/>
          <w:color w:val="auto"/>
        </w:rPr>
        <w:t>This Agreement and all rights of the Executive hereunder shall inure to the benefit</w:t>
      </w:r>
      <w:r>
        <w:rPr>
          <w:rFonts w:ascii="Arial" w:cs="Arial" w:eastAsia="Arial" w:hAnsi="Arial"/>
          <w:sz w:val="19"/>
          <w:szCs w:val="19"/>
          <w:i w:val="1"/>
          <w:iCs w:val="1"/>
          <w:color w:val="auto"/>
        </w:rPr>
        <w:t xml:space="preserve"> </w:t>
      </w:r>
      <w:r>
        <w:rPr>
          <w:rFonts w:ascii="Arial" w:cs="Arial" w:eastAsia="Arial" w:hAnsi="Arial"/>
          <w:sz w:val="19"/>
          <w:szCs w:val="19"/>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24"/>
        </w:numPr>
        <w:rPr>
          <w:rFonts w:ascii="Arial" w:cs="Arial" w:eastAsia="Arial" w:hAnsi="Arial"/>
          <w:sz w:val="22"/>
          <w:szCs w:val="22"/>
          <w:color w:val="auto"/>
        </w:rPr>
      </w:pPr>
      <w:r>
        <w:rPr>
          <w:rFonts w:ascii="Arial" w:cs="Arial" w:eastAsia="Arial" w:hAnsi="Arial"/>
          <w:sz w:val="22"/>
          <w:szCs w:val="22"/>
          <w:color w:val="auto"/>
        </w:rPr>
        <w:t>Assignment. This Agreement may be assigned by the Company and the Parent to any member of the Company Group. Upon such assignment, the rights and obligations of the Company or the Parent, as applicable, hereunder shall become the rights and obligations of such affiliate or successor person or entity.</w:t>
      </w:r>
    </w:p>
    <w:p>
      <w:pPr>
        <w:spacing w:after="0" w:line="152" w:lineRule="exact"/>
        <w:rPr>
          <w:rFonts w:ascii="Arial" w:cs="Arial" w:eastAsia="Arial" w:hAnsi="Arial"/>
          <w:sz w:val="22"/>
          <w:szCs w:val="22"/>
          <w:color w:val="auto"/>
        </w:rPr>
      </w:pPr>
    </w:p>
    <w:p>
      <w:pPr>
        <w:jc w:val="both"/>
        <w:ind w:firstLine="656"/>
        <w:spacing w:after="0" w:line="271" w:lineRule="auto"/>
        <w:tabs>
          <w:tab w:leader="none" w:pos="1284"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For the purposes of this Agreement, notices, demands and all other communications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to the last address shown on records of the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or the Parent: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Academy Sports and Outdoors, Inc.</w:t>
      </w:r>
    </w:p>
    <w:p>
      <w:pPr>
        <w:ind w:left="1300"/>
        <w:spacing w:after="0" w:line="204" w:lineRule="auto"/>
        <w:rPr>
          <w:sz w:val="20"/>
          <w:szCs w:val="20"/>
          <w:color w:val="auto"/>
        </w:rPr>
      </w:pPr>
      <w:r>
        <w:rPr>
          <w:rFonts w:ascii="Arial" w:cs="Arial" w:eastAsia="Arial" w:hAnsi="Arial"/>
          <w:sz w:val="22"/>
          <w:szCs w:val="22"/>
          <w:color w:val="auto"/>
        </w:rPr>
        <w:t>1800 North Mason Road</w:t>
      </w:r>
    </w:p>
    <w:p>
      <w:pPr>
        <w:ind w:left="1300"/>
        <w:spacing w:after="0" w:line="205" w:lineRule="auto"/>
        <w:rPr>
          <w:sz w:val="20"/>
          <w:szCs w:val="20"/>
          <w:color w:val="auto"/>
        </w:rPr>
      </w:pPr>
      <w:r>
        <w:rPr>
          <w:rFonts w:ascii="Arial" w:cs="Arial" w:eastAsia="Arial" w:hAnsi="Arial"/>
          <w:sz w:val="22"/>
          <w:szCs w:val="22"/>
          <w:color w:val="auto"/>
        </w:rPr>
        <w:t>Katy, Texas 77449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53" w:lineRule="exact"/>
        <w:rPr>
          <w:sz w:val="20"/>
          <w:szCs w:val="20"/>
          <w:color w:val="auto"/>
        </w:rPr>
      </w:pPr>
    </w:p>
    <w:p>
      <w:pPr>
        <w:jc w:val="both"/>
        <w:ind w:firstLine="656"/>
        <w:spacing w:after="0" w:line="243" w:lineRule="auto"/>
        <w:tabs>
          <w:tab w:leader="none" w:pos="129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SECTION 280G</w:t>
      </w:r>
      <w:r>
        <w:rPr>
          <w:rFonts w:ascii="Arial" w:cs="Arial" w:eastAsia="Arial" w:hAnsi="Arial"/>
          <w:sz w:val="19"/>
          <w:szCs w:val="19"/>
          <w:color w:val="auto"/>
        </w:rPr>
        <w:t>. Notwithstanding anything to the contrary in this Agreement, if the Executive is a “disqualified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7" w:name="page18"/>
    <w:bookmarkEnd w:id="17"/>
    <w:p>
      <w:pPr>
        <w:jc w:val="both"/>
        <w:spacing w:after="0" w:line="221" w:lineRule="auto"/>
        <w:rPr>
          <w:sz w:val="20"/>
          <w:szCs w:val="20"/>
          <w:color w:val="auto"/>
        </w:rPr>
      </w:pPr>
      <w:r>
        <w:rPr>
          <w:rFonts w:ascii="Arial" w:cs="Arial" w:eastAsia="Arial" w:hAnsi="Arial"/>
          <w:sz w:val="21"/>
          <w:szCs w:val="21"/>
          <w:color w:val="auto"/>
        </w:rPr>
        <w:t>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12 shall require the Company Group to be responsible for, or have any liability or obligation with respect to, the Executive’s excise tax liabilities under Section 4999 of the Code.</w:t>
      </w:r>
    </w:p>
    <w:p>
      <w:pPr>
        <w:spacing w:after="0" w:line="153" w:lineRule="exact"/>
        <w:rPr>
          <w:sz w:val="20"/>
          <w:szCs w:val="20"/>
          <w:color w:val="auto"/>
        </w:rPr>
      </w:pPr>
    </w:p>
    <w:p>
      <w:pPr>
        <w:jc w:val="both"/>
        <w:ind w:firstLine="656"/>
        <w:spacing w:after="0" w:line="250"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OR MODIFICATION; WAIVER</w:t>
      </w:r>
      <w:r>
        <w:rPr>
          <w:rFonts w:ascii="Arial" w:cs="Arial" w:eastAsia="Arial" w:hAnsi="Arial"/>
          <w:sz w:val="19"/>
          <w:szCs w:val="19"/>
          <w:color w:val="auto"/>
        </w:rPr>
        <w:t>. This Agreement may not be altered, modified, or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except by written instrument signed by the parties hereto. In the event of any inconsistency between this Agreement and any other plan, program, practice or agreement of which the Executive is a participant or a party, this Agreement shall control unless such other plan, program, practice or agreement specifically refers to the provisions of this sentence.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6"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firstLine="1304"/>
        <w:spacing w:after="0" w:line="225" w:lineRule="auto"/>
        <w:tabs>
          <w:tab w:leader="none" w:pos="1944" w:val="left"/>
        </w:tabs>
        <w:numPr>
          <w:ilvl w:val="1"/>
          <w:numId w:val="27"/>
        </w:numPr>
        <w:rPr>
          <w:rFonts w:ascii="Arial" w:cs="Arial" w:eastAsia="Arial" w:hAnsi="Arial"/>
          <w:sz w:val="22"/>
          <w:szCs w:val="22"/>
          <w:color w:val="auto"/>
        </w:rPr>
      </w:pPr>
      <w:r>
        <w:rPr>
          <w:rFonts w:ascii="Arial" w:cs="Arial" w:eastAsia="Arial" w:hAnsi="Arial"/>
          <w:sz w:val="22"/>
          <w:szCs w:val="22"/>
          <w:b w:val="1"/>
          <w:bCs w:val="1"/>
          <w:color w:val="auto"/>
        </w:rPr>
        <w:t>THE PARTIES AGREE TO SUBMIT ALL DISPUTES AND/OR ACTIONS REGARDING THIS AGREEMENT TO THE EXCLUSIVE JURISDICTION OF THE STATE OR FEDERAL COURTS IN HARRIS COUNTY, TEXAS. EACH OF THE PARTIES WAIVES ANY RIGHTS TO A TRIAL BY JURY</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304"/>
        <w:spacing w:after="0" w:line="217" w:lineRule="auto"/>
        <w:tabs>
          <w:tab w:leader="none" w:pos="1944" w:val="left"/>
        </w:tabs>
        <w:numPr>
          <w:ilvl w:val="1"/>
          <w:numId w:val="27"/>
        </w:numPr>
        <w:rPr>
          <w:rFonts w:ascii="Arial" w:cs="Arial" w:eastAsia="Arial" w:hAnsi="Arial"/>
          <w:sz w:val="22"/>
          <w:szCs w:val="22"/>
          <w:color w:val="auto"/>
        </w:rPr>
      </w:pPr>
      <w:r>
        <w:rPr>
          <w:rFonts w:ascii="Arial" w:cs="Arial" w:eastAsia="Arial" w:hAnsi="Arial"/>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validity, interpretation, construction and performance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Texas without regard to its conflicts of law principles.</w:t>
      </w:r>
    </w:p>
    <w:p>
      <w:pPr>
        <w:spacing w:after="0" w:line="152" w:lineRule="exact"/>
        <w:rPr>
          <w:rFonts w:ascii="Arial" w:cs="Arial" w:eastAsia="Arial" w:hAnsi="Arial"/>
          <w:sz w:val="22"/>
          <w:szCs w:val="22"/>
          <w:b w:val="1"/>
          <w:bCs w:val="1"/>
          <w:color w:val="auto"/>
        </w:rPr>
      </w:pPr>
    </w:p>
    <w:p>
      <w:pPr>
        <w:jc w:val="both"/>
        <w:ind w:firstLine="656"/>
        <w:spacing w:after="0" w:line="245"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All references to sections of any statute shall be deemed also to refer to any successor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provisions to such sections. The obligations of the parties under Sections 7 through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52" w:lineRule="exact"/>
        <w:rPr>
          <w:rFonts w:ascii="Arial" w:cs="Arial" w:eastAsia="Arial" w:hAnsi="Arial"/>
          <w:sz w:val="19"/>
          <w:szCs w:val="19"/>
          <w:b w:val="1"/>
          <w:bCs w:val="1"/>
          <w:color w:val="auto"/>
        </w:rPr>
      </w:pPr>
    </w:p>
    <w:p>
      <w:pPr>
        <w:ind w:firstLine="656"/>
        <w:spacing w:after="0" w:line="235"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invalidity or unenforceability of any provision or provisions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validity or enforceability of any other provision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8" w:name="page19"/>
    <w:bookmarkEnd w:id="18"/>
    <w:p>
      <w:pPr>
        <w:jc w:val="both"/>
        <w:spacing w:after="0" w:line="218" w:lineRule="auto"/>
        <w:rPr>
          <w:sz w:val="20"/>
          <w:szCs w:val="20"/>
          <w:color w:val="auto"/>
        </w:rPr>
      </w:pPr>
      <w:r>
        <w:rPr>
          <w:rFonts w:ascii="Arial" w:cs="Arial" w:eastAsia="Arial" w:hAnsi="Arial"/>
          <w:sz w:val="22"/>
          <w:szCs w:val="22"/>
          <w:color w:val="auto"/>
        </w:rPr>
        <w:t>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55" w:lineRule="exact"/>
        <w:rPr>
          <w:sz w:val="20"/>
          <w:szCs w:val="20"/>
          <w:color w:val="auto"/>
        </w:rPr>
      </w:pPr>
    </w:p>
    <w:p>
      <w:pPr>
        <w:jc w:val="both"/>
        <w:ind w:firstLine="656"/>
        <w:spacing w:after="0" w:line="225" w:lineRule="auto"/>
        <w:tabs>
          <w:tab w:leader="none" w:pos="1296"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 EFFECTIVENESS OF AGREEMENT</w:t>
      </w:r>
      <w:r>
        <w:rPr>
          <w:rFonts w:ascii="Arial" w:cs="Arial" w:eastAsia="Arial" w:hAnsi="Arial"/>
          <w:sz w:val="21"/>
          <w:szCs w:val="21"/>
          <w:color w:val="auto"/>
        </w:rPr>
        <w:t>. This Agreement sets forth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No agreements or representations, oral or otherwise, express or implied, with respect to the subject matter hereof have been made by either party which are not set forth expressly in this Agreement.</w:t>
      </w:r>
    </w:p>
    <w:p>
      <w:pPr>
        <w:spacing w:after="0" w:line="153" w:lineRule="exact"/>
        <w:rPr>
          <w:rFonts w:ascii="Arial" w:cs="Arial" w:eastAsia="Arial" w:hAnsi="Arial"/>
          <w:sz w:val="21"/>
          <w:szCs w:val="21"/>
          <w:b w:val="1"/>
          <w:bCs w:val="1"/>
          <w:color w:val="auto"/>
        </w:rPr>
      </w:pPr>
    </w:p>
    <w:p>
      <w:pPr>
        <w:jc w:val="both"/>
        <w:ind w:firstLine="656"/>
        <w:spacing w:after="0" w:line="271" w:lineRule="auto"/>
        <w:tabs>
          <w:tab w:leader="none" w:pos="129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The Company Group may withhold from any payments or benefits made or provided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23" w:lineRule="exact"/>
        <w:rPr>
          <w:rFonts w:ascii="Arial" w:cs="Arial" w:eastAsia="Arial" w:hAnsi="Arial"/>
          <w:sz w:val="19"/>
          <w:szCs w:val="19"/>
          <w:b w:val="1"/>
          <w:bCs w:val="1"/>
          <w:color w:val="auto"/>
        </w:rPr>
      </w:pPr>
    </w:p>
    <w:p>
      <w:pPr>
        <w:jc w:val="both"/>
        <w:ind w:firstLine="656"/>
        <w:spacing w:after="0" w:line="248" w:lineRule="auto"/>
        <w:tabs>
          <w:tab w:leader="none" w:pos="129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During the Employment Period and at any time thereafter, the Executive agrees to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47" w:lineRule="exact"/>
        <w:rPr>
          <w:rFonts w:ascii="Arial" w:cs="Arial" w:eastAsia="Arial" w:hAnsi="Arial"/>
          <w:sz w:val="19"/>
          <w:szCs w:val="19"/>
          <w:b w:val="1"/>
          <w:bCs w:val="1"/>
          <w:color w:val="auto"/>
        </w:rPr>
      </w:pPr>
    </w:p>
    <w:p>
      <w:pPr>
        <w:jc w:val="both"/>
        <w:ind w:firstLine="656"/>
        <w:spacing w:after="0" w:line="220"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REPRESENTATION</w:t>
      </w:r>
      <w:r>
        <w:rPr>
          <w:rFonts w:ascii="Arial" w:cs="Arial" w:eastAsia="Arial" w:hAnsi="Arial"/>
          <w:sz w:val="22"/>
          <w:szCs w:val="22"/>
          <w:color w:val="auto"/>
        </w:rPr>
        <w:t>. The Executive hereby represents to the Company Group that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delivery of this Agreement by the Executive and the performance by the Executive of the Executive’s duties hereunder shall not constitute a breach of, or otherwise contravene, the terms of any employment agreement or other agreement or policy to which the Executive is a party or otherwise bound.</w:t>
      </w:r>
    </w:p>
    <w:p>
      <w:pPr>
        <w:spacing w:after="0" w:line="152" w:lineRule="exact"/>
        <w:rPr>
          <w:rFonts w:ascii="Arial" w:cs="Arial" w:eastAsia="Arial" w:hAnsi="Arial"/>
          <w:sz w:val="22"/>
          <w:szCs w:val="22"/>
          <w:b w:val="1"/>
          <w:bCs w:val="1"/>
          <w:color w:val="auto"/>
        </w:rPr>
      </w:pPr>
    </w:p>
    <w:p>
      <w:pPr>
        <w:ind w:firstLine="656"/>
        <w:spacing w:after="0" w:line="235"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together will constitute one and the same instrument.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239"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Subject to Board/Compensation Committee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Agreement effective as of the date first written above.</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ACADEMY MANAGING CO., L.L.C.</w:t>
      </w:r>
    </w:p>
    <w:p>
      <w:pPr>
        <w:ind w:left="3900"/>
        <w:spacing w:after="0"/>
        <w:rPr>
          <w:sz w:val="20"/>
          <w:szCs w:val="20"/>
          <w:color w:val="auto"/>
        </w:rPr>
      </w:pPr>
      <w:r>
        <w:rPr>
          <w:rFonts w:ascii="Arial" w:cs="Arial" w:eastAsia="Arial" w:hAnsi="Arial"/>
          <w:sz w:val="22"/>
          <w:szCs w:val="22"/>
          <w:b w:val="1"/>
          <w:bCs w:val="1"/>
          <w:color w:val="auto"/>
        </w:rPr>
        <w:t>ACADEMY SPORTS AND OUTDOORS, INC.</w:t>
      </w:r>
    </w:p>
    <w:p>
      <w:pPr>
        <w:spacing w:after="0" w:line="200" w:lineRule="exact"/>
        <w:rPr>
          <w:sz w:val="20"/>
          <w:szCs w:val="20"/>
          <w:color w:val="auto"/>
        </w:rPr>
      </w:pPr>
    </w:p>
    <w:p>
      <w:pPr>
        <w:spacing w:after="0" w:line="26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-5715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4560"/>
        <w:spacing w:after="0" w:line="204" w:lineRule="auto"/>
        <w:rPr>
          <w:sz w:val="20"/>
          <w:szCs w:val="20"/>
          <w:color w:val="auto"/>
        </w:rPr>
      </w:pPr>
      <w:r>
        <w:rPr>
          <w:rFonts w:ascii="Arial" w:cs="Arial" w:eastAsia="Arial" w:hAnsi="Arial"/>
          <w:sz w:val="22"/>
          <w:szCs w:val="22"/>
          <w:color w:val="auto"/>
        </w:rPr>
        <w:t>Name: William S. Ennis</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By: /s/ 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-5715</wp:posOffset>
            </wp:positionV>
            <wp:extent cx="1482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22"/>
          <w:szCs w:val="22"/>
          <w:color w:val="auto"/>
        </w:rPr>
        <w:t>Name: Earl Carlton (Carl) Ford,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9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(This form remains subject to updates for changes in applicable law.)</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RELEASE (this “</w:t>
      </w:r>
      <w:r>
        <w:rPr>
          <w:rFonts w:ascii="Arial" w:cs="Arial" w:eastAsia="Arial" w:hAnsi="Arial"/>
          <w:sz w:val="22"/>
          <w:szCs w:val="22"/>
          <w:b w:val="1"/>
          <w:bCs w:val="1"/>
          <w:color w:val="auto"/>
        </w:rPr>
        <w:t>Release</w:t>
      </w:r>
      <w:r>
        <w:rPr>
          <w:rFonts w:ascii="Arial" w:cs="Arial" w:eastAsia="Arial" w:hAnsi="Arial"/>
          <w:sz w:val="22"/>
          <w:szCs w:val="22"/>
          <w:color w:val="auto"/>
        </w:rPr>
        <w:t>”) is executed as of the date set forth below by Earl Carlton (Carl) Ford, IV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the Executive is currently employed by Academy Managing Co., L.L.C., a Texas limited liability company (the “</w:t>
      </w:r>
      <w:r>
        <w:rPr>
          <w:rFonts w:ascii="Arial" w:cs="Arial" w:eastAsia="Arial" w:hAnsi="Arial"/>
          <w:sz w:val="19"/>
          <w:szCs w:val="19"/>
          <w:b w:val="1"/>
          <w:bCs w:val="1"/>
          <w:color w:val="auto"/>
        </w:rPr>
        <w:t>Company</w:t>
      </w:r>
      <w:r>
        <w:rPr>
          <w:rFonts w:ascii="Arial" w:cs="Arial" w:eastAsia="Arial" w:hAnsi="Arial"/>
          <w:sz w:val="19"/>
          <w:szCs w:val="19"/>
          <w:color w:val="auto"/>
        </w:rPr>
        <w:t>”), pursuant to that certain Employment Agreement by and among the Executive, the Company, and Academy Sports and Outdoors, Inc., a Delaware corporation, dated as of July 6, 2023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and</w:t>
      </w:r>
    </w:p>
    <w:p>
      <w:pPr>
        <w:spacing w:after="0" w:line="12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WHEREAS, the Executive’s employment with the Company (together, with its subsidiaries and affiliates,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Group</w:t>
      </w:r>
      <w:r>
        <w:rPr>
          <w:rFonts w:ascii="Arial" w:cs="Arial" w:eastAsia="Arial" w:hAnsi="Arial"/>
          <w:sz w:val="22"/>
          <w:szCs w:val="22"/>
          <w:color w:val="auto"/>
        </w:rPr>
        <w:t>”) will terminate effective as of __________________, 20____</w:t>
      </w:r>
      <w:r>
        <w:rPr>
          <w:rFonts w:ascii="Arial" w:cs="Arial" w:eastAsia="Arial" w:hAnsi="Arial"/>
          <w:sz w:val="22"/>
          <w:szCs w:val="22"/>
          <w:b w:val="1"/>
          <w:bCs w:val="1"/>
          <w:color w:val="auto"/>
        </w:rPr>
        <w:t xml:space="preserve"> .</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and covenants contained in this Agreement and other good and valuable consideration, the Executive hereby agrees as follows:</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The Executive shall be paid or provided severance payments and benefits in accordance with the terms and conditions of Section 7 of the Employment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severance payments and benefits shall be paid or provided if the Executive revokes this Release pursuant to paragraph 9 below or the Executive violates any of the covenants set forth in Section 8 of the Employment Agreement.</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 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1023088</w:t>
      </w:r>
    </w:p>
    <w:p>
      <w:pPr>
        <w:sectPr>
          <w:pgSz w:w="11900" w:h="16838" w:orient="portrait"/>
          <w:cols w:equalWidth="0" w:num="1">
            <w:col w:w="11240"/>
          </w:cols>
          <w:pgMar w:left="320" w:top="1395" w:right="339" w:bottom="1440" w:gutter="0" w:footer="0" w:header="0"/>
        </w:sectPr>
      </w:pPr>
    </w:p>
    <w:bookmarkStart w:id="21" w:name="page22"/>
    <w:bookmarkEnd w:id="21"/>
    <w:p>
      <w:pPr>
        <w:jc w:val="both"/>
        <w:spacing w:after="0" w:line="247" w:lineRule="auto"/>
        <w:rPr>
          <w:sz w:val="20"/>
          <w:szCs w:val="20"/>
          <w:color w:val="auto"/>
        </w:rPr>
      </w:pPr>
      <w:r>
        <w:rPr>
          <w:rFonts w:ascii="Arial" w:cs="Arial" w:eastAsia="Arial" w:hAnsi="Arial"/>
          <w:sz w:val="21"/>
          <w:szCs w:val="21"/>
          <w:color w:val="auto"/>
        </w:rPr>
        <w:t>extend to claims which a person does not know or suspect to exist in the Executive’s favor at the time of executing the release which, if known by the Executive, must have materially affected the Executive’s settlement with the other person.</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exceptions to the foregoing are (i) claims and rights that may arise after the date of execution of this Release, (ii) claims and rights arising or with regard to accrued benefits under any under any employee benefit plan maintained by the Company, (iii) claims and rights arising with respect to severance payments and benefits payable to the Executive under Section 7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w:t>
      </w:r>
    </w:p>
    <w:p>
      <w:pPr>
        <w:spacing w:after="0" w:line="5" w:lineRule="exact"/>
        <w:rPr>
          <w:sz w:val="20"/>
          <w:szCs w:val="20"/>
          <w:color w:val="auto"/>
        </w:rPr>
      </w:pPr>
    </w:p>
    <w:p>
      <w:pPr>
        <w:jc w:val="both"/>
        <w:ind w:firstLine="8"/>
        <w:spacing w:after="0" w:line="258" w:lineRule="auto"/>
        <w:tabs>
          <w:tab w:leader="none" w:pos="476"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The Executive understands and agrees that:</w:t>
      </w:r>
    </w:p>
    <w:p>
      <w:pPr>
        <w:spacing w:after="0" w:line="179" w:lineRule="exact"/>
        <w:rPr>
          <w:sz w:val="20"/>
          <w:szCs w:val="20"/>
          <w:color w:val="auto"/>
        </w:rPr>
      </w:pPr>
    </w:p>
    <w:p>
      <w:pPr>
        <w:jc w:val="both"/>
        <w:ind w:left="1300" w:hanging="320"/>
        <w:spacing w:after="0" w:line="218"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has a period of 21 days within which to consider whether the Executive desires to execute this Release, that no one hurried the Executive into executing this Release during that 21-days period, that no one coerced the Executive into executing this Release, and that, if applicable, execution of this Release before the expiration of the 21-days period is voluntary.</w:t>
      </w:r>
    </w:p>
    <w:p>
      <w:pPr>
        <w:spacing w:after="0" w:line="160" w:lineRule="exact"/>
        <w:rPr>
          <w:rFonts w:ascii="Arial" w:cs="Arial" w:eastAsia="Arial" w:hAnsi="Arial"/>
          <w:sz w:val="22"/>
          <w:szCs w:val="22"/>
          <w:color w:val="auto"/>
        </w:rPr>
      </w:pPr>
    </w:p>
    <w:p>
      <w:pPr>
        <w:ind w:left="1300" w:hanging="320"/>
        <w:spacing w:after="0" w:line="232"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has carefully read and fully understands all of the provisions of this Release, and declares that the Release is written in a manner that the Executive fully understands.</w:t>
      </w:r>
    </w:p>
    <w:p>
      <w:pPr>
        <w:spacing w:after="0" w:line="158" w:lineRule="exact"/>
        <w:rPr>
          <w:rFonts w:ascii="Arial" w:cs="Arial" w:eastAsia="Arial" w:hAnsi="Arial"/>
          <w:sz w:val="22"/>
          <w:szCs w:val="22"/>
          <w:color w:val="auto"/>
        </w:rPr>
      </w:pPr>
    </w:p>
    <w:p>
      <w:pPr>
        <w:jc w:val="both"/>
        <w:ind w:left="1300" w:hanging="320"/>
        <w:spacing w:after="0" w:line="218"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60" w:lineRule="exact"/>
        <w:rPr>
          <w:rFonts w:ascii="Arial" w:cs="Arial" w:eastAsia="Arial" w:hAnsi="Arial"/>
          <w:sz w:val="22"/>
          <w:szCs w:val="22"/>
          <w:color w:val="auto"/>
        </w:rPr>
      </w:pPr>
    </w:p>
    <w:p>
      <w:pPr>
        <w:ind w:left="1300" w:hanging="320"/>
        <w:spacing w:after="0" w:line="232"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declares that the Executive’s agreement to all of the terms set forth in this Release is knowing and is voluntary.</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knowingly and voluntarily intends to be legally bound by the terms of this Release.</w:t>
      </w:r>
    </w:p>
    <w:p>
      <w:pPr>
        <w:sectPr>
          <w:pgSz w:w="11900" w:h="16838" w:orient="portrait"/>
          <w:cols w:equalWidth="0" w:num="1">
            <w:col w:w="11240"/>
          </w:cols>
          <w:pgMar w:left="320" w:top="1401" w:right="339" w:bottom="1440" w:gutter="0" w:footer="0" w:header="0"/>
        </w:sectPr>
      </w:pPr>
    </w:p>
    <w:bookmarkStart w:id="22" w:name="page23"/>
    <w:bookmarkEnd w:id="22"/>
    <w:p>
      <w:pPr>
        <w:ind w:left="1220" w:hanging="320"/>
        <w:spacing w:after="0" w:line="232" w:lineRule="auto"/>
        <w:tabs>
          <w:tab w:leader="none" w:pos="1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Executive was advised and hereby is advised in writing to consult with an attorney of the Executive’s choice concerning the legal effect of this Release prior to executing this Release.</w:t>
      </w:r>
    </w:p>
    <w:p>
      <w:pPr>
        <w:spacing w:after="0" w:line="158" w:lineRule="exact"/>
        <w:rPr>
          <w:rFonts w:ascii="Arial" w:cs="Arial" w:eastAsia="Arial" w:hAnsi="Arial"/>
          <w:sz w:val="22"/>
          <w:szCs w:val="22"/>
          <w:color w:val="auto"/>
        </w:rPr>
      </w:pPr>
    </w:p>
    <w:p>
      <w:pPr>
        <w:ind w:left="1220" w:hanging="320"/>
        <w:spacing w:after="0" w:line="232" w:lineRule="auto"/>
        <w:tabs>
          <w:tab w:leader="none" w:pos="1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Executive understands that rights or claims that may arise after the date this Release is executed are not waived.</w:t>
      </w:r>
    </w:p>
    <w:p>
      <w:pPr>
        <w:spacing w:after="0" w:line="158" w:lineRule="exact"/>
        <w:rPr>
          <w:rFonts w:ascii="Arial" w:cs="Arial" w:eastAsia="Arial" w:hAnsi="Arial"/>
          <w:sz w:val="22"/>
          <w:szCs w:val="22"/>
          <w:color w:val="auto"/>
        </w:rPr>
      </w:pPr>
    </w:p>
    <w:p>
      <w:pPr>
        <w:jc w:val="both"/>
        <w:ind w:left="1220" w:hanging="320"/>
        <w:spacing w:after="0" w:line="298"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Executive understands that the Executive is waiving the Executive’s rights or claims under the Age Discrimination in Employment Act in exchange for consideration to which the Executive is not otherwise entitled.</w:t>
      </w:r>
    </w:p>
    <w:p>
      <w:pPr>
        <w:spacing w:after="0" w:line="105" w:lineRule="exact"/>
        <w:rPr>
          <w:rFonts w:ascii="Arial" w:cs="Arial" w:eastAsia="Arial" w:hAnsi="Arial"/>
          <w:sz w:val="19"/>
          <w:szCs w:val="19"/>
          <w:color w:val="auto"/>
        </w:rPr>
      </w:pPr>
    </w:p>
    <w:p>
      <w:pPr>
        <w:jc w:val="both"/>
        <w:ind w:left="1220" w:hanging="320"/>
        <w:spacing w:after="0" w:line="242"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the Executive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385" w:lineRule="exact"/>
        <w:rPr>
          <w:sz w:val="20"/>
          <w:szCs w:val="20"/>
          <w:color w:val="auto"/>
        </w:rPr>
      </w:pPr>
    </w:p>
    <w:p>
      <w:pPr>
        <w:jc w:val="both"/>
        <w:ind w:left="1220" w:hanging="356"/>
        <w:spacing w:after="0" w:line="244"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Executive understands that nothing in this Release shall be construed to prohibit the Executive from filing a charge or complaint, including a challenge to 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ectPr>
          <w:pgSz w:w="11900" w:h="16838" w:orient="portrait"/>
          <w:cols w:equalWidth="0" w:num="1">
            <w:col w:w="11160"/>
          </w:cols>
          <w:pgMar w:left="400" w:top="1401"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 on this ___</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day of ______________________</w:t>
      </w:r>
    </w:p>
    <w:p>
      <w:pPr>
        <w:spacing w:after="0" w:line="56" w:lineRule="exact"/>
        <w:rPr>
          <w:sz w:val="20"/>
          <w:szCs w:val="20"/>
          <w:color w:val="auto"/>
        </w:rPr>
      </w:pPr>
    </w:p>
    <w:p>
      <w:pPr>
        <w:sectPr>
          <w:pgSz w:w="11900" w:h="16838" w:orient="portrait"/>
          <w:cols w:equalWidth="0" w:num="2">
            <w:col w:w="4460" w:space="720"/>
            <w:col w:w="5980"/>
          </w:cols>
          <w:pgMar w:left="400" w:top="1401" w:right="339" w:bottom="1440" w:gutter="0" w:footer="0" w:header="0"/>
          <w:type w:val="continuous"/>
        </w:sectPr>
      </w:pPr>
    </w:p>
    <w:p>
      <w:pPr>
        <w:ind w:left="4620"/>
        <w:spacing w:after="0"/>
        <w:rPr>
          <w:sz w:val="20"/>
          <w:szCs w:val="20"/>
          <w:color w:val="auto"/>
        </w:rPr>
      </w:pPr>
      <w:r>
        <w:rPr>
          <w:rFonts w:ascii="Arial" w:cs="Arial" w:eastAsia="Arial" w:hAnsi="Arial"/>
          <w:sz w:val="22"/>
          <w:szCs w:val="22"/>
          <w:b w:val="1"/>
          <w:bCs w:val="1"/>
          <w:color w:val="auto"/>
        </w:rPr>
        <w:t>EXECUTIVE</w:t>
      </w:r>
    </w:p>
    <w:p>
      <w:pPr>
        <w:spacing w:after="0" w:line="17"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By:_____________________________</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Name: Earl Carlton (Carl) Ford, IV</w:t>
      </w:r>
    </w:p>
    <w:p>
      <w:pPr>
        <w:sectPr>
          <w:pgSz w:w="11900" w:h="16838" w:orient="portrait"/>
          <w:cols w:equalWidth="0" w:num="1">
            <w:col w:w="11160"/>
          </w:cols>
          <w:pgMar w:left="400" w:top="1401"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848995</wp:posOffset>
            </wp:positionV>
            <wp:extent cx="2494280" cy="1028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Announces Promotion of Carl Ford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Executive Vice President and Chief Financial Officer</w:t>
      </w:r>
    </w:p>
    <w:p>
      <w:pPr>
        <w:spacing w:after="0" w:line="207" w:lineRule="exact"/>
        <w:rPr>
          <w:sz w:val="20"/>
          <w:szCs w:val="20"/>
          <w:color w:val="auto"/>
        </w:rPr>
      </w:pPr>
    </w:p>
    <w:p>
      <w:pPr>
        <w:ind w:right="120"/>
        <w:spacing w:after="0"/>
        <w:rPr>
          <w:sz w:val="20"/>
          <w:szCs w:val="20"/>
          <w:color w:val="auto"/>
        </w:rPr>
      </w:pPr>
      <w:r>
        <w:rPr>
          <w:rFonts w:ascii="Arial" w:cs="Arial" w:eastAsia="Arial" w:hAnsi="Arial"/>
          <w:sz w:val="22"/>
          <w:szCs w:val="22"/>
          <w:b w:val="1"/>
          <w:bCs w:val="1"/>
          <w:color w:val="auto"/>
        </w:rPr>
        <w:t xml:space="preserve">KATY, TEXAS (July, 11, 2023) </w:t>
      </w:r>
      <w:r>
        <w:rPr>
          <w:rFonts w:ascii="Arial" w:cs="Arial" w:eastAsia="Arial" w:hAnsi="Arial"/>
          <w:sz w:val="22"/>
          <w:szCs w:val="22"/>
          <w:color w:val="auto"/>
        </w:rPr>
        <w:t>– Academy Sports + Outdoors, Inc. (“Academy“ or the “Company”) (Nasdaq: ASO)</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that Carl Ford has been promoted to Executive Vice President and Chief Financial Officer effective July 12, 2023, succeeding Michael Mullican, who recently transitioned to President. In his new role, Mr. Ford will oversee Finance, Accounting, Tax, Treasury, Loss Prevention, Internal Audit, and Investor Relations.</w:t>
      </w:r>
    </w:p>
    <w:p>
      <w:pPr>
        <w:spacing w:after="0" w:line="213"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Mr. Ford has served as Academy’s Senior Vice President, Finance since January 2019. Prior to joining Academy, he served as Vice President of Financial Planning &amp; Analysis at Belk, Inc. where he spent 15 years. During his time at Belk, he also served as the Vice President of Internal Audit and held leadership roles in Accounting and Treasury. Mr. Ford also worked for Deloitte &amp; Touche in their audit practice. He holds a master’s degree in accounting from the University of Alabama, a bachelor’s degree in accounting from the University of Southern Mississippi, and he is an active Certified Public Accountant.</w:t>
      </w:r>
    </w:p>
    <w:p>
      <w:pPr>
        <w:ind w:right="240"/>
        <w:spacing w:after="0" w:line="231" w:lineRule="auto"/>
        <w:rPr>
          <w:sz w:val="20"/>
          <w:szCs w:val="20"/>
          <w:color w:val="auto"/>
        </w:rPr>
      </w:pPr>
      <w:r>
        <w:rPr>
          <w:rFonts w:ascii="Arial" w:cs="Arial" w:eastAsia="Arial" w:hAnsi="Arial"/>
          <w:sz w:val="22"/>
          <w:szCs w:val="22"/>
          <w:color w:val="auto"/>
        </w:rPr>
        <w:t>“I am thrilled to announce the promotion of Carl Ford to Chief Financial Officer,” says Michael Mullican Academy Sports + Outdoors President. “He has an incredible financial acumen and track record of driving positive results at Academy. He played an integral role in helping us navigate the pandemic, achieve our previous long-range plan, as well as supporting our IPO and the development of our new long-range plan. I’m confident Carl and his team will continue to be excellent stewards of our capital as they drive value for our shareholders.”</w:t>
      </w:r>
    </w:p>
    <w:p>
      <w:pPr>
        <w:spacing w:after="0" w:line="21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“I’m humbled and excited for the opportunity to lead our finance organization into the future,” said Mr. Ford. “Under Michael’s leadership, we developed a strong financial team, redefined business processes, and established Academy within the financial community. The Company has a strong balance sheet and solid cash flow to support our growth and create value for our shareholders. I look forward to partnering with Steve and Michael as we focus on long-term growth and profitability as we pursue our vision of becoming the best sports and outdoors retailer in the country.”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Academy Sports + Outdoors</w:t>
      </w:r>
    </w:p>
    <w:p>
      <w:pPr>
        <w:spacing w:after="0" w:line="1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Academy is a leading full-line sporting goods and outdoor recreation retailer in the United States. Originally founded in 1938 as a family business in Texas, Academy has grown to 270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6"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“expects,” “continues,” “will,” “should,” “future,” “forward,” or the negative version of these words or other comparable words. The forward-looking statements include, among other things, statements regarding Academy’s expectations regarding its future performance and are subject to various risks, uncertainties, assumptions, or changes in circumstances that are difficult to predict or quantify. Actual results may differ materially from these expectations. Important factors that could cause actual results to differ materially from those in the forward-looking statements are set forth in Academy’s filings with the SEC, including Academy’s most recently filed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Investor Contact</w:t>
            </w:r>
          </w:p>
        </w:tc>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Media Contact</w:t>
            </w:r>
          </w:p>
        </w:tc>
        <w:tc>
          <w:tcPr>
            <w:tcW w:w="1460" w:type="dxa"/>
            <w:vAlign w:val="bottom"/>
          </w:tcPr>
          <w:p>
            <w:pPr>
              <w:spacing w:after="0"/>
              <w:rPr>
                <w:sz w:val="24"/>
                <w:szCs w:val="24"/>
                <w:color w:val="auto"/>
              </w:rPr>
            </w:pPr>
          </w:p>
        </w:tc>
      </w:tr>
      <w:tr>
        <w:trPr>
          <w:trHeight w:val="348"/>
        </w:trPr>
        <w:tc>
          <w:tcPr>
            <w:tcW w:w="4620" w:type="dxa"/>
            <w:vAlign w:val="bottom"/>
            <w:gridSpan w:val="2"/>
          </w:tcPr>
          <w:p>
            <w:pPr>
              <w:spacing w:after="0"/>
              <w:rPr>
                <w:sz w:val="20"/>
                <w:szCs w:val="20"/>
                <w:color w:val="auto"/>
              </w:rPr>
            </w:pPr>
            <w:r>
              <w:rPr>
                <w:rFonts w:ascii="Arial" w:cs="Arial" w:eastAsia="Arial" w:hAnsi="Arial"/>
                <w:sz w:val="22"/>
                <w:szCs w:val="22"/>
                <w:color w:val="auto"/>
              </w:rPr>
              <w:t>Matt Hodges</w:t>
            </w:r>
          </w:p>
        </w:tc>
        <w:tc>
          <w:tcPr>
            <w:tcW w:w="2940" w:type="dxa"/>
            <w:vAlign w:val="bottom"/>
            <w:gridSpan w:val="2"/>
          </w:tcPr>
          <w:p>
            <w:pPr>
              <w:spacing w:after="0"/>
              <w:rPr>
                <w:sz w:val="20"/>
                <w:szCs w:val="20"/>
                <w:color w:val="auto"/>
              </w:rPr>
            </w:pPr>
            <w:r>
              <w:rPr>
                <w:rFonts w:ascii="Arial" w:cs="Arial" w:eastAsia="Arial" w:hAnsi="Arial"/>
                <w:sz w:val="22"/>
                <w:szCs w:val="22"/>
                <w:color w:val="auto"/>
              </w:rPr>
              <w:t>Elise Hasbrook</w:t>
            </w:r>
          </w:p>
        </w:tc>
      </w:tr>
      <w:tr>
        <w:trPr>
          <w:trHeight w:val="311"/>
        </w:trPr>
        <w:tc>
          <w:tcPr>
            <w:tcW w:w="4620" w:type="dxa"/>
            <w:vAlign w:val="bottom"/>
            <w:gridSpan w:val="2"/>
          </w:tcPr>
          <w:p>
            <w:pPr>
              <w:spacing w:after="0"/>
              <w:rPr>
                <w:sz w:val="20"/>
                <w:szCs w:val="20"/>
                <w:color w:val="auto"/>
              </w:rPr>
            </w:pPr>
            <w:r>
              <w:rPr>
                <w:rFonts w:ascii="Arial" w:cs="Arial" w:eastAsia="Arial" w:hAnsi="Arial"/>
                <w:sz w:val="22"/>
                <w:szCs w:val="22"/>
                <w:color w:val="auto"/>
              </w:rPr>
              <w:t>VP, Investor Relations</w:t>
            </w:r>
          </w:p>
        </w:tc>
        <w:tc>
          <w:tcPr>
            <w:tcW w:w="2940" w:type="dxa"/>
            <w:vAlign w:val="bottom"/>
            <w:gridSpan w:val="2"/>
          </w:tcPr>
          <w:p>
            <w:pPr>
              <w:spacing w:after="0"/>
              <w:rPr>
                <w:sz w:val="20"/>
                <w:szCs w:val="20"/>
                <w:color w:val="auto"/>
              </w:rPr>
            </w:pPr>
            <w:r>
              <w:rPr>
                <w:rFonts w:ascii="Arial" w:cs="Arial" w:eastAsia="Arial" w:hAnsi="Arial"/>
                <w:sz w:val="22"/>
                <w:szCs w:val="22"/>
                <w:color w:val="auto"/>
              </w:rPr>
              <w:t>VP, Communications</w:t>
            </w:r>
          </w:p>
        </w:tc>
      </w:tr>
      <w:tr>
        <w:trPr>
          <w:trHeight w:val="324"/>
        </w:trPr>
        <w:tc>
          <w:tcPr>
            <w:tcW w:w="1720" w:type="dxa"/>
            <w:vAlign w:val="bottom"/>
          </w:tcPr>
          <w:p>
            <w:pPr>
              <w:spacing w:after="0"/>
              <w:rPr>
                <w:sz w:val="20"/>
                <w:szCs w:val="20"/>
                <w:color w:val="auto"/>
              </w:rPr>
            </w:pPr>
            <w:r>
              <w:rPr>
                <w:rFonts w:ascii="Arial" w:cs="Arial" w:eastAsia="Arial" w:hAnsi="Arial"/>
                <w:sz w:val="22"/>
                <w:szCs w:val="22"/>
                <w:color w:val="auto"/>
              </w:rPr>
              <w:t>281-646-5362</w:t>
            </w:r>
          </w:p>
        </w:tc>
        <w:tc>
          <w:tcPr>
            <w:tcW w:w="29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22"/>
                <w:szCs w:val="22"/>
                <w:color w:val="auto"/>
              </w:rPr>
              <w:t>281-944-6041</w:t>
            </w:r>
          </w:p>
        </w:tc>
        <w:tc>
          <w:tcPr>
            <w:tcW w:w="1460" w:type="dxa"/>
            <w:vAlign w:val="bottom"/>
          </w:tcPr>
          <w:p>
            <w:pPr>
              <w:spacing w:after="0"/>
              <w:rPr>
                <w:sz w:val="24"/>
                <w:szCs w:val="24"/>
                <w:color w:val="auto"/>
              </w:rPr>
            </w:pPr>
          </w:p>
        </w:tc>
      </w:tr>
      <w:tr>
        <w:trPr>
          <w:trHeight w:val="310"/>
        </w:trPr>
        <w:tc>
          <w:tcPr>
            <w:tcW w:w="4620" w:type="dxa"/>
            <w:vAlign w:val="bottom"/>
            <w:gridSpan w:val="2"/>
          </w:tcPr>
          <w:p>
            <w:pPr>
              <w:spacing w:after="0"/>
              <w:rPr>
                <w:sz w:val="20"/>
                <w:szCs w:val="20"/>
                <w:color w:val="auto"/>
              </w:rPr>
            </w:pPr>
            <w:r>
              <w:rPr>
                <w:rFonts w:ascii="Arial" w:cs="Arial" w:eastAsia="Arial" w:hAnsi="Arial"/>
                <w:sz w:val="22"/>
                <w:szCs w:val="22"/>
                <w:color w:val="auto"/>
              </w:rPr>
              <w:t>matt.hodges@academy.com</w:t>
            </w:r>
          </w:p>
        </w:tc>
        <w:tc>
          <w:tcPr>
            <w:tcW w:w="2940" w:type="dxa"/>
            <w:vAlign w:val="bottom"/>
            <w:gridSpan w:val="2"/>
          </w:tcPr>
          <w:p>
            <w:pPr>
              <w:spacing w:after="0"/>
              <w:rPr>
                <w:sz w:val="20"/>
                <w:szCs w:val="20"/>
                <w:color w:val="auto"/>
              </w:rPr>
            </w:pPr>
            <w:r>
              <w:rPr>
                <w:rFonts w:ascii="Arial" w:cs="Arial" w:eastAsia="Arial" w:hAnsi="Arial"/>
                <w:sz w:val="22"/>
                <w:szCs w:val="22"/>
                <w:color w:val="auto"/>
                <w:w w:val="96"/>
              </w:rPr>
              <w:t>elise.hasbrook@academy.com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04"/>
    </w:lvl>
  </w:abstractNum>
  <w:abstractNum w:abstractNumId="2">
    <w:nsid w:val="519B500D"/>
    <w:multiLevelType w:val="hybridMultilevel"/>
    <w:lvl w:ilvl="0">
      <w:lvlJc w:val="left"/>
      <w:lvlText w:val="%1."/>
      <w:numFmt w:val="decimal"/>
      <w:start w:val="1"/>
    </w:lvl>
    <w:lvl w:ilvl="1">
      <w:lvlJc w:val="left"/>
      <w:lvlText w:val="(%2)"/>
      <w:numFmt w:val="lowerLetter"/>
      <w:start w:val="1"/>
    </w:lvl>
  </w:abstractNum>
  <w:abstractNum w:abstractNumId="3">
    <w:nsid w:val="431BD7B7"/>
    <w:multiLevelType w:val="hybridMultilevel"/>
    <w:lvl w:ilvl="0">
      <w:lvlJc w:val="left"/>
      <w:lvlText w:val="%1."/>
      <w:numFmt w:val="decimal"/>
      <w:start w:val="4"/>
    </w:lvl>
    <w:lvl w:ilvl="1">
      <w:lvlJc w:val="left"/>
      <w:lvlText w:val="(%2)"/>
      <w:numFmt w:val="lowerLetter"/>
      <w:start w:val="1"/>
    </w:lvl>
  </w:abstractNum>
  <w:abstractNum w:abstractNumId="4">
    <w:nsid w:val="3F2DBA31"/>
    <w:multiLevelType w:val="hybridMultilevel"/>
    <w:lvl w:ilvl="0">
      <w:lvlJc w:val="left"/>
      <w:lvlText w:val="(%1)"/>
      <w:numFmt w:val="lowerLetter"/>
      <w:start w:val="3"/>
    </w:lvl>
  </w:abstractNum>
  <w:abstractNum w:abstractNumId="5">
    <w:nsid w:val="7C83E45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
    <w:nsid w:val="257130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decimal"/>
      <w:start w:val="1"/>
    </w:lvl>
    <w:lvl w:ilvl="1">
      <w:lvlJc w:val="left"/>
      <w:lvlText w:val="(%2)"/>
      <w:numFmt w:val="lowerLetter"/>
      <w:start w:val="5"/>
    </w:lvl>
  </w:abstractNum>
  <w:abstractNum w:abstractNumId="9">
    <w:nsid w:val="628C895D"/>
    <w:multiLevelType w:val="hybridMultilevel"/>
    <w:lvl w:ilvl="0">
      <w:lvlJc w:val="left"/>
      <w:lvlText w:val="%1."/>
      <w:numFmt w:val="decimal"/>
      <w:start w:val="6"/>
    </w:lvl>
    <w:lvl w:ilvl="1">
      <w:lvlJc w:val="left"/>
      <w:lvlText w:val="(%2)"/>
      <w:numFmt w:val="lowerLetter"/>
      <w:start w:val="1"/>
    </w:lvl>
  </w:abstractNum>
  <w:abstractNum w:abstractNumId="10">
    <w:nsid w:val="333AB10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
    <w:nsid w:val="2443A85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
    <w:nsid w:val="2D1D5A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
    <w:nsid w:val="6763845E"/>
    <w:multiLevelType w:val="hybridMultilevel"/>
    <w:lvl w:ilvl="0">
      <w:lvlJc w:val="left"/>
      <w:lvlText w:val="(%1)"/>
      <w:numFmt w:val="lowerRoman"/>
      <w:start w:val="1"/>
    </w:lvl>
  </w:abstractNum>
  <w:abstractNum w:abstractNumId="15">
    <w:nsid w:val="75A2A8D4"/>
    <w:multiLevelType w:val="hybridMultilevel"/>
    <w:lvl w:ilvl="0">
      <w:lvlJc w:val="left"/>
      <w:lvlText w:val="%1"/>
      <w:numFmt w:val="decimal"/>
      <w:start w:val="1"/>
    </w:lvl>
    <w:lvl w:ilvl="1">
      <w:lvlJc w:val="left"/>
      <w:lvlText w:val="(%2)"/>
      <w:numFmt w:val="lowerLetter"/>
      <w:start w:val="2"/>
    </w:lvl>
  </w:abstractNum>
  <w:abstractNum w:abstractNumId="16">
    <w:nsid w:val="8EDBDAB"/>
    <w:multiLevelType w:val="hybridMultilevel"/>
    <w:lvl w:ilvl="0">
      <w:lvlJc w:val="left"/>
      <w:lvlText w:val="%1)"/>
      <w:numFmt w:val="decimal"/>
      <w:start w:val="101"/>
    </w:lvl>
    <w:lvl w:ilvl="1">
      <w:lvlJc w:val="left"/>
      <w:lvlText w:val="%2"/>
      <w:numFmt w:val="lowerLetter"/>
      <w:start w:val="1"/>
    </w:lvl>
  </w:abstractNum>
  <w:abstractNum w:abstractNumId="17">
    <w:nsid w:val="79838CB2"/>
    <w:multiLevelType w:val="hybridMultilevel"/>
    <w:lvl w:ilvl="0">
      <w:lvlJc w:val="left"/>
      <w:lvlText w:val="(%1)"/>
      <w:numFmt w:val="lowerLetter"/>
      <w:start w:val="3"/>
    </w:lvl>
    <w:lvl w:ilvl="1">
      <w:lvlJc w:val="left"/>
      <w:lvlText w:val="(%2)"/>
      <w:numFmt w:val="lowerRoman"/>
      <w:start w:val="1"/>
    </w:lvl>
  </w:abstractNum>
  <w:abstractNum w:abstractNumId="18">
    <w:nsid w:val="4353D0CD"/>
    <w:multiLevelType w:val="hybridMultilevel"/>
    <w:lvl w:ilvl="0">
      <w:lvlJc w:val="left"/>
      <w:lvlText w:val="(%1)"/>
      <w:numFmt w:val="lowerRoman"/>
      <w:start w:val="3"/>
    </w:lvl>
  </w:abstractNum>
  <w:abstractNum w:abstractNumId="19">
    <w:nsid w:val="B03E0C6"/>
    <w:multiLevelType w:val="hybridMultilevel"/>
    <w:lvl w:ilvl="0">
      <w:lvlJc w:val="left"/>
      <w:lvlText w:val="%1"/>
      <w:numFmt w:val="decimal"/>
      <w:start w:val="1"/>
    </w:lvl>
    <w:lvl w:ilvl="1">
      <w:lvlJc w:val="left"/>
      <w:lvlText w:val="(%2)"/>
      <w:numFmt w:val="lowerLetter"/>
      <w:start w:val="6"/>
    </w:lvl>
  </w:abstractNum>
  <w:abstractNum w:abstractNumId="20">
    <w:nsid w:val="189A769B"/>
    <w:multiLevelType w:val="hybridMultilevel"/>
    <w:lvl w:ilvl="0">
      <w:lvlJc w:val="left"/>
      <w:lvlText w:val="%1."/>
      <w:numFmt w:val="decimal"/>
      <w:start w:val="9"/>
    </w:lvl>
    <w:lvl w:ilvl="1">
      <w:lvlJc w:val="left"/>
      <w:lvlText w:val="(%2)"/>
      <w:numFmt w:val="lowerLetter"/>
      <w:start w:val="1"/>
    </w:lvl>
  </w:abstractNum>
  <w:abstractNum w:abstractNumId="21">
    <w:nsid w:val="54E49EB4"/>
    <w:multiLevelType w:val="hybridMultilevel"/>
    <w:lvl w:ilvl="0">
      <w:lvlJc w:val="left"/>
      <w:lvlText w:val="%1"/>
      <w:numFmt w:val="decimal"/>
      <w:start w:val="1"/>
    </w:lvl>
    <w:lvl w:ilvl="1">
      <w:lvlJc w:val="left"/>
      <w:lvlText w:val="(%2)"/>
      <w:numFmt w:val="lowerLetter"/>
      <w:start w:val="3"/>
    </w:lvl>
  </w:abstractNum>
  <w:abstractNum w:abstractNumId="22">
    <w:nsid w:val="71F32454"/>
    <w:multiLevelType w:val="hybridMultilevel"/>
    <w:lvl w:ilvl="0">
      <w:lvlJc w:val="left"/>
      <w:lvlText w:val="%1."/>
      <w:numFmt w:val="decimal"/>
      <w:start w:val="10"/>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lowerLetter"/>
      <w:start w:val="2"/>
    </w:lvl>
  </w:abstractNum>
  <w:abstractNum w:abstractNumId="24">
    <w:nsid w:val="836C40E"/>
    <w:multiLevelType w:val="hybridMultilevel"/>
    <w:lvl w:ilvl="0">
      <w:lvlJc w:val="left"/>
      <w:lvlText w:val="%1."/>
      <w:numFmt w:val="decimal"/>
      <w:start w:val="11"/>
    </w:lvl>
    <w:lvl w:ilvl="1">
      <w:lvlJc w:val="left"/>
      <w:lvlText w:val="%2"/>
      <w:numFmt w:val="lowerLetter"/>
      <w:start w:val="1"/>
    </w:lvl>
  </w:abstractNum>
  <w:abstractNum w:abstractNumId="25">
    <w:nsid w:val="2901D82"/>
    <w:multiLevelType w:val="hybridMultilevel"/>
    <w:lvl w:ilvl="0">
      <w:lvlJc w:val="left"/>
      <w:lvlText w:val="%1."/>
      <w:numFmt w:val="decimal"/>
      <w:start w:val="12"/>
    </w:lvl>
  </w:abstractNum>
  <w:abstractNum w:abstractNumId="26">
    <w:nsid w:val="3A95F874"/>
    <w:multiLevelType w:val="hybridMultilevel"/>
    <w:lvl w:ilvl="0">
      <w:lvlJc w:val="left"/>
      <w:lvlText w:val="%1."/>
      <w:numFmt w:val="decimal"/>
      <w:start w:val="13"/>
    </w:lvl>
    <w:lvl w:ilvl="1">
      <w:lvlJc w:val="left"/>
      <w:lvlText w:val="(%2)"/>
      <w:numFmt w:val="lowerLetter"/>
      <w:start w:val="1"/>
    </w:lvl>
  </w:abstractNum>
  <w:abstractNum w:abstractNumId="27">
    <w:nsid w:val="8138641"/>
    <w:multiLevelType w:val="hybridMultilevel"/>
    <w:lvl w:ilvl="0">
      <w:lvlJc w:val="left"/>
      <w:lvlText w:val="%1."/>
      <w:numFmt w:val="decimal"/>
      <w:start w:val="18"/>
    </w:lvl>
  </w:abstractNum>
  <w:abstractNum w:abstractNumId="28">
    <w:nsid w:val="1E7FF521"/>
    <w:multiLevelType w:val="hybridMultilevel"/>
    <w:lvl w:ilvl="0">
      <w:lvlJc w:val="left"/>
      <w:lvlText w:val="(%1)"/>
      <w:numFmt w:val="lowerRoman"/>
      <w:start w:val="7"/>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6"/>
    </w:lvl>
  </w:abstractNum>
  <w:abstractNum w:abstractNumId="31">
    <w:nsid w:val="6CEAF08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2023-07-11T08:06:53Z</dcterms:created>
  <dcterms:modified xsi:type="dcterms:W3CDTF">2023-07-11T08:06:53Z</dcterms:modified>
</cp:coreProperties>
</file>