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Beck Wendy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3,741</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3,741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3,741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39" w:lineRule="exact"/>
              <w:rPr>
                <w:sz w:val="20"/>
                <w:szCs w:val="20"/>
                <w:color w:val="auto"/>
              </w:rPr>
            </w:pPr>
            <w:r>
              <w:rPr>
                <w:rFonts w:ascii="Arial" w:cs="Arial" w:eastAsia="Arial" w:hAnsi="Arial"/>
                <w:sz w:val="13"/>
                <w:szCs w:val="13"/>
                <w:color w:val="0000FF"/>
              </w:rPr>
              <w:t>3,741</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December 9, 2021, the Reporting Person was granted 3,741 time-based restricted stock units that vest 100%, subject to the Reporting Person's continued services with the Issuer, on the vesting date,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2021-06-02T08:27:26Z</dcterms:created>
  <dcterms:modified xsi:type="dcterms:W3CDTF">2021-06-02T08:27:26Z</dcterms:modified>
</cp:coreProperties>
</file>