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6822292.xml.htm"/>
      <w:bookmarkStart w:id="1" w:name="kswkform4_17068222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McCabe Matthew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CMO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01/30/2024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65.51</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01/31/2024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7,295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01/31/2024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64.955</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01/30/2024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under the Company's 2020 Omnibus Incentive Plan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30, 2022, the Reporting Person was granted 2,125 performance-based restricted stock units ("RSUs"). These RSUs vest if certain performance criteria and/or Issuer stock price conditions are met and certified by the Issuer's compensation committee. On March 1, 2023, the Issuer's compensation committee certified achievement of 93.7% of the performance criteria during fiscal 2022 meaning that 1,990 RSUs were deemed earned. Of this earned amount, 25% of the earned amount of this grant vested on March 1, 2023, and the remaining 75% will vest in three equal annual installments beginning on January 30, 2024, subject to the Reporting Person's continued service with the Issuer through each applicable vesting date. The remaining unearned amount of this grant (i.e., 135 RSUs) may vest upon certification by the Issuer's compensation committee of achievement of certain Issuer stock price conditions as of January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31, 2021, the Reporting Person was granted 2,445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vest in three equal annual installments beginning on January 31, 2023, subject to the Reporting Person's continued service with the Issuer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82441" TargetMode="External"/><Relationship Id="rId4" Type="http://schemas.openxmlformats.org/officeDocument/2006/relationships/hyperlink" Target="http://www.sec.gov/cgi-bin/browse-edgar?action=getcompany&amp;CIK=00018173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885</Words>
  <Characters>4811</Characters>
  <CharactersWithSpaces>5589</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