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602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0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648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McCabe Matthew M.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6" w:right="359" w:bottom="6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-2569845</wp:posOffset>
            </wp:positionV>
            <wp:extent cx="28575" cy="2575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7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one share of Issuer common stock, par value $0.01 per share ("Common Stock")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67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March 20, 2026, the Reporting Person was granted 17,314 performance-based restricted stock units ("PRSUs"). These PRSUs vest if certain preestablished performance metrics related to the Company's (i) adjusted pre-tax income, (ii) return on invested capital, and (iii) adjusted free cash flow over a 3-year period beginning on February 1, 2026 and ending on February 3, 2029,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20, 2026, subject to the Reporting Person's continued service, the Reporting Person was granted 17,314 time-based restricted stock units that vest in three equal installments beginning on the first anniversary of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3,865 time-based restricted stock units that vest in three equal installments beginning on the first anniversary of the grant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44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2026-03-23T17:16:52Z</dcterms:created>
  <dcterms:modified xsi:type="dcterms:W3CDTF">2026-03-23T17:16:52Z</dcterms:modified>
</cp:coreProperties>
</file>