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2"/>
        <w:gridCol w:w="709"/>
        <w:gridCol w:w="709"/>
        <w:gridCol w:w="764"/>
        <w:gridCol w:w="764"/>
        <w:gridCol w:w="725"/>
        <w:gridCol w:w="764"/>
        <w:gridCol w:w="764"/>
        <w:gridCol w:w="586"/>
        <w:gridCol w:w="764"/>
        <w:gridCol w:w="579"/>
        <w:gridCol w:w="557"/>
        <w:gridCol w:w="502"/>
        <w:gridCol w:w="502"/>
        <w:gridCol w:w="714"/>
      </w:tblGrid>
      <w:tr>
        <w:trPr/>
        <w:tc>
          <w:tcPr>
            <w:tcW w:w="80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CURRENT REPORT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March 7, 2024</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0"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1143000"/>
                          </a:xfrm>
                          <a:prstGeom prst="rect">
                            <a:avLst/>
                          </a:prstGeom>
                        </pic:spPr>
                      </pic:pic>
                    </a:graphicData>
                  </a:graphic>
                </wp:inline>
              </w:drawing>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188" w:after="283"/>
              <w:jc w:val="center"/>
              <w:rPr>
                <w:rFonts w:ascii="Times New Roman;sans-serif" w:hAnsi="Times New Roman;sans-serif"/>
                <w:b/>
                <w:color w:val="000000"/>
                <w:sz w:val="36"/>
              </w:rPr>
            </w:pPr>
            <w:r>
              <w:rPr>
                <w:rFonts w:ascii="Times New Roman;sans-serif" w:hAnsi="Times New Roman;sans-serif"/>
                <w:b/>
                <w:color w:val="000000"/>
                <w:sz w:val="36"/>
              </w:rPr>
              <w:t>Academy Sports and Outdoors,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color w:val="000000"/>
                <w:sz w:val="16"/>
              </w:rPr>
              <w:t>Delaware</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001-39589</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color w:val="000000"/>
                <w:sz w:val="16"/>
              </w:rPr>
              <w:t>85-1800912</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2114"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r>
          </w:p>
        </w:tc>
        <w:tc>
          <w:tcPr>
            <w:tcW w:w="3618"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w:t>
            </w:r>
          </w:p>
        </w:tc>
        <w:tc>
          <w:tcPr>
            <w:tcW w:w="2114" w:type="dxa"/>
            <w:gridSpan w:val="3"/>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File No.)</w:t>
            </w:r>
          </w:p>
        </w:tc>
        <w:tc>
          <w:tcPr>
            <w:tcW w:w="3618"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1800 North Mason Road</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Katy, Texas 77449</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val="false"/>
                <w:i/>
                <w:color w:val="000000"/>
                <w:sz w:val="18"/>
              </w:rPr>
              <w:t>(Address of principal executive offices including Zip Code)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(281) 646-5200</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61"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129"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(Former name or former address, if changed since last report)</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ind w:left="0" w:right="0" w:hanging="2"/>
              <w:jc w:val="left"/>
              <w:rPr>
                <w:color w:val="000000"/>
              </w:rPr>
            </w:pPr>
            <w:r>
              <w:rPr>
                <w:color w:val="000000"/>
              </w:rPr>
              <w:t xml:space="preserve">☐ </w:t>
            </w:r>
            <w:r>
              <w:rPr>
                <w:rFonts w:ascii="Times New Roman;sans-serif" w:hAnsi="Times New Roman;sans-serif"/>
                <w:b w:val="false"/>
                <w:color w:val="000000"/>
                <w:sz w:val="18"/>
              </w:rPr>
              <w:t>Written communications pursuant to Rule 425 under the Securities Act (17 CFR 230.425)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Soliciting material pursuant to Rule 14a-12 under the Exchange Act (17 CFR 240.14a-12)</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Pre-commencement communications pursuant to Rule 14d-2(b) under the Exchange Act (17 CFR 240.14d-2(b))</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Pre-commencement communications pursuant to Rule 13e-4(c) under the Exchange Act (17 CFR 240.13e-4(c))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 per share</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ASO</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222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both"/>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Quarterly Cash Dividend</w:t>
      </w:r>
    </w:p>
    <w:p>
      <w:pPr>
        <w:pStyle w:val="TextBody"/>
        <w:bidi w:val="0"/>
        <w:spacing w:before="0" w:after="0"/>
        <w:ind w:left="0" w:right="0" w:firstLine="44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2024, the Company issued a press release announcing that the Company’s Board approved the declaration of a cash dividend with respect to the quarter ended February 3, 2024 of $0.11 per share of outstanding common stock of the Company, payable on April 18, 2024, to stockholders of record as of the close of business on March 26, 2024. </w:t>
      </w:r>
    </w:p>
    <w:p>
      <w:pPr>
        <w:pStyle w:val="TextBody"/>
        <w:bidi w:val="0"/>
        <w:spacing w:before="0" w:after="0"/>
        <w:ind w:left="0" w:right="0" w:firstLine="446"/>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copy of the press release is attached hereto as Exhibit 99.1 and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 Exhibits. </w:t>
      </w:r>
    </w:p>
    <w:tbl>
      <w:tblPr>
        <w:tblW w:w="8875" w:type="dxa"/>
        <w:jc w:val="left"/>
        <w:tblInd w:w="0" w:type="dxa"/>
        <w:tblLayout w:type="fixed"/>
        <w:tblCellMar>
          <w:top w:w="28" w:type="dxa"/>
          <w:left w:w="28" w:type="dxa"/>
          <w:bottom w:w="28" w:type="dxa"/>
          <w:right w:w="28" w:type="dxa"/>
        </w:tblCellMar>
      </w:tblPr>
      <w:tblGrid>
        <w:gridCol w:w="134"/>
        <w:gridCol w:w="118"/>
        <w:gridCol w:w="118"/>
        <w:gridCol w:w="175"/>
        <w:gridCol w:w="175"/>
        <w:gridCol w:w="176"/>
        <w:gridCol w:w="118"/>
        <w:gridCol w:w="118"/>
        <w:gridCol w:w="118"/>
        <w:gridCol w:w="109"/>
        <w:gridCol w:w="109"/>
        <w:gridCol w:w="109"/>
        <w:gridCol w:w="109"/>
        <w:gridCol w:w="109"/>
        <w:gridCol w:w="109"/>
        <w:gridCol w:w="109"/>
        <w:gridCol w:w="109"/>
        <w:gridCol w:w="109"/>
        <w:gridCol w:w="702"/>
        <w:gridCol w:w="702"/>
        <w:gridCol w:w="702"/>
        <w:gridCol w:w="702"/>
        <w:gridCol w:w="702"/>
        <w:gridCol w:w="702"/>
        <w:gridCol w:w="702"/>
        <w:gridCol w:w="702"/>
        <w:gridCol w:w="1028"/>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ex991toformpressrelease032.htm">
              <w:r>
                <w:rPr>
                  <w:rStyle w:val="InternetLink"/>
                  <w:rFonts w:ascii="Times New Roman;sans-serif" w:hAnsi="Times New Roman;sans-serif"/>
                  <w:b w:val="false"/>
                  <w:color w:val="0000FF"/>
                  <w:sz w:val="22"/>
                  <w:u w:val="single"/>
                </w:rPr>
                <w:t>99.1</w:t>
              </w:r>
            </w:hyperlink>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dated March 7, 2024.</w:t>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3885" w:type="dxa"/>
        <w:jc w:val="right"/>
        <w:tblInd w:w="0" w:type="dxa"/>
        <w:tblLayout w:type="fixed"/>
        <w:tblCellMar>
          <w:top w:w="28" w:type="dxa"/>
          <w:left w:w="28" w:type="dxa"/>
          <w:bottom w:w="28" w:type="dxa"/>
          <w:right w:w="28" w:type="dxa"/>
        </w:tblCellMar>
      </w:tblPr>
      <w:tblGrid>
        <w:gridCol w:w="1244"/>
        <w:gridCol w:w="1091"/>
        <w:gridCol w:w="1550"/>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ACADEMY SPORTS AND OUTDOORS, INC.</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207" w:type="dxa"/>
        <w:jc w:val="right"/>
        <w:tblInd w:w="0" w:type="dxa"/>
        <w:tblLayout w:type="fixed"/>
        <w:tblCellMar>
          <w:top w:w="28" w:type="dxa"/>
          <w:left w:w="28" w:type="dxa"/>
          <w:bottom w:w="28" w:type="dxa"/>
          <w:right w:w="28" w:type="dxa"/>
        </w:tblCellMar>
      </w:tblPr>
      <w:tblGrid>
        <w:gridCol w:w="645"/>
        <w:gridCol w:w="568"/>
        <w:gridCol w:w="571"/>
        <w:gridCol w:w="109"/>
        <w:gridCol w:w="109"/>
        <w:gridCol w:w="109"/>
        <w:gridCol w:w="208"/>
        <w:gridCol w:w="208"/>
        <w:gridCol w:w="213"/>
        <w:gridCol w:w="273"/>
        <w:gridCol w:w="273"/>
        <w:gridCol w:w="273"/>
        <w:gridCol w:w="1066"/>
        <w:gridCol w:w="1066"/>
        <w:gridCol w:w="151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6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 G. Casares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 G. Casares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6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648" w:type="dxa"/>
            <w:gridSpan w:val="3"/>
            <w:tcBorders/>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648"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6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80"/>
        <w:jc w:val="center"/>
        <w:rPr/>
      </w:pPr>
      <w:r>
        <w:rPr/>
        <w:drawing>
          <wp:inline distT="0" distB="0" distL="0" distR="0">
            <wp:extent cx="2209800" cy="914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209800" cy="914400"/>
                    </a:xfrm>
                    <a:prstGeom prst="rect">
                      <a:avLst/>
                    </a:prstGeom>
                  </pic:spPr>
                </pic:pic>
              </a:graphicData>
            </a:graphic>
          </wp:inline>
        </w:drawing>
      </w:r>
    </w:p>
    <w:p>
      <w:pPr>
        <w:pStyle w:val="TextBody"/>
        <w:bidi w:val="0"/>
        <w:spacing w:lineRule="auto" w:line="333" w:before="0" w:after="60"/>
        <w:jc w:val="center"/>
        <w:rPr>
          <w:rFonts w:ascii="Times New Roman;sans-serif" w:hAnsi="Times New Roman;sans-serif"/>
          <w:b/>
          <w:i/>
          <w:color w:val="000000"/>
          <w:sz w:val="28"/>
        </w:rPr>
      </w:pPr>
      <w:r>
        <w:rPr>
          <w:rFonts w:ascii="Times New Roman;sans-serif" w:hAnsi="Times New Roman;sans-serif"/>
          <w:b/>
          <w:i/>
          <w:color w:val="000000"/>
          <w:sz w:val="28"/>
        </w:rPr>
        <w:t xml:space="preserve">Academy Sports + Outdoors Increases Quarterly Cash Dividend </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KATY, Texas, March 7, 2024/PRNewswire -- Academy Sports and Outdoors, Inc. (the “Company” or “Academy”) (Nasdaq: ASO) announced today that its Board of Directors declared a quarterly cash dividend with respect to the fiscal quarter ended February 3, 2024 of $0.11 per share of the Company's common stock, a 22% increase from the previous quarterly dividend payment. The dividend is payable on April 18, 2024, to stockholders of record as of the close of business on March 26, 2024.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Academy Sports + Outdoors</w:t>
      </w:r>
    </w:p>
    <w:p>
      <w:pPr>
        <w:pStyle w:val="TextBody"/>
        <w:bidi w:val="0"/>
        <w:spacing w:lineRule="auto" w:line="288" w:before="0" w:after="0"/>
        <w:jc w:val="both"/>
        <w:rPr/>
      </w:pPr>
      <w:r>
        <w:rPr>
          <w:rFonts w:ascii="Arial;sans-serif" w:hAnsi="Arial;sans-serif"/>
          <w:b w:val="false"/>
          <w:color w:val="000000"/>
          <w:sz w:val="22"/>
          <w:shd w:fill="FFFFFF" w:val="clear"/>
        </w:rPr>
        <w:t xml:space="preserve">Academy is a leading full-line sporting goods and outdoor recreation retailer in the United States. Originally founded in 1938 as a family business in Texas, Academy has grown to 282 stores across 18 states. Academy’s mission is to provide “Fun for All” and Academy fulfills this mission with a localized </w:t>
      </w:r>
      <w:r>
        <w:rPr>
          <w:rFonts w:ascii="Arial;sans-serif" w:hAnsi="Arial;sans-serif"/>
          <w:b w:val="false"/>
          <w:color w:val="000000"/>
          <w:sz w:val="22"/>
        </w:rPr>
        <w:t>merchandising</w:t>
      </w:r>
      <w:r>
        <w:rPr>
          <w:color w:val="000000"/>
          <w:shd w:fill="FFFFFF" w:val="clear"/>
        </w:rPr>
        <w:t xml:space="preserve"> </w:t>
      </w:r>
      <w:r>
        <w:rPr>
          <w:rFonts w:ascii="Arial;sans-serif" w:hAnsi="Arial;sans-serif"/>
          <w:b w:val="false"/>
          <w:color w:val="000000"/>
          <w:sz w:val="22"/>
          <w:shd w:fill="FFFFFF" w:val="clear"/>
        </w:rPr>
        <w:t>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Forward Looking Statements</w:t>
      </w:r>
      <w:r>
        <w:rPr>
          <w:color w:val="000000"/>
        </w:rPr>
        <w:t xml:space="preserve">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The forward-looking statements include, among other things, statements regarding the payment of the dividend, including the timing and amount thereof,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factors that are set forth in Academy's filings with the U.S. Securities and Exchange Commission. Any forward-looking statement in this press release speaks only as of the date of this release. Academy undertakes no obligation to publicly update or review any forward-looking statement, except as may be required by any applicable securities laws.</w:t>
      </w:r>
    </w:p>
    <w:p>
      <w:pPr>
        <w:pStyle w:val="TextBody"/>
        <w:bidi w:val="0"/>
        <w:spacing w:before="0" w:after="0"/>
        <w:jc w:val="left"/>
        <w:rPr/>
      </w:pPr>
      <w:r>
        <w:rPr/>
      </w:r>
    </w:p>
    <w:tbl>
      <w:tblPr>
        <w:tblW w:w="6434" w:type="dxa"/>
        <w:jc w:val="left"/>
        <w:tblInd w:w="0" w:type="dxa"/>
        <w:tblLayout w:type="fixed"/>
        <w:tblCellMar>
          <w:top w:w="28" w:type="dxa"/>
          <w:left w:w="28" w:type="dxa"/>
          <w:bottom w:w="28" w:type="dxa"/>
          <w:right w:w="28" w:type="dxa"/>
        </w:tblCellMar>
      </w:tblPr>
      <w:tblGrid>
        <w:gridCol w:w="1166"/>
        <w:gridCol w:w="878"/>
        <w:gridCol w:w="882"/>
        <w:gridCol w:w="109"/>
        <w:gridCol w:w="109"/>
        <w:gridCol w:w="109"/>
        <w:gridCol w:w="1202"/>
        <w:gridCol w:w="816"/>
        <w:gridCol w:w="1163"/>
      </w:tblGrid>
      <w:tr>
        <w:trPr/>
        <w:tc>
          <w:tcPr>
            <w:tcW w:w="116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color w:val="000000"/>
                <w:sz w:val="22"/>
                <w:u w:val="single"/>
              </w:rPr>
            </w:pPr>
            <w:r>
              <w:rPr>
                <w:rFonts w:ascii="Arial;sans-serif" w:hAnsi="Arial;sans-serif"/>
                <w:b/>
                <w:color w:val="000000"/>
                <w:sz w:val="22"/>
                <w:u w:val="single"/>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u w:val="single"/>
              </w:rPr>
            </w:pPr>
            <w:r>
              <w:rPr>
                <w:rFonts w:ascii="Arial;sans-serif" w:hAnsi="Arial;sans-serif"/>
                <w:b/>
                <w:color w:val="000000"/>
                <w:sz w:val="22"/>
                <w:u w:val="single"/>
              </w:rPr>
              <w:t>Media Contact</w:t>
            </w:r>
          </w:p>
        </w:tc>
      </w:tr>
      <w:tr>
        <w:trPr/>
        <w:tc>
          <w:tcPr>
            <w:tcW w:w="29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Matt Hodges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Elise Hasbrook</w:t>
            </w:r>
          </w:p>
        </w:tc>
      </w:tr>
      <w:tr>
        <w:trPr/>
        <w:tc>
          <w:tcPr>
            <w:tcW w:w="29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VP, 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VP, Communications</w:t>
            </w:r>
          </w:p>
        </w:tc>
      </w:tr>
      <w:tr>
        <w:trPr/>
        <w:tc>
          <w:tcPr>
            <w:tcW w:w="29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281-646-5362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281-944-6041</w:t>
            </w:r>
          </w:p>
        </w:tc>
      </w:tr>
      <w:tr>
        <w:trPr/>
        <w:tc>
          <w:tcPr>
            <w:tcW w:w="29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matt.hodges@academy.com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elise.hasbrook@academy.com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98145"/>
                <wp:effectExtent l="0" t="0" r="0" b="0"/>
                <wp:wrapNone/>
                <wp:docPr id="7" name="Frame5"/>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861</Words>
  <Characters>4794</Characters>
  <CharactersWithSpaces>5595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