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9"/>
        <w:gridCol w:w="709"/>
        <w:gridCol w:w="764"/>
        <w:gridCol w:w="764"/>
        <w:gridCol w:w="725"/>
        <w:gridCol w:w="764"/>
        <w:gridCol w:w="764"/>
        <w:gridCol w:w="586"/>
        <w:gridCol w:w="764"/>
        <w:gridCol w:w="579"/>
        <w:gridCol w:w="557"/>
        <w:gridCol w:w="502"/>
        <w:gridCol w:w="502"/>
        <w:gridCol w:w="714"/>
      </w:tblGrid>
      <w:tr>
        <w:trPr/>
        <w:tc>
          <w:tcPr>
            <w:tcW w:w="8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June 5, 2025</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143000"/>
                          </a:xfrm>
                          <a:prstGeom prst="rect">
                            <a:avLst/>
                          </a:prstGeom>
                        </pic:spPr>
                      </pic:pic>
                    </a:graphicData>
                  </a:graphic>
                </wp:inline>
              </w:drawing>
            </w:r>
            <w:bookmarkStart w:id="0" w:name="i-1"/>
            <w:bookmarkEnd w:id="0"/>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Delaware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001-39589</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85-1800912</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211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r>
          </w:p>
        </w:tc>
        <w:tc>
          <w:tcPr>
            <w:tcW w:w="3618"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w:t>
            </w:r>
          </w:p>
        </w:tc>
        <w:tc>
          <w:tcPr>
            <w:tcW w:w="2114"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File No.)</w:t>
            </w:r>
          </w:p>
        </w:tc>
        <w:tc>
          <w:tcPr>
            <w:tcW w:w="3618"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val="false"/>
                <w:i/>
                <w:color w:val="000000"/>
                <w:sz w:val="18"/>
              </w:rPr>
              <w:t>(Address of principal executive offices including Zip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or former address, if changed since last report)</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ASO</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color w:val="000000"/>
          <w:sz w:val="20"/>
        </w:rPr>
      </w:pPr>
      <w:r>
        <w:rPr>
          <w:rFonts w:ascii="Times New Roman;sans-serif" w:hAnsi="Times New Roman;sans-serif"/>
          <w:b/>
          <w:color w:val="000000"/>
          <w:sz w:val="20"/>
        </w:rPr>
        <w:t>Item 3.03.    Material Modification to Rights of Security 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5.03 below is incorporated by reference in this Item 3.03.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5.03.    Amendments to Articles of Incorporation or Bylaws; Change in Fiscal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5, 2025, as described below, upon the recommendation of the Board of Directors (the “Board”) of Academy Sports and Outdoors, Inc. (the “Company”), the Company’s stockholders approved amendments to the Company’s Amended and Restated Certificate of Incorporation to (i) remove the supermajority voting requirements for stockholders to amend the Company’s Amended and Restated Bylaws and certain provisions of the Company’s Amended and Restated Certificate of Incorporation (the “Supermajority Voting Amendment”), (ii) declassify the Board and phase-in annual director elections starting with the Company’s 2026 Annual Meeting of Stockholders (the “Board Declassification Amendment”), and (iii) add a provision exculpating certain officers of the Company from liability in specific circumstances, as permitted by Delaware law (the “Officer Exculpation Amendment,” and, collectively with the Supermajority Voting Amendment and the Board Declassification Amendment, the “Amendments”). The details of the Amendments were disclosed in the Company’s definitive proxy statement for its 2025 Annual Meeting of Stockholders (the “Annual Meeting”), filed with the Securities and Exchange Commission on April 21, 2025, which description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the Company filed a Certificate of Amendment to the Certificate of Incorporation with the Secretary of State of the State of Delaware on June 5, 2025, which became effective upon filing. The Company subsequently filed a restated certificate of incorporation (the “Restated Certificate”) that integrated the Amended and Restated Certificate of Incorporation and the Amendments.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descriptions of the Amendments and the Amended and Restated Certificate of Incorporation are qualified in their entirety by reference to the full text of the Certificate of Amendment and the Restated Certificate, respectively, copies of which are filed as Exhibit 3.1 and Exhibit 3.2, respectively, to this Current Report on Form 8-K and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June 5, 2025, the Company held its 2025 Annual Meeting. At the Annual Meeting, the Company’s stockholders (i) elected three Class II directors, whose names appear below, to serve for a term of three years expiring at the Company’s 2028 Annual Meeting of Stockholders and until their successors shall be elected and qualified (the “Election of Class II Directors”), (ii) ratified the appointment of Deloitte &amp; Touche LLP as the Company’s Independent Registered Public Accounting Firm for the fiscal year ending January 31, 2026 (“Auditor Ratification”), (iii) approved, on a non-binding advisory basis, the fiscal year 2024 compensation paid to the Company’s named executive officers (“Say-on-Pay”), (iv) approved the </w:t>
      </w:r>
      <w:r>
        <w:rPr>
          <w:rFonts w:ascii="Times New Roman;sans-serif" w:hAnsi="Times New Roman;sans-serif"/>
          <w:b w:val="false"/>
          <w:color w:val="000000"/>
          <w:sz w:val="20"/>
          <w:shd w:fill="FFFFFF" w:val="clear"/>
        </w:rPr>
        <w:t>Supermajority Voting Amendment</w:t>
      </w:r>
      <w:r>
        <w:rPr>
          <w:rFonts w:ascii="Times New Roman;sans-serif" w:hAnsi="Times New Roman;sans-serif"/>
          <w:b w:val="false"/>
          <w:color w:val="000000"/>
          <w:sz w:val="20"/>
        </w:rPr>
        <w:t xml:space="preserve">, (v) approved the Board Declassification Amendment, and (vi) approved the Officer Exculpation Amendment. The final voting results for each of the matters submitted to a stockholder vote at the Annual Meeting are set forth below: </w:t>
      </w:r>
    </w:p>
    <w:p>
      <w:pPr>
        <w:pStyle w:val="TextBody"/>
        <w:bidi w:val="0"/>
        <w:spacing w:before="0" w:after="0"/>
        <w:ind w:left="0" w:right="0" w:firstLine="720"/>
        <w:jc w:val="both"/>
        <w:rPr/>
      </w:pPr>
      <w:r>
        <w:rPr/>
      </w:r>
    </w:p>
    <w:p>
      <w:pPr>
        <w:pStyle w:val="TextBody"/>
        <w:bidi w:val="0"/>
        <w:spacing w:before="0" w:after="0"/>
        <w:jc w:val="both"/>
        <w:rPr/>
      </w:pPr>
      <w:r>
        <w:rPr/>
      </w:r>
    </w:p>
    <w:tbl>
      <w:tblPr>
        <w:tblW w:w="7656" w:type="dxa"/>
        <w:jc w:val="left"/>
        <w:tblInd w:w="0" w:type="dxa"/>
        <w:tblLayout w:type="fixed"/>
        <w:tblCellMar>
          <w:top w:w="28" w:type="dxa"/>
          <w:left w:w="28" w:type="dxa"/>
          <w:bottom w:w="28" w:type="dxa"/>
          <w:right w:w="28" w:type="dxa"/>
        </w:tblCellMar>
      </w:tblPr>
      <w:tblGrid>
        <w:gridCol w:w="930"/>
        <w:gridCol w:w="815"/>
        <w:gridCol w:w="820"/>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Election of Class II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Wendy Beck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56,058,208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Theresa Palermo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56,485,789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Monique Picou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56,566,973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405,926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bl>
    <w:p>
      <w:pPr>
        <w:pStyle w:val="TextBody"/>
        <w:bidi w:val="0"/>
        <w:spacing w:before="0" w:after="0"/>
        <w:jc w:val="both"/>
        <w:rPr/>
      </w:pPr>
      <w:r>
        <w:rPr/>
      </w:r>
    </w:p>
    <w:tbl>
      <w:tblPr>
        <w:tblW w:w="6232"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344"/>
        <w:gridCol w:w="344"/>
        <w:gridCol w:w="348"/>
        <w:gridCol w:w="109"/>
        <w:gridCol w:w="109"/>
        <w:gridCol w:w="109"/>
        <w:gridCol w:w="419"/>
        <w:gridCol w:w="419"/>
        <w:gridCol w:w="421"/>
        <w:gridCol w:w="109"/>
        <w:gridCol w:w="109"/>
        <w:gridCol w:w="109"/>
        <w:gridCol w:w="329"/>
        <w:gridCol w:w="329"/>
        <w:gridCol w:w="46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Auditor Ratification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60,261,211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34,939</w:t>
            </w:r>
          </w:p>
        </w:tc>
      </w:tr>
    </w:tbl>
    <w:p>
      <w:pPr>
        <w:pStyle w:val="TextBody"/>
        <w:bidi w:val="0"/>
        <w:spacing w:before="0" w:after="0"/>
        <w:jc w:val="both"/>
        <w:rPr/>
      </w:pPr>
      <w:r>
        <w:rPr/>
      </w:r>
    </w:p>
    <w:tbl>
      <w:tblPr>
        <w:tblW w:w="6861"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316"/>
        <w:gridCol w:w="316"/>
        <w:gridCol w:w="449"/>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Non-Votes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Say-on-Pay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56,268,117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bl>
    <w:p>
      <w:pPr>
        <w:pStyle w:val="TextBody"/>
        <w:bidi w:val="0"/>
        <w:spacing w:before="0" w:after="0"/>
        <w:jc w:val="both"/>
        <w:rPr/>
      </w:pPr>
      <w:r>
        <w:rPr/>
      </w:r>
    </w:p>
    <w:tbl>
      <w:tblPr>
        <w:tblW w:w="8809" w:type="dxa"/>
        <w:jc w:val="left"/>
        <w:tblInd w:w="0" w:type="dxa"/>
        <w:tblLayout w:type="fixed"/>
        <w:tblCellMar>
          <w:top w:w="28" w:type="dxa"/>
          <w:left w:w="28" w:type="dxa"/>
          <w:bottom w:w="28" w:type="dxa"/>
          <w:right w:w="28" w:type="dxa"/>
        </w:tblCellMar>
      </w:tblPr>
      <w:tblGrid>
        <w:gridCol w:w="1103"/>
        <w:gridCol w:w="969"/>
        <w:gridCol w:w="972"/>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316"/>
        <w:gridCol w:w="316"/>
        <w:gridCol w:w="449"/>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Non-Votes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Supermajority Voting Amendment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56,773,125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bl>
    <w:p>
      <w:pPr>
        <w:pStyle w:val="TextBody"/>
        <w:bidi w:val="0"/>
        <w:spacing w:before="0" w:after="0"/>
        <w:jc w:val="both"/>
        <w:rPr/>
      </w:pPr>
      <w:r>
        <w:rPr/>
      </w:r>
    </w:p>
    <w:tbl>
      <w:tblPr>
        <w:tblW w:w="8869" w:type="dxa"/>
        <w:jc w:val="left"/>
        <w:tblInd w:w="0" w:type="dxa"/>
        <w:tblLayout w:type="fixed"/>
        <w:tblCellMar>
          <w:top w:w="28" w:type="dxa"/>
          <w:left w:w="28" w:type="dxa"/>
          <w:bottom w:w="28" w:type="dxa"/>
          <w:right w:w="28" w:type="dxa"/>
        </w:tblCellMar>
      </w:tblPr>
      <w:tblGrid>
        <w:gridCol w:w="1124"/>
        <w:gridCol w:w="989"/>
        <w:gridCol w:w="991"/>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316"/>
        <w:gridCol w:w="316"/>
        <w:gridCol w:w="449"/>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Non-Votes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Board Declassification Amendment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56,827,543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bl>
    <w:p>
      <w:pPr>
        <w:pStyle w:val="TextBody"/>
        <w:bidi w:val="0"/>
        <w:spacing w:before="0" w:after="0"/>
        <w:jc w:val="both"/>
        <w:rPr/>
      </w:pPr>
      <w:r>
        <w:rPr/>
      </w:r>
    </w:p>
    <w:tbl>
      <w:tblPr>
        <w:tblW w:w="8629" w:type="dxa"/>
        <w:jc w:val="left"/>
        <w:tblInd w:w="0" w:type="dxa"/>
        <w:tblLayout w:type="fixed"/>
        <w:tblCellMar>
          <w:top w:w="28" w:type="dxa"/>
          <w:left w:w="28" w:type="dxa"/>
          <w:bottom w:w="28" w:type="dxa"/>
          <w:right w:w="28" w:type="dxa"/>
        </w:tblCellMar>
      </w:tblPr>
      <w:tblGrid>
        <w:gridCol w:w="1038"/>
        <w:gridCol w:w="912"/>
        <w:gridCol w:w="914"/>
        <w:gridCol w:w="109"/>
        <w:gridCol w:w="109"/>
        <w:gridCol w:w="109"/>
        <w:gridCol w:w="344"/>
        <w:gridCol w:w="344"/>
        <w:gridCol w:w="348"/>
        <w:gridCol w:w="109"/>
        <w:gridCol w:w="109"/>
        <w:gridCol w:w="109"/>
        <w:gridCol w:w="419"/>
        <w:gridCol w:w="419"/>
        <w:gridCol w:w="421"/>
        <w:gridCol w:w="109"/>
        <w:gridCol w:w="109"/>
        <w:gridCol w:w="109"/>
        <w:gridCol w:w="360"/>
        <w:gridCol w:w="360"/>
        <w:gridCol w:w="361"/>
        <w:gridCol w:w="109"/>
        <w:gridCol w:w="109"/>
        <w:gridCol w:w="109"/>
        <w:gridCol w:w="316"/>
        <w:gridCol w:w="316"/>
        <w:gridCol w:w="449"/>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Broker</w:t>
            </w:r>
          </w:p>
          <w:p>
            <w:pPr>
              <w:pStyle w:val="TableContents"/>
              <w:bidi w:val="0"/>
              <w:spacing w:lineRule="auto" w:line="288" w:before="0" w:after="0"/>
              <w:jc w:val="center"/>
              <w:rPr>
                <w:color w:val="000000"/>
              </w:rPr>
            </w:pPr>
            <w:r>
              <w:rPr>
                <w:color w:val="000000"/>
              </w:rPr>
              <w:t> </w:t>
            </w:r>
            <w:r>
              <w:rPr>
                <w:rFonts w:ascii="Times New Roman;sans-serif" w:hAnsi="Times New Roman;sans-serif"/>
                <w:b/>
                <w:color w:val="000000"/>
                <w:sz w:val="20"/>
              </w:rPr>
              <w:t>Non-Votes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Officer Exculpation Amendment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50,622,595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6,316,989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5,357,428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Nominating and Governance Committee Appointment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5, 2025, the Board appointed Monique Picou to serve as a member of the Nominating and Governance Committee of the Board, effective immediately.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 Exhibits. </w:t>
      </w:r>
    </w:p>
    <w:tbl>
      <w:tblPr>
        <w:tblW w:w="8814" w:type="dxa"/>
        <w:jc w:val="left"/>
        <w:tblInd w:w="0" w:type="dxa"/>
        <w:tblLayout w:type="fixed"/>
        <w:tblCellMar>
          <w:top w:w="28" w:type="dxa"/>
          <w:left w:w="28" w:type="dxa"/>
          <w:bottom w:w="28" w:type="dxa"/>
          <w:right w:w="28" w:type="dxa"/>
        </w:tblCellMar>
      </w:tblPr>
      <w:tblGrid>
        <w:gridCol w:w="134"/>
        <w:gridCol w:w="118"/>
        <w:gridCol w:w="118"/>
        <w:gridCol w:w="154"/>
        <w:gridCol w:w="154"/>
        <w:gridCol w:w="158"/>
        <w:gridCol w:w="118"/>
        <w:gridCol w:w="118"/>
        <w:gridCol w:w="118"/>
        <w:gridCol w:w="109"/>
        <w:gridCol w:w="109"/>
        <w:gridCol w:w="109"/>
        <w:gridCol w:w="109"/>
        <w:gridCol w:w="109"/>
        <w:gridCol w:w="109"/>
        <w:gridCol w:w="109"/>
        <w:gridCol w:w="109"/>
        <w:gridCol w:w="109"/>
        <w:gridCol w:w="702"/>
        <w:gridCol w:w="702"/>
        <w:gridCol w:w="702"/>
        <w:gridCol w:w="702"/>
        <w:gridCol w:w="702"/>
        <w:gridCol w:w="702"/>
        <w:gridCol w:w="702"/>
        <w:gridCol w:w="702"/>
        <w:gridCol w:w="102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exhibit31.htm">
              <w:r>
                <w:rPr>
                  <w:rStyle w:val="InternetLink"/>
                  <w:rFonts w:ascii="Times New Roman;sans-serif" w:hAnsi="Times New Roman;sans-serif"/>
                  <w:b w:val="false"/>
                  <w:color w:val="0000FF"/>
                  <w:sz w:val="22"/>
                  <w:u w:val="single"/>
                </w:rPr>
                <w:t>3.1</w:t>
              </w:r>
            </w:hyperlink>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to the Certificate of Incorporation.</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exhibit32.htm">
              <w:r>
                <w:rPr>
                  <w:rStyle w:val="InternetLink"/>
                  <w:rFonts w:ascii="Times New Roman;sans-serif" w:hAnsi="Times New Roman;sans-serif"/>
                  <w:b w:val="false"/>
                  <w:color w:val="0000FF"/>
                  <w:sz w:val="22"/>
                  <w:u w:val="single"/>
                </w:rPr>
                <w:t>3.2</w:t>
              </w:r>
            </w:hyperlink>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Restated Certificate of Incorporation.</w:t>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68" w:type="dxa"/>
        <w:jc w:val="right"/>
        <w:tblInd w:w="0" w:type="dxa"/>
        <w:tblLayout w:type="fixed"/>
        <w:tblCellMar>
          <w:top w:w="28" w:type="dxa"/>
          <w:left w:w="28" w:type="dxa"/>
          <w:bottom w:w="28" w:type="dxa"/>
          <w:right w:w="28" w:type="dxa"/>
        </w:tblCellMar>
      </w:tblPr>
      <w:tblGrid>
        <w:gridCol w:w="591"/>
        <w:gridCol w:w="520"/>
        <w:gridCol w:w="523"/>
        <w:gridCol w:w="109"/>
        <w:gridCol w:w="109"/>
        <w:gridCol w:w="109"/>
        <w:gridCol w:w="208"/>
        <w:gridCol w:w="208"/>
        <w:gridCol w:w="213"/>
        <w:gridCol w:w="391"/>
        <w:gridCol w:w="391"/>
        <w:gridCol w:w="391"/>
        <w:gridCol w:w="1460"/>
        <w:gridCol w:w="1460"/>
        <w:gridCol w:w="2085"/>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5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M. Green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1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M. Green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Deputy General Counsel and Assistant Corporate Secretary</w:t>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005" w:type="dxa"/>
            <w:gridSpan w:val="3"/>
            <w:tcBorders/>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005"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0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4"/>
        </w:rPr>
        <w:t>CERTIFICATE OF AMENDMENT</w:t>
      </w:r>
      <w:r>
        <w:rPr>
          <w:rFonts w:ascii="Times New Roman;sans-serif" w:hAnsi="Times New Roman;sans-serif"/>
          <w:b w:val="false"/>
          <w:color w:val="000000"/>
          <w:sz w:val="24"/>
        </w:rPr>
        <w:br/>
      </w:r>
      <w:r>
        <w:rPr>
          <w:rFonts w:ascii="Times New Roman;sans-serif" w:hAnsi="Times New Roman;sans-serif"/>
          <w:b/>
          <w:color w:val="000000"/>
          <w:sz w:val="24"/>
        </w:rPr>
        <w:t>OF</w:t>
      </w:r>
      <w:r>
        <w:rPr>
          <w:rFonts w:ascii="Times New Roman;sans-serif" w:hAnsi="Times New Roman;sans-serif"/>
          <w:b w:val="false"/>
          <w:color w:val="000000"/>
          <w:sz w:val="24"/>
        </w:rPr>
        <w:br/>
      </w:r>
      <w:r>
        <w:rPr>
          <w:rFonts w:ascii="Times New Roman;sans-serif" w:hAnsi="Times New Roman;sans-serif"/>
          <w:b/>
          <w:color w:val="000000"/>
          <w:sz w:val="24"/>
        </w:rPr>
        <w:t>THE AMENDED AND RESTATED CERTIFICATE OF INCORPORATION</w:t>
      </w:r>
      <w:r>
        <w:rPr>
          <w:rFonts w:ascii="Times New Roman;sans-serif" w:hAnsi="Times New Roman;sans-serif"/>
          <w:b w:val="false"/>
          <w:color w:val="000000"/>
          <w:sz w:val="24"/>
        </w:rPr>
        <w:br/>
      </w:r>
      <w:r>
        <w:rPr>
          <w:rFonts w:ascii="Times New Roman;sans-serif" w:hAnsi="Times New Roman;sans-serif"/>
          <w:b/>
          <w:color w:val="000000"/>
          <w:sz w:val="24"/>
        </w:rPr>
        <w:t>OF</w:t>
      </w:r>
      <w:r>
        <w:rPr>
          <w:rFonts w:ascii="Times New Roman;sans-serif" w:hAnsi="Times New Roman;sans-serif"/>
          <w:b w:val="false"/>
          <w:color w:val="000000"/>
          <w:sz w:val="24"/>
        </w:rPr>
        <w:br/>
      </w:r>
      <w:r>
        <w:rPr>
          <w:rFonts w:ascii="Times New Roman;sans-serif" w:hAnsi="Times New Roman;sans-serif"/>
          <w:b/>
          <w:color w:val="000000"/>
          <w:sz w:val="24"/>
        </w:rPr>
        <w:t xml:space="preserve">ACADEMY SPORTS AND OUTDOORS, INC.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242</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General Corporation Law of the State of Delaware</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Academy Sports &amp; Outdoors, Inc., a corporation duly organized and existing under the General Corporation Law of the State of Delaware (the “Corporation”), does hereby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FIRST: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Amended and Restated Certificate of Incorporation of the Corporation is hereby amended by deleting Section F of Article IV thereof in its entirety and inserting the following in lieu thereof:</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 xml:space="preserve">F. The number of authorized shares of Preferred Stock or Common Stock may be increased or decreased (but not below the number of shares thereof then outstanding) without a separate class vote of the holders of shares of Common Stock or Preferred Stock irrespective of the provisions of Section 242(b)(2) of the DGCL (or any successor provision thereto), unless a vote of any such holder is required pursuant to this Amended and Restated Certificate of Incorporation (including any certificate of designation relating to any series of Preferred Stock).”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Amended and Restated Certificate of Incorporation of the Corporation is hereby amended by deleting Article V thereof in its entirety and inserting the following in lieu thereof:</w:t>
      </w:r>
    </w:p>
    <w:p>
      <w:pPr>
        <w:pStyle w:val="TextBody"/>
        <w:bidi w:val="0"/>
        <w:spacing w:before="0" w:after="0"/>
        <w:ind w:left="0" w:right="0" w:firstLine="720"/>
        <w:jc w:val="both"/>
        <w:rPr/>
      </w:pPr>
      <w:r>
        <w:rPr/>
      </w:r>
    </w:p>
    <w:p>
      <w:pPr>
        <w:pStyle w:val="TextBody"/>
        <w:bidi w:val="0"/>
        <w:spacing w:lineRule="auto" w:line="288" w:before="0" w:after="0"/>
        <w:jc w:val="center"/>
        <w:rPr/>
      </w:pPr>
      <w:r>
        <w:rPr>
          <w:color w:val="000000"/>
        </w:rPr>
        <w:t>“</w:t>
      </w:r>
      <w:r>
        <w:rPr>
          <w:rFonts w:ascii="Times New Roman;sans-serif" w:hAnsi="Times New Roman;sans-serif"/>
          <w:b/>
          <w:color w:val="000000"/>
          <w:sz w:val="24"/>
        </w:rPr>
        <w:t>ARTICLE V</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AMENDMENT OF THE CERTIFICATE OF INCORPORATION AND BYLAWS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A. The Corporation reserves the right at any time, and from time to time, to alter, amend, repeal or rescind, in whole or in part, any provision of this Amended and Restated Certificate of Incorporation, or to adopt any provision inconsistent therewith, and other provisions 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 this Amended and Restated Certificate of Incorporation in its present form or as hereafter amended are granted subject to this reservation. Notwithstanding anything herein to the contrary, any amendment to this Amended and Restated Certificate of Incorporation effecting changes set forth in (i) Section 242(d)(1) of the DGCL can be effected without a stockholder vote and (ii) Section 242(d)(2) of the DGCL shall only require the vote of stockholders set forth in Section 242(d)(2) of the DGCL. For the purposes of this Amended and Restated Certificate of Incorporation, beneficial ownership of shares shall be determined in accordance with Rule 13d-3 promulgated under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5145"/>
                <wp:effectExtent l="0" t="0" r="0" b="0"/>
                <wp:wrapNone/>
                <wp:docPr id="8" name="Frame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4"/>
        </w:rPr>
        <w:t>B. The Board of Directors is expressly authorized to make, repeal, alter, amend and rescind, in whole or in part, the amended and restated bylaws of the Corporation (as in effect from time to time, the “</w:t>
      </w:r>
      <w:r>
        <w:rPr>
          <w:rFonts w:ascii="Times New Roman;sans-serif" w:hAnsi="Times New Roman;sans-serif"/>
          <w:b w:val="false"/>
          <w:color w:val="000000"/>
          <w:sz w:val="24"/>
          <w:u w:val="single"/>
        </w:rPr>
        <w:t>Bylaws</w:t>
      </w:r>
      <w:r>
        <w:rPr>
          <w:color w:val="000000"/>
        </w:rPr>
        <w:t>”</w:t>
      </w:r>
      <w:r>
        <w:rPr>
          <w:rFonts w:ascii="Times New Roman;sans-serif" w:hAnsi="Times New Roman;sans-serif"/>
          <w:b w:val="false"/>
          <w:color w:val="000000"/>
          <w:sz w:val="24"/>
        </w:rPr>
        <w:t>) without the assent or vote of the stockholders in any manner not inconsistent with the laws of the State of Delaware or this Amended and Restated Certificate of Incorporation. Notwithstanding anything to the contrary contained in this Amended and Restated Certificate of Incorporation or any provision of law which might otherwise permit a lesser vote of the stockholders, the affirmative vote of the holders of at least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Amended and Restated Certificate of Incorporation of the Corporation is hereby amended by deleting Article VI thereof in its entirety and inserting the following in lieu thereof:</w:t>
      </w:r>
    </w:p>
    <w:p>
      <w:pPr>
        <w:pStyle w:val="TextBody"/>
        <w:bidi w:val="0"/>
        <w:spacing w:before="0" w:after="0"/>
        <w:ind w:left="0" w:right="0" w:firstLine="720"/>
        <w:jc w:val="both"/>
        <w:rPr/>
      </w:pPr>
      <w:r>
        <w:rPr/>
      </w:r>
    </w:p>
    <w:p>
      <w:pPr>
        <w:pStyle w:val="TextBody"/>
        <w:bidi w:val="0"/>
        <w:spacing w:lineRule="auto" w:line="288" w:before="0" w:after="0"/>
        <w:jc w:val="center"/>
        <w:rPr/>
      </w:pPr>
      <w:r>
        <w:rPr>
          <w:color w:val="000000"/>
        </w:rPr>
        <w:t>“</w:t>
      </w:r>
      <w:r>
        <w:rPr>
          <w:rFonts w:ascii="Times New Roman;sans-serif" w:hAnsi="Times New Roman;sans-serif"/>
          <w:b/>
          <w:color w:val="000000"/>
          <w:sz w:val="24"/>
        </w:rPr>
        <w:t xml:space="preserve">ARTICLE VI </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BOARD OF DIRECTORS </w:t>
      </w:r>
    </w:p>
    <w:p>
      <w:pPr>
        <w:pStyle w:val="TextBody"/>
        <w:bidi w:val="0"/>
        <w:spacing w:before="0" w:after="0"/>
        <w:jc w:val="center"/>
        <w:rPr/>
      </w:pPr>
      <w:r>
        <w:rPr/>
      </w:r>
    </w:p>
    <w:p>
      <w:pPr>
        <w:pStyle w:val="TextBody"/>
        <w:bidi w:val="0"/>
        <w:spacing w:lineRule="auto" w:line="288"/>
        <w:jc w:val="left"/>
        <w:rPr/>
      </w:pPr>
      <w:r>
        <w:rPr>
          <w:rFonts w:ascii="Times New Roman;sans-serif" w:hAnsi="Times New Roman;sans-serif"/>
          <w:b w:val="false"/>
          <w:color w:val="000000"/>
          <w:sz w:val="24"/>
          <w:shd w:fill="FFFFFF" w:val="clear"/>
        </w:rPr>
        <w:t>A. Except as otherwise provided in this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constituting the whole Board of Directors shall be determined from time to time exclusively by resolution adopted by the Board of Directors. Prior to the annual meeting of stockholders to be held in 2028 (the “</w:t>
      </w:r>
      <w:r>
        <w:rPr>
          <w:rFonts w:ascii="Times New Roman;sans-serif" w:hAnsi="Times New Roman;sans-serif"/>
          <w:b w:val="false"/>
          <w:color w:val="000000"/>
          <w:sz w:val="24"/>
          <w:u w:val="single"/>
          <w:shd w:fill="FFFFFF" w:val="clear"/>
        </w:rPr>
        <w:t>2028 Annual Meeting</w:t>
      </w:r>
      <w:r>
        <w:rPr>
          <w:color w:val="000000"/>
          <w:shd w:fill="FFFFFF" w:val="clear"/>
        </w:rPr>
        <w:t>”</w:t>
      </w:r>
      <w:r>
        <w:rPr>
          <w:rFonts w:ascii="Times New Roman;sans-serif" w:hAnsi="Times New Roman;sans-serif"/>
          <w:b w:val="false"/>
          <w:color w:val="000000"/>
          <w:sz w:val="24"/>
          <w:shd w:fill="FFFFFF" w:val="clear"/>
        </w:rPr>
        <w:t>), the directors (other than those directors elected by the holders of any series of Preferred Stock, voting separately as a series or together with one or more other such series, as the case may be) shall be divided into three classes designated Class I, Class II and Class III and, until the election of directors at the 2028 Annual Meeting, in case of any increase or decrease, from time to time, in the number of directors (other than Preferred Stock Directors), the number of directors in each class shall be apportioned in the manner determined by the Board. Directors elected or appointed prior to the 2026 annual meeting of stockholders shall continue to serve out the remainder of their current terms; directors with terms expiring at the annual meeting of stockholders to be held in 2026 shall serve out the remainder of their current terms, and they and any successors shall stand for re-election to a two-year term at the annual meeting of stockholders to be held in 2026; and directors with terms expiring at the annual meeting of stockholders to be held in 2027 shall serve out the remainder of their current terms, and they and any successors shall stand for re-election to a one-year term at the annual meeting to be held in 2027. From and after the election of directors at the 2028 Annual Meeting, the Board shall cease to be classified and each director shall be elected for a term expiring at the next annual meeting of stockholders. In no case shall a decrease in the number of directors remove or shorten the term of any incumbent director. Notwithstanding the foregoing, each</w:t>
      </w:r>
      <w:r>
        <w:rPr>
          <w:color w:val="000000"/>
        </w:rPr>
        <w:t xml:space="preserve"> </w:t>
      </w:r>
      <w:r>
        <w:rPr>
          <w:rFonts w:ascii="Times New Roman;sans-serif" w:hAnsi="Times New Roman;sans-serif"/>
          <w:b w:val="false"/>
          <w:color w:val="000000"/>
          <w:sz w:val="24"/>
          <w:shd w:fill="FFFFFF" w:val="clear"/>
        </w:rPr>
        <w:t xml:space="preserve">director shall hold office until the annual meeting at which his or her term expires and until his or her successor shall be elected and qualified, or his or her earlier death, resignation, retirement, disqualification or removal from office.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145"/>
                <wp:effectExtent l="0" t="0" r="0" b="0"/>
                <wp:wrapNone/>
                <wp:docPr id="9" name="Frame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 Subject to the rights granted to the holders of any one or more series of Preferred Stock then outstanding or the rights granted pursuant to the Stockholders Agreement, to be dated on or about October 6, 2020 (as the same may be amended, supplemented, restated or otherwise modified from time to time, the “</w:t>
      </w:r>
      <w:r>
        <w:rPr>
          <w:rFonts w:ascii="Times New Roman;sans-serif" w:hAnsi="Times New Roman;sans-serif"/>
          <w:b w:val="false"/>
          <w:color w:val="000000"/>
          <w:sz w:val="24"/>
          <w:u w:val="single"/>
        </w:rPr>
        <w:t>Stockholders Agreement</w:t>
      </w:r>
      <w:r>
        <w:rPr>
          <w:color w:val="000000"/>
        </w:rPr>
        <w:t>”</w:t>
      </w:r>
      <w:r>
        <w:rPr>
          <w:rFonts w:ascii="Times New Roman;sans-serif" w:hAnsi="Times New Roman;sans-serif"/>
          <w:b w:val="false"/>
          <w:color w:val="000000"/>
          <w:sz w:val="24"/>
        </w:rPr>
        <w:t>), by and among the Corporation, and certain affiliates of Kohlberg Kravis Roberts &amp; Co. L.P. (together with its affiliates and subsidiaries and its and their successors and assigns (other than the Corporation and its subsidiaries), collectively, “</w:t>
      </w:r>
      <w:r>
        <w:rPr>
          <w:rFonts w:ascii="Times New Roman;sans-serif" w:hAnsi="Times New Roman;sans-serif"/>
          <w:b w:val="false"/>
          <w:color w:val="000000"/>
          <w:sz w:val="24"/>
          <w:u w:val="single"/>
        </w:rPr>
        <w:t>KKR</w:t>
      </w:r>
      <w:r>
        <w:rPr>
          <w:color w:val="000000"/>
        </w:rPr>
        <w:t>”</w:t>
      </w:r>
      <w:r>
        <w:rPr>
          <w:rFonts w:ascii="Times New Roman;sans-serif" w:hAnsi="Times New Roman;sans-serif"/>
          <w:b w:val="false"/>
          <w:color w:val="000000"/>
          <w:sz w:val="24"/>
        </w:rPr>
        <w:t xml:space="preserve">), any newly 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(other than the directors elected by the holders of any series of Preferred Stock, voting separately as a series or together with one or more other such series, as the case may be), even if less than a quorum, or by any such sole remaining director (and not by the stockholders). Any director elected to fill a vacancy or newly created directorship shall hold office (i) in the case of any vacancy or newly created directorship so filled prior to the 2028 Annual Meeting, until the next election of the class for which such director shall have been chosen and until his or her successor shall be elected and qualified, or until his or her earlier death, resignation, retirement, disqualification or removal and (ii) in the case of any vacancy or newly created directorship so filled at or after the 2028 Annual Meeting, until the next annual meeting of stockholders and until his or her successor shall be elected and qualified, or until his or her earlier death, resignation, retirement, disqualification or removal.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 Any or all of the directors (other than the directors elected by the holders of any series of Preferred Stock, voting separately as a series or together with one or more other such series, as the case may be) may be removed (i) prior to the 2028 Annual Meeting, only for cause and (ii) from and after the 2028 Annual Meeting, with or without cause, and, in each case, only by the affirmative vote of the holders of at least 66 2⁄3% in voting power of all the then-outstanding shares of stock of the Corporation entitled to vote thereon, voting together as a single class.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 Elections of directors need not be by written ballot unless the Bylaws shall so provide. </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5145"/>
                <wp:effectExtent l="0" t="0" r="0" b="0"/>
                <wp:wrapNone/>
                <wp:docPr id="10" name="Frame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disqualification or removal of such additional directors, shall forthwith terminate and the total authorized number of directors of the Corporation shall automatically be reduced accordingly.”</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(c)     The Amended and Restated Certificate of Incorporation of the Corporation is hereby amended to add a new Article XII:</w:t>
      </w:r>
    </w:p>
    <w:p>
      <w:pPr>
        <w:pStyle w:val="TextBody"/>
        <w:bidi w:val="0"/>
        <w:spacing w:before="0" w:after="0"/>
        <w:jc w:val="both"/>
        <w:rPr/>
      </w:pPr>
      <w:r>
        <w:rPr/>
      </w:r>
    </w:p>
    <w:p>
      <w:pPr>
        <w:pStyle w:val="TextBody"/>
        <w:bidi w:val="0"/>
        <w:spacing w:lineRule="auto" w:line="288" w:before="0" w:after="0"/>
        <w:jc w:val="center"/>
        <w:rPr/>
      </w:pPr>
      <w:r>
        <w:rPr>
          <w:color w:val="000000"/>
        </w:rPr>
        <w:t>“</w:t>
      </w:r>
      <w:r>
        <w:rPr>
          <w:rFonts w:ascii="Times New Roman;sans-serif" w:hAnsi="Times New Roman;sans-serif"/>
          <w:b/>
          <w:color w:val="000000"/>
          <w:sz w:val="24"/>
        </w:rPr>
        <w:t>ARTICLE XII</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LIMITATION OF OFFICER LIABILITY</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To the fullest extent permitted by the DGCL as it now exists or may hereafter be amended, an officer of the Corporation shall not be personally liable to the Corporation or its stockholders for monetary damages for breach of fiduciary duty owed to the Corporation or its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 Neither the amendment nor repeal of this Article XII, nor the adoption of any provision of this Amended and Restated Certificate of Incorporation, nor, to the fullest extent permitted by the DGCL, any modification of law shall eliminate, reduce or otherwise adversely affect any right or protection of a current or former officer of the Corporation existing at the time of such amendment, repeal, adoption or modification.”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SECOND:    The foregoing amendments to the Amended and Restated Certificate of Incorporation of the Corporation were duly adopted in accordance with the provisions of Section 242 of the General Corporation Law of the State of Delaware.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5145"/>
                <wp:effectExtent l="0" t="0" r="0" b="0"/>
                <wp:wrapNone/>
                <wp:docPr id="11" name="Frame1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IN WITNESS WHEREOF, the undersigned has executed this Certificate of Amendment to the Amended and Restated Certificate of Incorporation on this 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June, 2025.</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 xml:space="preserve">ACADEMY SPORTS AND OUTDOORS, INC. </w:t>
      </w:r>
    </w:p>
    <w:p>
      <w:pPr>
        <w:pStyle w:val="TextBody"/>
        <w:bidi w:val="0"/>
        <w:spacing w:before="0" w:after="0"/>
        <w:jc w:val="left"/>
        <w:rPr/>
      </w:pPr>
      <w:r>
        <w:rPr/>
      </w:r>
    </w:p>
    <w:tbl>
      <w:tblPr>
        <w:tblW w:w="3164" w:type="dxa"/>
        <w:jc w:val="left"/>
        <w:tblInd w:w="0" w:type="dxa"/>
        <w:tblLayout w:type="fixed"/>
        <w:tblCellMar>
          <w:top w:w="28" w:type="dxa"/>
          <w:left w:w="28" w:type="dxa"/>
          <w:bottom w:w="28" w:type="dxa"/>
          <w:right w:w="28" w:type="dxa"/>
        </w:tblCellMar>
      </w:tblPr>
      <w:tblGrid>
        <w:gridCol w:w="271"/>
        <w:gridCol w:w="238"/>
        <w:gridCol w:w="241"/>
        <w:gridCol w:w="707"/>
        <w:gridCol w:w="707"/>
        <w:gridCol w:w="100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Steven Lawrence</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Steven Lawrence</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Exhibit 3.2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4960"/>
                <wp:effectExtent l="0" t="0" r="0" b="0"/>
                <wp:wrapNone/>
                <wp:docPr id="12" name="Frame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Certificate of Amendment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Certificate of Amendment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RESTATED CERTIFICATE OF INCORPORATION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OF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ACADEMY SPORTS AND OUTDOORS, INC. </w:t>
      </w:r>
    </w:p>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 * * * *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The present name of the corporation is Academy Sports and Outdoors, Inc. (the “</w:t>
      </w:r>
      <w:r>
        <w:rPr>
          <w:rFonts w:ascii="Times New Roman;sans-serif" w:hAnsi="Times New Roman;sans-serif"/>
          <w:b w:val="false"/>
          <w:color w:val="000000"/>
          <w:sz w:val="20"/>
          <w:u w:val="single"/>
          <w:shd w:fill="FFFFFF" w:val="clear"/>
        </w:rPr>
        <w:t>Corporation</w:t>
      </w:r>
      <w:r>
        <w:rPr>
          <w:color w:val="000000"/>
          <w:shd w:fill="FFFFFF" w:val="clear"/>
        </w:rPr>
        <w:t>”</w:t>
      </w:r>
      <w:r>
        <w:rPr>
          <w:rFonts w:ascii="Times New Roman;sans-serif" w:hAnsi="Times New Roman;sans-serif"/>
          <w:b w:val="false"/>
          <w:color w:val="000000"/>
          <w:sz w:val="20"/>
          <w:shd w:fill="FFFFFF" w:val="clear"/>
        </w:rPr>
        <w:t>). The Corporation was incorporated under its present name by the filing of its original Certificate of Incorporation with the Secretary of State of the State of Delaware on June 30, 2020 (the “</w:t>
      </w:r>
      <w:r>
        <w:rPr>
          <w:rFonts w:ascii="Times New Roman;sans-serif" w:hAnsi="Times New Roman;sans-serif"/>
          <w:b w:val="false"/>
          <w:color w:val="000000"/>
          <w:sz w:val="20"/>
          <w:u w:val="single"/>
          <w:shd w:fill="FFFFFF" w:val="clear"/>
        </w:rPr>
        <w:t>Original Certificate of Incorporation</w:t>
      </w:r>
      <w:r>
        <w:rPr>
          <w:color w:val="000000"/>
          <w:shd w:fill="FFFFFF" w:val="clear"/>
        </w:rPr>
        <w:t>”</w:t>
      </w:r>
      <w:r>
        <w:rPr>
          <w:rFonts w:ascii="Times New Roman;sans-serif" w:hAnsi="Times New Roman;sans-serif"/>
          <w:b w:val="false"/>
          <w:color w:val="000000"/>
          <w:sz w:val="20"/>
          <w:shd w:fill="FFFFFF" w:val="clear"/>
        </w:rPr>
        <w:t>). This Restated Certificate of Incorporation of the Corporation (as the same may be amended and/or restated from time to time, the “</w:t>
      </w:r>
      <w:r>
        <w:rPr>
          <w:rFonts w:ascii="Times New Roman;sans-serif" w:hAnsi="Times New Roman;sans-serif"/>
          <w:b w:val="false"/>
          <w:color w:val="000000"/>
          <w:sz w:val="20"/>
          <w:u w:val="single"/>
          <w:shd w:fill="FFFFFF" w:val="clear"/>
        </w:rPr>
        <w:t>Amended and Restated Certificate of Incorporation</w:t>
      </w:r>
      <w:r>
        <w:rPr>
          <w:color w:val="000000"/>
          <w:shd w:fill="FFFFFF" w:val="clear"/>
        </w:rPr>
        <w:t>”</w:t>
      </w:r>
      <w:r>
        <w:rPr>
          <w:rFonts w:ascii="Times New Roman;sans-serif" w:hAnsi="Times New Roman;sans-serif"/>
          <w:b w:val="false"/>
          <w:color w:val="000000"/>
          <w:sz w:val="20"/>
          <w:shd w:fill="FFFFFF" w:val="clear"/>
        </w:rPr>
        <w:t xml:space="preserve">) only restates and integrates and does not further amend the provisions of the Original Certificate of Incorporation as theretofore amended and supplemented and there is no discrepancy between the provisions of the Original Certificate of Incorporation as theretofore amended and supplemented and the provisions of this Amended and Restated Certificate of Incorporation. This Amended and Restated Certificate of Incorporation was duly adopted in accordance with the provisions of Section 245 of the General Corporation Law of the State of Delaware. The Original Certificate of Incorporation is hereby integrated and restated in its entirety to read as follows: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NAME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name of the Corporation is Academy Sports and Outdoors, Inc.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II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REGISTERED OFFICE AND AGENT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address of the registered office of the Corporation in the State of Delaware is 251 Little Falls Drive, in the City of Wilmington, County of New Castle, Delaware 19808. The name of the registered agent of the Corporation in the State of Delaware at such address is Corporation Service Company.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III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PURPOSE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The purpose of the Corporation is to engage in any lawful act or activity for which corporations may be organized under the General Corporation Law of the State of Delaware (as the same exists or may hereafter be amended from time to time, the “</w:t>
      </w:r>
      <w:r>
        <w:rPr>
          <w:rFonts w:ascii="Times New Roman;sans-serif" w:hAnsi="Times New Roman;sans-serif"/>
          <w:b w:val="false"/>
          <w:color w:val="000000"/>
          <w:sz w:val="20"/>
          <w:u w:val="single"/>
          <w:shd w:fill="FFFFFF" w:val="clear"/>
        </w:rPr>
        <w:t>DGCL</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IV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CAPITAL STOCK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total number of shares of all classes of stock that the Corporation shall have authority to issue is 350,000,000, which shall be divided into two classes as follows: </w:t>
      </w:r>
    </w:p>
    <w:p>
      <w:pPr>
        <w:pStyle w:val="TextBody"/>
        <w:bidi w:val="0"/>
        <w:spacing w:lineRule="auto" w:line="288" w:before="0" w:after="0"/>
        <w:jc w:val="left"/>
        <w:rPr>
          <w:shd w:fill="FFFFFF" w:val="clear"/>
        </w:rPr>
      </w:pPr>
      <w:r>
        <w:rPr>
          <w:rFonts w:ascii="Times New Roman;sans-serif" w:hAnsi="Times New Roman;sans-serif"/>
          <w:b w:val="false"/>
          <w:color w:val="000000"/>
          <w:sz w:val="20"/>
          <w:shd w:fill="FFFFFF" w:val="clear"/>
        </w:rPr>
        <w:t>300,000,000 shares of common stock, par value $0.01 per share (“</w:t>
      </w:r>
      <w:r>
        <w:rPr>
          <w:rFonts w:ascii="Times New Roman;sans-serif" w:hAnsi="Times New Roman;sans-serif"/>
          <w:b w:val="false"/>
          <w:color w:val="000000"/>
          <w:sz w:val="20"/>
          <w:u w:val="single"/>
          <w:shd w:fill="FFFFFF" w:val="clear"/>
        </w:rPr>
        <w:t>Common Stock</w:t>
      </w:r>
      <w:r>
        <w:rPr>
          <w:color w:val="000000"/>
          <w:shd w:fill="FFFFFF" w:val="clear"/>
        </w:rPr>
        <w:t>”</w:t>
      </w:r>
      <w:r>
        <w:rPr>
          <w:rFonts w:ascii="Times New Roman;sans-serif" w:hAnsi="Times New Roman;sans-serif"/>
          <w:b w:val="false"/>
          <w:color w:val="000000"/>
          <w:sz w:val="20"/>
          <w:shd w:fill="FFFFFF" w:val="clear"/>
        </w:rPr>
        <w:t xml:space="preserve">); and </w:t>
      </w:r>
    </w:p>
    <w:p>
      <w:pPr>
        <w:pStyle w:val="TextBody"/>
        <w:bidi w:val="0"/>
        <w:spacing w:lineRule="auto" w:line="288" w:before="120" w:after="283"/>
        <w:jc w:val="left"/>
        <w:rPr>
          <w:shd w:fill="FFFFFF" w:val="clear"/>
        </w:rPr>
      </w:pPr>
      <w:r>
        <w:rPr>
          <w:rFonts w:ascii="Times New Roman;sans-serif" w:hAnsi="Times New Roman;sans-serif"/>
          <w:b w:val="false"/>
          <w:color w:val="000000"/>
          <w:sz w:val="20"/>
          <w:shd w:fill="FFFFFF" w:val="clear"/>
        </w:rPr>
        <w:t>50,000,000 shares of preferred stock, par value $0.01 per share (“</w:t>
      </w:r>
      <w:r>
        <w:rPr>
          <w:rFonts w:ascii="Times New Roman;sans-serif" w:hAnsi="Times New Roman;sans-serif"/>
          <w:b w:val="false"/>
          <w:color w:val="000000"/>
          <w:sz w:val="20"/>
          <w:u w:val="single"/>
          <w:shd w:fill="FFFFFF" w:val="clear"/>
        </w:rPr>
        <w:t>Preferred Stock</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5145"/>
                <wp:effectExtent l="0" t="0" r="0" b="0"/>
                <wp:wrapNone/>
                <wp:docPr id="13" name="Frame1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shd w:fill="FFFFFF" w:val="clear"/>
        </w:rPr>
      </w:pPr>
      <w:r>
        <w:rPr>
          <w:rFonts w:ascii="Times New Roman;sans-serif" w:hAnsi="Times New Roman;sans-serif"/>
          <w:b/>
          <w:color w:val="000000"/>
          <w:sz w:val="20"/>
          <w:shd w:fill="FFFFFF" w:val="clear"/>
        </w:rPr>
        <w:t>I.</w:t>
      </w:r>
      <w:r>
        <w:rPr>
          <w:color w:val="000000"/>
          <w:shd w:fill="FFFFFF" w:val="clear"/>
        </w:rPr>
        <w:t xml:space="preserve"> </w:t>
      </w:r>
      <w:r>
        <w:rPr>
          <w:rFonts w:ascii="Times New Roman;sans-serif" w:hAnsi="Times New Roman;sans-serif"/>
          <w:b/>
          <w:i/>
          <w:color w:val="000000"/>
          <w:sz w:val="20"/>
          <w:shd w:fill="FFFFFF" w:val="clear"/>
        </w:rPr>
        <w:t>Capital Stock</w:t>
      </w:r>
      <w:r>
        <w:rPr>
          <w:rFonts w:ascii="Times New Roman;sans-serif" w:hAnsi="Times New Roman;sans-serif"/>
          <w:b w:val="false"/>
          <w:color w:val="000000"/>
          <w:sz w:val="20"/>
          <w:shd w:fill="FFFFFF" w:val="clear"/>
        </w:rPr>
        <w:t xml:space="preserve">. </w:t>
      </w:r>
    </w:p>
    <w:p>
      <w:pPr>
        <w:pStyle w:val="TextBody"/>
        <w:bidi w:val="0"/>
        <w:spacing w:lineRule="auto" w:line="288" w:before="120" w:after="283"/>
        <w:jc w:val="left"/>
        <w:rPr>
          <w:shd w:fill="FFFFFF" w:val="clear"/>
        </w:rPr>
      </w:pPr>
      <w:r>
        <w:rPr>
          <w:rFonts w:ascii="Times New Roman;sans-serif" w:hAnsi="Times New Roman;sans-serif"/>
          <w:b w:val="false"/>
          <w:color w:val="000000"/>
          <w:sz w:val="20"/>
          <w:shd w:fill="FFFFFF" w:val="clear"/>
        </w:rPr>
        <w:t>A. Common Stock and Preferred Stock may be issued from time to time by the Corporation for such consideration as may be fixed by the Board of Directors of the Corporation (the “</w:t>
      </w:r>
      <w:r>
        <w:rPr>
          <w:rFonts w:ascii="Times New Roman;sans-serif" w:hAnsi="Times New Roman;sans-serif"/>
          <w:b w:val="false"/>
          <w:color w:val="000000"/>
          <w:sz w:val="20"/>
          <w:u w:val="single"/>
          <w:shd w:fill="FFFFFF" w:val="clear"/>
        </w:rPr>
        <w:t>Board of Directors</w:t>
      </w:r>
      <w:r>
        <w:rPr>
          <w:color w:val="000000"/>
          <w:shd w:fill="FFFFFF" w:val="clear"/>
        </w:rPr>
        <w:t>”</w:t>
      </w:r>
      <w:r>
        <w:rPr>
          <w:rFonts w:ascii="Times New Roman;sans-serif" w:hAnsi="Times New Roman;sans-serif"/>
          <w:b w:val="false"/>
          <w:color w:val="000000"/>
          <w:sz w:val="20"/>
          <w:shd w:fill="FFFFFF" w:val="clear"/>
        </w:rPr>
        <w:t xml:space="preserve">).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which number the Board of Directors may, except where otherwise provided in the designation of such series, increase (but not above the total number of authorized shares of Preferred Stock) or decrease (but not below the number of shares of such series then outstanding)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 The number of authorized shares of Preferred Stock or Common Stock may be increased or decreased (but not below the number of shares thereof then outstanding) without a separate class vote of the holders of shares of Common Stock or Preferred Stock irrespective of the provisions of Section 242(b)(2) of the DGCL (or any successor provision thereto), unless a vote of any such holder is required pursuant to this Amended and Restated Certificate of Incorporation (including any certificate of designation relating to any series of Preferred Stock).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V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AMENDMENT OF THE CERTIFICATE OF INCORPORATION AND BYLAWS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The Corporation reserves the right at any time, and from time to time, to alter, amend, repeal or rescind, in whole or in part, any provision of this Amended and Restated Certificate of Incorporation, or to adopt any provision inconsistent therewith, and other provisions authorized by the laws of the State of Delaware at the time in force may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5145"/>
                <wp:effectExtent l="0" t="0" r="0" b="0"/>
                <wp:wrapNone/>
                <wp:docPr id="14" name="Frame1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be added or inserted, in the manner now or hereafter prescribed by the laws of the State of Delaware, and all powers, preferences and rights of any nature conferred upon stockholders, directors or any other persons by and pursuant to this Amended and Restated Certificate of Incorporation in its present form or as hereafter amended are granted subject to this reservation. Notwithstanding anything herein to the contrary, any amendment to this Amended and Restated Certificate of Incorporation effecting changes set forth in (i) Section 242(d)(1) of the DGCL can be effected without a stockholder vote and (ii) Section 242(d)(2) of the DGCL shall only require the vote of stockholders set forth in Section 242(d)(2) of the DGCL. For the purposes of this Amended and Restated Certificate of Incorporation, beneficial ownership of shares shall be determined in accordance with Rule 13d-3 promulgated under the Securities Exchange Act of 1934, as amended (the “</w:t>
      </w:r>
      <w:r>
        <w:rPr>
          <w:rFonts w:ascii="Times New Roman;sans-serif" w:hAnsi="Times New Roman;sans-serif"/>
          <w:b w:val="false"/>
          <w:color w:val="000000"/>
          <w:sz w:val="20"/>
          <w:u w:val="single"/>
          <w:shd w:fill="FFFFFF" w:val="clear"/>
        </w:rPr>
        <w:t>Exchange Act</w:t>
      </w:r>
      <w:r>
        <w:rPr>
          <w:color w:val="000000"/>
          <w:shd w:fill="FFFFFF" w:val="clear"/>
        </w:rPr>
        <w:t>”</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B. The Board of Directors is expressly authorized to make, repeal, alter, amend and rescind, in whole or in part, the amended and restated bylaws of the Corporation (as in effect from time to time, the “</w:t>
      </w:r>
      <w:r>
        <w:rPr>
          <w:rFonts w:ascii="Times New Roman;sans-serif" w:hAnsi="Times New Roman;sans-serif"/>
          <w:b w:val="false"/>
          <w:color w:val="000000"/>
          <w:sz w:val="20"/>
          <w:u w:val="single"/>
          <w:shd w:fill="FFFFFF" w:val="clear"/>
        </w:rPr>
        <w:t>Bylaws</w:t>
      </w:r>
      <w:r>
        <w:rPr>
          <w:color w:val="000000"/>
          <w:shd w:fill="FFFFFF" w:val="clear"/>
        </w:rPr>
        <w:t>”</w:t>
      </w:r>
      <w:r>
        <w:rPr>
          <w:rFonts w:ascii="Times New Roman;sans-serif" w:hAnsi="Times New Roman;sans-serif"/>
          <w:b w:val="false"/>
          <w:color w:val="000000"/>
          <w:sz w:val="20"/>
          <w:shd w:fill="FFFFFF" w:val="clear"/>
        </w:rPr>
        <w:t xml:space="preserve">) without the assent or vote of the stockholders in any manner not inconsistent with the laws of the State of Delaware or this Amended and Restated Certificate of Incorporation. Notwithstanding anything to the contrary contained in this Amended and Restated Certificate of Incorporation or any provision of law which might otherwise permit a lesser vote of the stockholders, the affirmative vote of the holders of at least a majority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VI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BOARD OF DIRECTORS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A. Except as otherwise provided in this Amended and Restated Certificate of Incorporation or the DGCL, the business and affairs of the Corporation shall be managed by or under the direction of the Board of Directors.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constituting the whole Board of Directors shall be determined from time to time exclusively by resolution adopted by the Board of Directors. Prior to the annual meeting of stockholders to be held in 2028 (the “</w:t>
      </w:r>
      <w:r>
        <w:rPr>
          <w:rFonts w:ascii="Times New Roman;sans-serif" w:hAnsi="Times New Roman;sans-serif"/>
          <w:b w:val="false"/>
          <w:color w:val="000000"/>
          <w:sz w:val="20"/>
          <w:u w:val="single"/>
          <w:shd w:fill="FFFFFF" w:val="clear"/>
        </w:rPr>
        <w:t>2028 Annual Meeting</w:t>
      </w:r>
      <w:r>
        <w:rPr>
          <w:color w:val="000000"/>
          <w:shd w:fill="FFFFFF" w:val="clear"/>
        </w:rPr>
        <w:t>”</w:t>
      </w:r>
      <w:r>
        <w:rPr>
          <w:rFonts w:ascii="Times New Roman;sans-serif" w:hAnsi="Times New Roman;sans-serif"/>
          <w:b w:val="false"/>
          <w:color w:val="000000"/>
          <w:sz w:val="20"/>
          <w:shd w:fill="FFFFFF" w:val="clear"/>
        </w:rPr>
        <w:t>), the directors (other than those directors elected by the holders of any series of Preferred Stock, voting separately as a series or together with one or more other such series, as the case may be) shall be divided into three classes designated Class I, Class II and Class III and, until the election of directors at the 2028 Annual Meeting, in case of any increase or decrease, from time to time, in the number of directors (other than Preferred Stock Directors), the number of directors in each class shall be apportioned in the manner determined by the Board. Directors elected or appointed prior to the 2026 annual meeting of stockholders shall continue to serve out the remainder of their current terms; directors with terms expiring at the annual meeting of stockholders to be held in 2026 shall serve out the remainder of their current terms, and they and any successors shall stand for re-election to a two-year term at the annual meeting of stockholders to be held in 2026; and directors with terms expiring at the annual meeting of stockholders to be held in 2027 shall serve out the remainder of their current terms, and they and any successors shall stand for re-election to a one-year term at the annual meeting to be held in 2027. From and after the election of directors at the 2028 Annual Meeting, the Board shall cease to be classified and each director shall be elected for a term expiring at the next annual meeting of stockholders. In no case shall a decrease in the number of directors remove or shorten the term of any incumbent director. Notwithstanding the foregoing, each director shall hold office until the annual meeting at which his or her term expires and until his or her successor shall be elected and qualified, or his or her earlier death, resignation, retirement, disqualification or removal from office.</w:t>
      </w:r>
    </w:p>
    <w:p>
      <w:pPr>
        <w:pStyle w:val="TextBody"/>
        <w:bidi w:val="0"/>
        <w:spacing w:before="240" w:after="283"/>
        <w:jc w:val="left"/>
        <w:rPr/>
      </w:pPr>
      <w:r>
        <w:rPr/>
      </w:r>
    </w:p>
    <w:p>
      <w:pPr>
        <w:pStyle w:val="TextBody"/>
        <w:bidi w:val="0"/>
        <w:spacing w:lineRule="auto" w:line="288"/>
        <w:jc w:val="left"/>
        <w:rPr>
          <w:shd w:fill="FFFFFF" w:val="clear"/>
        </w:rPr>
      </w:pPr>
      <w:r>
        <w:rPr>
          <w:rFonts w:ascii="Times New Roman;sans-serif" w:hAnsi="Times New Roman;sans-serif"/>
          <w:b w:val="false"/>
          <w:color w:val="000000"/>
          <w:sz w:val="20"/>
          <w:shd w:fill="FFFFFF" w:val="clear"/>
        </w:rPr>
        <w:t>B. Subject to the rights granted to the holders of any one or more series of Preferred Stock then outstanding or the rights granted pursuant to the Stockholders Agreement, to be dated on or about October 6, 2020 (as the same may be amended, supplemented, restated or otherwise modified from time to time, the “</w:t>
      </w:r>
      <w:r>
        <w:rPr>
          <w:rFonts w:ascii="Times New Roman;sans-serif" w:hAnsi="Times New Roman;sans-serif"/>
          <w:b w:val="false"/>
          <w:color w:val="000000"/>
          <w:sz w:val="20"/>
          <w:u w:val="single"/>
          <w:shd w:fill="FFFFFF" w:val="clear"/>
        </w:rPr>
        <w:t>Stockholders Agreement</w:t>
      </w:r>
      <w:r>
        <w:rPr>
          <w:color w:val="000000"/>
          <w:shd w:fill="FFFFFF" w:val="clear"/>
        </w:rPr>
        <w:t>”</w:t>
      </w:r>
      <w:r>
        <w:rPr>
          <w:rFonts w:ascii="Times New Roman;sans-serif" w:hAnsi="Times New Roman;sans-serif"/>
          <w:b w:val="false"/>
          <w:color w:val="000000"/>
          <w:sz w:val="20"/>
          <w:shd w:fill="FFFFFF" w:val="clear"/>
        </w:rPr>
        <w:t xml:space="preserve">), by and among the Corporation, and certain affiliates of Kohlberg Kravis Roberts &amp; Co. L.P. (together with its affiliates and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5145"/>
                <wp:effectExtent l="0" t="0" r="0" b="0"/>
                <wp:wrapNone/>
                <wp:docPr id="15" name="Frame14"/>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shd w:fill="FFFFFF" w:val="clear"/>
        </w:rPr>
      </w:pPr>
      <w:r>
        <w:rPr>
          <w:rFonts w:ascii="Times New Roman;sans-serif" w:hAnsi="Times New Roman;sans-serif"/>
          <w:b w:val="false"/>
          <w:color w:val="000000"/>
          <w:sz w:val="20"/>
          <w:shd w:fill="FFFFFF" w:val="clear"/>
        </w:rPr>
        <w:t>subsidiaries and its and their successors and assigns (other than the Corporation and its subsidiaries), collectively, “</w:t>
      </w:r>
      <w:r>
        <w:rPr>
          <w:rFonts w:ascii="Times New Roman;sans-serif" w:hAnsi="Times New Roman;sans-serif"/>
          <w:b w:val="false"/>
          <w:color w:val="000000"/>
          <w:sz w:val="20"/>
          <w:u w:val="single"/>
          <w:shd w:fill="FFFFFF" w:val="clear"/>
        </w:rPr>
        <w:t>KKR</w:t>
      </w:r>
      <w:r>
        <w:rPr>
          <w:color w:val="000000"/>
          <w:shd w:fill="FFFFFF" w:val="clear"/>
        </w:rPr>
        <w:t>”</w:t>
      </w:r>
      <w:r>
        <w:rPr>
          <w:rFonts w:ascii="Times New Roman;sans-serif" w:hAnsi="Times New Roman;sans-serif"/>
          <w:b w:val="false"/>
          <w:color w:val="000000"/>
          <w:sz w:val="20"/>
          <w:shd w:fill="FFFFFF" w:val="clear"/>
        </w:rPr>
        <w:t xml:space="preserve">) , any newly created directorship on the Board of Directors that results from an increase in the number of directors and any vacancy occurring in the Board of Directors shall, unless otherwise required by law or by resolution of the Board of Directors, be filled only by a majority of the directors then in office (other than the directors elected by the holders of any series of Preferred Stock, voting separately as a series or together with one or more other such series, as the case may be), even if less than a quorum, or by any such sole remaining director (and not by the stockholders). Any director elected to fill a vacancy or newly created directorship shall hold office (i) in the case of any vacancy or newly created directorship so filled prior to the 2028 Annual Meeting, until the next election of the class for which such director shall have been chosen and until his or her successor shall be elected and qualified, or until his or her earlier death, resignation, retirement, disqualification or removal and (ii) in the case of any vacancy or newly created directorship so filled at or after the 2028 Annual Meeting, until the next annual meeting of stockholders and until his or her successor shall be elected and qualified, or until his or her earlier death, resignation, retirement, disqualification or removal.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Any or all of the directors (other than the directors elected by the holders of any series of Preferred Stock, voting separately as a series or together with one or more other such series, as the case may be) may be removed (i) prior to the 2028 Annual Meeting, only for cause and (ii) from and after the 2028 Annual Meeting, with or without case, and, in each case, only by the affirmative vote of the holders of at least 66 2⁄3% in voting power of all the then-outstanding shares of stock of the Corporation entitled to vote thereon, voting together as a single class.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Elections of directors need not be by written ballot unless the Bylaws shall so provide.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automatically be reduced accordingly.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VII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LIMITATION OF DIRECTOR LIABILITY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Neither the amendment nor repeal of this Article VII, nor the adoption of any provision of this Amended and Restated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5145"/>
                <wp:effectExtent l="0" t="0" r="0" b="0"/>
                <wp:wrapNone/>
                <wp:docPr id="16" name="Frame15"/>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VIII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CONSENT OF STOCKHOLDERS IN LIEU OF MEETING, ANNUAL AND SPECIAL MEETINGS OF STOCKHOLDERS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 xml:space="preserve">A. At any time when KKR beneficially owns, in the aggregate, at least 40% in voting power of the stock of the Corporation entitled to vote generally in the election of directors,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accordance with the applicable procedures of the DGCL. At any time when KKR beneficially owns,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however</w:t>
      </w:r>
      <w:r>
        <w:rPr>
          <w:rFonts w:ascii="Times New Roman;sans-serif" w:hAnsi="Times New Roman;sans-serif"/>
          <w:b w:val="false"/>
          <w:color w:val="000000"/>
          <w:sz w:val="20"/>
          <w:shd w:fill="FFFFFF" w:val="clear"/>
        </w:rPr>
        <w:t xml:space="preserve">,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 xml:space="preserve">B. Except as otherwise required by law and subject to the rights of the holders of any series of Preferred Stock, special meetings of the stockholders of the Corporation for any purpose or purposes may be called at any time only by or at the direction of the Board of Directors or the Chairman of the Board of Directors; </w:t>
      </w: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however</w:t>
      </w:r>
      <w:r>
        <w:rPr>
          <w:rFonts w:ascii="Times New Roman;sans-serif" w:hAnsi="Times New Roman;sans-serif"/>
          <w:b w:val="false"/>
          <w:color w:val="000000"/>
          <w:sz w:val="20"/>
          <w:shd w:fill="FFFFFF" w:val="clear"/>
        </w:rPr>
        <w:t xml:space="preserve">, that at any time when KKR beneficially owns, in the aggregate, at least 40% in voting power of the stock of the Corporation entitled to vote generally in the election of directors, special meetings of the stockholders of the Corporation for any purpose or purposes shall also be called by or at the direction of the Board of Directors or the Chairman of the Board of Directors at the request of KKR.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of Directors or a duly authorized committee thereof.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IX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COMPETITION AND CORPORATE OPPORTUNITIES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A. In recognition and anticipation that (i) certain directors, principals, members, officers, associated funds, employees and/or other representatives of KKR and its Affiliates may serve as directors, officers or agents of the Corporation, (ii) KKR and its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of Directors who are not employees of the Corporation (“</w:t>
      </w:r>
      <w:r>
        <w:rPr>
          <w:rFonts w:ascii="Times New Roman;sans-serif" w:hAnsi="Times New Roman;sans-serif"/>
          <w:b w:val="false"/>
          <w:color w:val="000000"/>
          <w:sz w:val="20"/>
          <w:u w:val="single"/>
          <w:shd w:fill="FFFFFF" w:val="clear"/>
        </w:rPr>
        <w:t>Non-Employee Directors</w:t>
      </w:r>
      <w:r>
        <w:rPr>
          <w:color w:val="000000"/>
          <w:shd w:fill="FFFFFF" w:val="clear"/>
        </w:rPr>
        <w:t>”</w:t>
      </w:r>
      <w:r>
        <w:rPr>
          <w:rFonts w:ascii="Times New Roman;sans-serif" w:hAnsi="Times New Roman;sans-serif"/>
          <w:b w:val="false"/>
          <w:color w:val="000000"/>
          <w:sz w:val="20"/>
          <w:shd w:fill="FFFFFF" w:val="clear"/>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IX are set forth to regulate and define the conduct of certain affairs of the Corporation with respect to certain classes or categories of business opportunities as they may involve KKR, the Non-Employee Directors or their respective Affiliates and the powers, rights, duties and liabilities of the Corporation and its directors, officers and stockholders in connection therewith, subject to the provisions set out in the Stockholders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5145"/>
                <wp:effectExtent l="0" t="0" r="0" b="0"/>
                <wp:wrapNone/>
                <wp:docPr id="17" name="Frame16"/>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B. None of (i) KKR or any of its Affiliates or (ii) any Non-Employee Director (including any Non-Employee Director who serves as an officer of the Corporation in both his or her director and officer capacities) or his or her Affiliates (the Persons (as defined below) identified in (i) and (ii) above being referred to, collectively, as “</w:t>
      </w:r>
      <w:r>
        <w:rPr>
          <w:rFonts w:ascii="Times New Roman;sans-serif" w:hAnsi="Times New Roman;sans-serif"/>
          <w:b w:val="false"/>
          <w:color w:val="000000"/>
          <w:sz w:val="20"/>
          <w:u w:val="single"/>
          <w:shd w:fill="FFFFFF" w:val="clear"/>
        </w:rPr>
        <w:t>Identified Persons</w:t>
      </w:r>
      <w:r>
        <w:rPr>
          <w:color w:val="000000"/>
          <w:shd w:fill="FFFFFF" w:val="clear"/>
        </w:rPr>
        <w:t xml:space="preserve">” </w:t>
      </w:r>
      <w:r>
        <w:rPr>
          <w:rFonts w:ascii="Times New Roman;sans-serif" w:hAnsi="Times New Roman;sans-serif"/>
          <w:b w:val="false"/>
          <w:color w:val="000000"/>
          <w:sz w:val="20"/>
          <w:shd w:fill="FFFFFF" w:val="clear"/>
        </w:rPr>
        <w:t>and, individually, as an “</w:t>
      </w:r>
      <w:r>
        <w:rPr>
          <w:rFonts w:ascii="Times New Roman;sans-serif" w:hAnsi="Times New Roman;sans-serif"/>
          <w:b w:val="false"/>
          <w:color w:val="000000"/>
          <w:sz w:val="20"/>
          <w:u w:val="single"/>
          <w:shd w:fill="FFFFFF" w:val="clear"/>
        </w:rPr>
        <w:t>Identified Person</w:t>
      </w:r>
      <w:r>
        <w:rPr>
          <w:color w:val="000000"/>
          <w:shd w:fill="FFFFFF" w:val="clear"/>
        </w:rPr>
        <w:t>”</w:t>
      </w:r>
      <w:r>
        <w:rPr>
          <w:rFonts w:ascii="Times New Roman;sans-serif" w:hAnsi="Times New Roman;sans-serif"/>
          <w:b w:val="false"/>
          <w:color w:val="000000"/>
          <w:sz w:val="20"/>
          <w:shd w:fill="FFFFFF" w:val="clear"/>
        </w:rPr>
        <w:t xml:space="preserve">)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(D) of this Article IX. Subject to said Section (D) of this Article IX, in the event that any Identified Person acquires knowledge of a potential transaction or other matter or business opportunity which may be a corporate opportunity for itself, herself or himself and the Corporation or any of its Affiliates, such Identified Person shall, to the fullest extent permitted by law, have no fiduciary duty or other duty (contractual or otherwise) to communicate, present or offer such transaction or other business opportunity to the Corporation or any of its Affiliates and, to the fullest extent permitted by law, shall not be liable to the Corporation or its stockholders or to any Affiliate of the Corporation for breach of any fiduciary duty or other duty (contractual or otherwise) as a stockholder, director or officer of the Corporation solely by reason of the fact that such Identified Person pursues or acquires such corporate opportunity for itself, herself or himself, offers or directs such corporate opportunity to another Person, or does not present such corporate opportunity to the Corporation or any of its Affiliates.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The Corporation and its Affiliates do not have any rights in and to the business ventures of any Identified Person, or the income or profits derived therefrom, and the Corporation agrees that each of the Identified Persons may do business with any potential or actual customer or supplier of the Corporation or may employ or otherwise engage any officer or employee of the Corporation.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IX shall not apply to any such corporate opportunity.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 In addition to and notwithstanding the foregoing provisions of this Article IX,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F. For purposes of this Article IX, (i) “</w:t>
      </w:r>
      <w:r>
        <w:rPr>
          <w:rFonts w:ascii="Times New Roman;sans-serif" w:hAnsi="Times New Roman;sans-serif"/>
          <w:b w:val="false"/>
          <w:color w:val="000000"/>
          <w:sz w:val="20"/>
          <w:u w:val="single"/>
          <w:shd w:fill="FFFFFF" w:val="clear"/>
        </w:rPr>
        <w:t>Affiliate</w:t>
      </w:r>
      <w:r>
        <w:rPr>
          <w:color w:val="000000"/>
          <w:shd w:fill="FFFFFF" w:val="clear"/>
        </w:rPr>
        <w:t xml:space="preserve">” </w:t>
      </w:r>
      <w:r>
        <w:rPr>
          <w:rFonts w:ascii="Times New Roman;sans-serif" w:hAnsi="Times New Roman;sans-serif"/>
          <w:b w:val="false"/>
          <w:color w:val="000000"/>
          <w:sz w:val="20"/>
          <w:shd w:fill="FFFFFF" w:val="clear"/>
        </w:rPr>
        <w:t>shall mean (a) in respect of KKR, any Person that, directly or indirectly, is controlled by KKR, controls KKR, or is under common control with KKR, and shall include any principal, member, director, partner, stockholder, officer, employee or other representative of any of the foregoing (other than the Corporation and any Person that is controlled by the Corporation), (b) in respect of a Non-Employee Director, any Person that, directly or indirectly, is controlled by such Non-Employee Director (other than the Corporation and any entity that is controlled by the Corporation) and (c) in respect of the Corporation, any Person that, directly or indirectly, is controlled by the Corporation; and (ii) “</w:t>
      </w:r>
      <w:r>
        <w:rPr>
          <w:rFonts w:ascii="Times New Roman;sans-serif" w:hAnsi="Times New Roman;sans-serif"/>
          <w:b w:val="false"/>
          <w:color w:val="000000"/>
          <w:sz w:val="20"/>
          <w:u w:val="single"/>
          <w:shd w:fill="FFFFFF" w:val="clear"/>
        </w:rPr>
        <w:t>Person</w:t>
      </w:r>
      <w:r>
        <w:rPr>
          <w:color w:val="000000"/>
          <w:shd w:fill="FFFFFF" w:val="clear"/>
        </w:rPr>
        <w:t xml:space="preserve">” </w:t>
      </w:r>
      <w:r>
        <w:rPr>
          <w:rFonts w:ascii="Times New Roman;sans-serif" w:hAnsi="Times New Roman;sans-serif"/>
          <w:b w:val="false"/>
          <w:color w:val="000000"/>
          <w:sz w:val="20"/>
          <w:shd w:fill="FFFFFF" w:val="clear"/>
        </w:rPr>
        <w:t xml:space="preserve">shall mean any individual, corporation, general or limited partnership, limited liability company, joint venture, trust, association or any other entity.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G. To the fullest extent permitted by law, any Person purchasing or otherwise acquiring any interest in any shares of capital stock of the Corporation shall be deemed to have notice of and to have consented to the provisions of this Article IX. Neither the alteration, amendment, addition to or repeal of this Article IX, nor the adoption of any provision of this Amended and Restated Certificate of Incorporation (including any certificate of designation relating to any series of Preferred Stock) inconsistent with this Article IX, shall eliminate or reduce the effect of this Article IX in respect of any business opportunity first identified or any other matter occurring, or any cause of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5145"/>
                <wp:effectExtent l="0" t="0" r="0" b="0"/>
                <wp:wrapNone/>
                <wp:docPr id="18" name="Frame17"/>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action, suit or claim that, but for this Article IX, would accrue or arise, prior to such alteration, amendment, addition, repeal or adoption. </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X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DGCL SECTION 203 AND BUSINESS COMBINATIONS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The Corporation hereby expressly elects not to be governed by Section 203 of the DGCL.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such time, the Board of Directors approved either the business combination or the transaction which resulted in the stockholder becoming an interested stockholder,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or subsequent to such time, the business combination is approved by the Board of Directors and authorized at an annual or special meeting of stockholders, and not by written consent, by the affirmative vote of at least 662⁄3% of the outstanding voting stock of the Corporation which is not owned by the interested stockholder. </w:t>
            </w:r>
          </w:p>
        </w:tc>
      </w:tr>
    </w:tbl>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 For purposes of this Article X, references to: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17"/>
        <w:gridCol w:w="1457"/>
        <w:gridCol w:w="1457"/>
        <w:gridCol w:w="1457"/>
        <w:gridCol w:w="1457"/>
        <w:gridCol w:w="2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 xml:space="preserve">means a person that directly, or indirectly through one or more intermediaries, controls, or is controlled by, or is under common control with, another person.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associate</w:t>
            </w:r>
            <w:r>
              <w:rPr>
                <w:rFonts w:ascii="Times New Roman;sans-serif" w:hAnsi="Times New Roman;sans-serif"/>
                <w:b w:val="false"/>
                <w:color w:val="000000"/>
                <w:sz w:val="20"/>
              </w:rPr>
              <w:t xml:space="preserv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KKR Direct Transferee</w:t>
            </w:r>
            <w:r>
              <w:rPr>
                <w:color w:val="000000"/>
              </w:rPr>
              <w:t xml:space="preserve">” </w:t>
            </w:r>
            <w:r>
              <w:rPr>
                <w:rFonts w:ascii="Times New Roman;sans-serif" w:hAnsi="Times New Roman;sans-serif"/>
                <w:b w:val="false"/>
                <w:color w:val="000000"/>
                <w:sz w:val="20"/>
              </w:rPr>
              <w:t xml:space="preserve">means any person that acquires (other than in a registered public offering or through a broker’s transaction executed on any securities exchange or other over-the-counter market) directly from any of KKR or its affiliates or successors or any “group,” or any member of any such group, of which such persons are a party under Rule 13d-5 of the Exchange Act beneficial ownership of 5% or more of the then-outstanding voting stock of the Corporation.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KKR Indirect Transferee</w:t>
            </w:r>
            <w:r>
              <w:rPr>
                <w:color w:val="000000"/>
              </w:rPr>
              <w:t xml:space="preserve">” </w:t>
            </w:r>
            <w:r>
              <w:rPr>
                <w:rFonts w:ascii="Times New Roman;sans-serif" w:hAnsi="Times New Roman;sans-serif"/>
                <w:b w:val="false"/>
                <w:color w:val="000000"/>
                <w:sz w:val="20"/>
              </w:rPr>
              <w:t xml:space="preserve">means any person that acquires (other than in a registered public offering or through a broker’s transaction executed on any securities exchange or other over-the-counter market) directly from any KKR Direct Transferee or any other KKR Indirect Transferee beneficial ownership of 5% or more of the then-outstanding voting stock of the Corporation.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business combination</w:t>
            </w:r>
            <w:r>
              <w:rPr>
                <w:rFonts w:ascii="Times New Roman;sans-serif" w:hAnsi="Times New Roman;sans-serif"/>
                <w:b w:val="false"/>
                <w:color w:val="000000"/>
                <w:sz w:val="20"/>
              </w:rPr>
              <w:t xml:space="preserve">,” when used in reference to the Corporation and any interested stockholder of the Corporation, means: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5145"/>
                <wp:effectExtent l="0" t="0" r="0" b="0"/>
                <wp:wrapNone/>
                <wp:docPr id="19" name="Frame18"/>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 is not applicable to the surviving entity;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6"/>
        <w:gridCol w:w="116"/>
        <w:gridCol w:w="117"/>
        <w:gridCol w:w="2690"/>
        <w:gridCol w:w="2690"/>
        <w:gridCol w:w="3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any such subsidiary which is owned by the interested stockholder, except as a result of immaterial changes due to fractional share adjustments or as a result of any purchase or redemption of any shares of stock not caused, directly or indirectly, by the interested shareholder; or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9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25145"/>
                <wp:effectExtent l="0" t="0" r="0" b="0"/>
                <wp:wrapNone/>
                <wp:docPr id="20" name="Frame19"/>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4"/>
        <w:gridCol w:w="1484"/>
        <w:gridCol w:w="1484"/>
        <w:gridCol w:w="1484"/>
        <w:gridCol w:w="1484"/>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control</w:t>
            </w:r>
            <w:r>
              <w:rPr>
                <w:rFonts w:ascii="Times New Roman;sans-serif" w:hAnsi="Times New Roman;sans-serif"/>
                <w:b w:val="false"/>
                <w:color w:val="000000"/>
                <w:sz w:val="20"/>
              </w:rPr>
              <w:t>,” including the terms “</w:t>
            </w:r>
            <w:r>
              <w:rPr>
                <w:rFonts w:ascii="Times New Roman;sans-serif" w:hAnsi="Times New Roman;sans-serif"/>
                <w:b w:val="false"/>
                <w:color w:val="000000"/>
                <w:sz w:val="20"/>
                <w:u w:val="single"/>
              </w:rPr>
              <w:t>controlling</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controlled by</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under common control with</w:t>
            </w:r>
            <w:r>
              <w:rPr>
                <w:rFonts w:ascii="Times New Roman;sans-serif" w:hAnsi="Times New Roman;sans-serif"/>
                <w:b w:val="false"/>
                <w:color w:val="000000"/>
                <w:sz w:val="20"/>
              </w:rPr>
              <w:t xml:space="preserve">,”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 as an agent, bank, broker, nominee, custodian or trustee for one or more owners who do not individually or as a group have control of such entity.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interested stockholder</w:t>
            </w:r>
            <w:r>
              <w:rPr>
                <w:color w:val="000000"/>
              </w:rPr>
              <w:t xml:space="preserve">” </w:t>
            </w:r>
            <w:r>
              <w:rPr>
                <w:rFonts w:ascii="Times New Roman;sans-serif" w:hAnsi="Times New Roman;sans-serif"/>
                <w:b w:val="false"/>
                <w:color w:val="000000"/>
                <w:sz w:val="20"/>
              </w:rPr>
              <w:t xml:space="preserve">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or be deemed to include, in any case, (a) KKR, any KKR Direct Transferee, any KKR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1"/>
        <w:gridCol w:w="371"/>
        <w:gridCol w:w="371"/>
        <w:gridCol w:w="2937"/>
        <w:gridCol w:w="2252"/>
        <w:gridCol w:w="3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owner</w:t>
            </w:r>
            <w:r>
              <w:rPr>
                <w:rFonts w:ascii="Times New Roman;sans-serif" w:hAnsi="Times New Roman;sans-serif"/>
                <w:b w:val="false"/>
                <w:color w:val="000000"/>
                <w:sz w:val="20"/>
              </w:rPr>
              <w:t>,” including the terms “</w:t>
            </w:r>
            <w:r>
              <w:rPr>
                <w:rFonts w:ascii="Times New Roman;sans-serif" w:hAnsi="Times New Roman;sans-serif"/>
                <w:b w:val="false"/>
                <w:color w:val="000000"/>
                <w:sz w:val="20"/>
                <w:u w:val="single"/>
              </w:rPr>
              <w:t>own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owned</w:t>
            </w:r>
            <w:r>
              <w:rPr>
                <w:rFonts w:ascii="Times New Roman;sans-serif" w:hAnsi="Times New Roman;sans-serif"/>
                <w:b w:val="false"/>
                <w:color w:val="000000"/>
                <w:sz w:val="20"/>
              </w:rPr>
              <w:t xml:space="preserve">,” when used with respect to any stock, means a person that individually or with or through any of its affiliates or associates: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beneficially owns such stock, directly or indirectly; or </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842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25145"/>
                <wp:effectExtent l="0" t="0" r="0" b="0"/>
                <wp:wrapNone/>
                <wp:docPr id="21" name="Frame20"/>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0"/>
        <w:gridCol w:w="120"/>
        <w:gridCol w:w="121"/>
        <w:gridCol w:w="2687"/>
        <w:gridCol w:w="2687"/>
        <w:gridCol w:w="3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9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 xml:space="preserve">means any individual, corporation, partnership, unincorporated association or other entity.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stock</w:t>
            </w:r>
            <w:r>
              <w:rPr>
                <w:color w:val="000000"/>
              </w:rPr>
              <w:t xml:space="preserve">” </w:t>
            </w:r>
            <w:r>
              <w:rPr>
                <w:rFonts w:ascii="Times New Roman;sans-serif" w:hAnsi="Times New Roman;sans-serif"/>
                <w:b w:val="false"/>
                <w:color w:val="000000"/>
                <w:sz w:val="20"/>
              </w:rPr>
              <w:t xml:space="preserve">means, with respect to any corporation, capital stock and, with respect to any other entity, any equity interest.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53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ans-serif" w:hAnsi="Times New Roman;sans-serif"/>
                <w:b w:val="false"/>
                <w:color w:val="000000"/>
                <w:sz w:val="20"/>
                <w:u w:val="single"/>
              </w:rPr>
              <w:t>voting stock</w:t>
            </w:r>
            <w:r>
              <w:rPr>
                <w:color w:val="000000"/>
              </w:rPr>
              <w:t xml:space="preserve">” </w:t>
            </w:r>
            <w:r>
              <w:rPr>
                <w:rFonts w:ascii="Times New Roman;sans-serif" w:hAnsi="Times New Roman;sans-serif"/>
                <w:b w:val="false"/>
                <w:color w:val="000000"/>
                <w:sz w:val="20"/>
              </w:rPr>
              <w:t xml:space="preserve">means stock of any class or series entitled to vote generally in the election of directors.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ARTICLE XI </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MISCELLANEOUS </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 </w:t>
      </w:r>
    </w:p>
    <w:p>
      <w:pPr>
        <w:pStyle w:val="TextBody"/>
        <w:bidi w:val="0"/>
        <w:spacing w:lineRule="auto" w:line="288" w:before="240" w:after="283"/>
        <w:jc w:val="left"/>
        <w:rPr>
          <w:shd w:fill="FFFFFF" w:val="clear"/>
        </w:rPr>
      </w:pPr>
      <w:r>
        <w:rPr>
          <w:rFonts w:ascii="Times New Roman;sans-serif" w:hAnsi="Times New Roman;sans-serif"/>
          <w:b w:val="false"/>
          <w:color w:val="000000"/>
          <w:sz w:val="20"/>
          <w:shd w:fill="FFFFFF" w:val="clear"/>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officer or other employee or stockholder of the Corporation to the Corporation or the Corporation’s stockholders, creditors or other constituents, (iii) any action asserting a claim against the Corporation or any director or officer of the Corporation arising pursuant to any provision of the DGCL or this Amended and Restated Certificate of Incorporation or the Bylaws (as either may be amended and/or restated from time to time) or as to which the DGCL confers jurisdiction on the Court of Chancery of the State of Delaware, or (iv) any action asserting a claim against the Corporation or any director or officer of the Corporation governed by the internal affairs doctrine; </w:t>
      </w: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that, if and only if the Court of Chancery of the State of Delaware dismisses any such action for lack of subject matter jurisdiction, such action may be brought in another state court sitting in the State of Delaware. Unless the Corporation consents in writing to the selection of an alternative forum, to the fullest extent permitted by law, the federal district courts of the United States will be the exclusive forum for resolving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XI(B).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5145"/>
                <wp:effectExtent l="0" t="0" r="0" b="0"/>
                <wp:wrapNone/>
                <wp:docPr id="22" name="Frame2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XII</w:t>
      </w:r>
    </w:p>
    <w:p>
      <w:pPr>
        <w:pStyle w:val="TextBody"/>
        <w:bidi w:val="0"/>
        <w:spacing w:lineRule="auto" w:line="288" w:before="240" w:after="283"/>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LIMITATION OF OFFICER LIABILITY</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To the fullest extent permitted by the DGCL as it now exists or may hereafter be amended, an officer of the Corporation shall not be personally liable to the Corporation or its stockholders for monetary damages for breach of fiduciary duty owed to the Corporation or its stockholders.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Neither the amendment nor repeal of this Article XII, nor the adoption of any provision of this Amended and Restated Certificate of Incorporation, nor, to the fullest extent permitted by the DGCL, any modification of law shall eliminate, reduce or otherwise adversely affect any right or protection of a current or former officer of the Corporation existing at the time of such amendment, repeal, adoption or modification.</w:t>
      </w:r>
    </w:p>
    <w:p>
      <w:pPr>
        <w:pStyle w:val="TextBody"/>
        <w:bidi w:val="0"/>
        <w:spacing w:before="240" w:after="283"/>
        <w:jc w:val="left"/>
        <w:rPr/>
      </w:pPr>
      <w:r>
        <w:rPr/>
      </w:r>
    </w:p>
    <w:p>
      <w:pPr>
        <w:pStyle w:val="TextBody"/>
        <w:bidi w:val="0"/>
        <w:spacing w:lineRule="auto" w:line="288" w:before="240" w:after="283"/>
        <w:jc w:val="center"/>
        <w:rPr>
          <w:shd w:fill="FFFFFF" w:val="clear"/>
        </w:rPr>
      </w:pP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Remainder of Page Intentionally Left Blank</w:t>
      </w:r>
      <w:r>
        <w:rPr>
          <w:rFonts w:ascii="Times New Roman;sans-serif" w:hAnsi="Times New Roman;sans-serif"/>
          <w:b w:val="false"/>
          <w:color w:val="000000"/>
          <w:sz w:val="20"/>
          <w:shd w:fill="FFFFFF" w:val="clear"/>
        </w:rPr>
        <w:t xml:space="preserv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5145"/>
                <wp:effectExtent l="0" t="0" r="0" b="0"/>
                <wp:wrapNone/>
                <wp:docPr id="23" name="Frame22"/>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IN WITNESS WHEREOF</w:t>
      </w:r>
      <w:r>
        <w:rPr>
          <w:rFonts w:ascii="Times New Roman;sans-serif" w:hAnsi="Times New Roman;sans-serif"/>
          <w:b w:val="false"/>
          <w:color w:val="000000"/>
          <w:sz w:val="20"/>
          <w:shd w:fill="FFFFFF" w:val="clear"/>
        </w:rPr>
        <w:t>, Academy Sports and Outdoors, Inc. has caused this Restated Certificate of Incorporation to be executed by its duly authorized officer on this 5</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day of June, 2025. </w:t>
      </w:r>
    </w:p>
    <w:tbl>
      <w:tblPr>
        <w:tblW w:w="4623" w:type="dxa"/>
        <w:jc w:val="left"/>
        <w:tblInd w:w="0" w:type="dxa"/>
        <w:tblLayout w:type="fixed"/>
        <w:tblCellMar>
          <w:top w:w="28" w:type="dxa"/>
          <w:left w:w="28" w:type="dxa"/>
          <w:bottom w:w="28" w:type="dxa"/>
          <w:right w:w="28" w:type="dxa"/>
        </w:tblCellMar>
      </w:tblPr>
      <w:tblGrid>
        <w:gridCol w:w="232"/>
        <w:gridCol w:w="205"/>
        <w:gridCol w:w="208"/>
        <w:gridCol w:w="318"/>
        <w:gridCol w:w="318"/>
        <w:gridCol w:w="318"/>
        <w:gridCol w:w="318"/>
        <w:gridCol w:w="318"/>
        <w:gridCol w:w="318"/>
        <w:gridCol w:w="606"/>
        <w:gridCol w:w="606"/>
        <w:gridCol w:w="85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9"/>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Lawrence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Lawrence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[Signature Page to Restated Certificate of Incorporation] </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5145"/>
                <wp:effectExtent l="0" t="0" r="0" b="0"/>
                <wp:wrapNone/>
                <wp:docPr id="24" name="Frame23"/>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1050741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9932</Words>
  <Characters>51786</Characters>
  <CharactersWithSpaces>61567</CharactersWithSpaces>
  <Paragraphs>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