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Lawrence Steven Paul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NORTH MASON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EVP &amp; CMO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60" w:space="3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59,162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111,337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shares withheld to cover the Reporting Person's tax liability in connection with the vesting of restricted stock units previously granted to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92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91,181 shares of common stock, par value $0.01 per share ("Common Stock"), issued in settlement of restricted stock units previously granted under the Issuer's 2011 Unit Incentive Plan, or the 2011 Equity Plan, that fully vested due to a Change of Control (as defined in the 2011 Equity Plan) that resulted from the Issuer's secondary public offering that closed on May 10, 2021.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Janet Morrow,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48845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2021-05-11T17:27:19Z</dcterms:created>
  <dcterms:modified xsi:type="dcterms:W3CDTF">2021-05-11T17:27:19Z</dcterms:modified>
</cp:coreProperties>
</file>