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176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69176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17690" cy="8255"/>
                    </a:xfrm>
                    <a:prstGeom prst="rect">
                      <a:avLst/>
                    </a:prstGeom>
                    <a:noFill/>
                  </pic:spPr>
                </pic:pic>
              </a:graphicData>
            </a:graphic>
          </wp:anchor>
        </w:drawing>
        <w:t>UNITED STATES</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2743835</wp:posOffset>
            </wp:positionH>
            <wp:positionV relativeFrom="paragraph">
              <wp:posOffset>137160</wp:posOffset>
            </wp:positionV>
            <wp:extent cx="13887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62"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2743835</wp:posOffset>
            </wp:positionH>
            <wp:positionV relativeFrom="paragraph">
              <wp:posOffset>140335</wp:posOffset>
            </wp:positionV>
            <wp:extent cx="13887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368"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June 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2743835</wp:posOffset>
            </wp:positionH>
            <wp:positionV relativeFrom="paragraph">
              <wp:posOffset>133985</wp:posOffset>
            </wp:positionV>
            <wp:extent cx="13887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8745" cy="8255"/>
                    </a:xfrm>
                    <a:prstGeom prst="rect">
                      <a:avLst/>
                    </a:prstGeom>
                    <a:noFill/>
                  </pic:spPr>
                </pic:pic>
              </a:graphicData>
            </a:graphic>
          </wp:anchor>
        </w:drawing>
        <w:drawing>
          <wp:anchor simplePos="0" relativeHeight="251657728" behindDoc="1" locked="0" layoutInCell="0" allowOverlap="1">
            <wp:simplePos x="0" y="0"/>
            <wp:positionH relativeFrom="column">
              <wp:posOffset>2538095</wp:posOffset>
            </wp:positionH>
            <wp:positionV relativeFrom="paragraph">
              <wp:posOffset>271145</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Academy Sports and Outdoors, Inc.</w:t>
      </w:r>
    </w:p>
    <w:p>
      <w:pPr>
        <w:sectPr>
          <w:pgSz w:w="11900" w:h="16838" w:orient="portrait"/>
          <w:cols w:equalWidth="0" w:num="1">
            <w:col w:w="10760"/>
          </w:cols>
          <w:pgMar w:left="340" w:top="1314" w:right="7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880"/>
        <w:spacing w:after="0"/>
        <w:rPr>
          <w:sz w:val="20"/>
          <w:szCs w:val="20"/>
          <w:color w:val="auto"/>
        </w:rPr>
      </w:pPr>
      <w:r>
        <w:rPr>
          <w:rFonts w:ascii="Arial" w:cs="Arial" w:eastAsia="Arial" w:hAnsi="Arial"/>
          <w:sz w:val="16"/>
          <w:szCs w:val="16"/>
          <w:b w:val="1"/>
          <w:bCs w:val="1"/>
          <w:color w:val="auto"/>
        </w:rPr>
        <w:t>Delaware</w:t>
      </w:r>
    </w:p>
    <w:p>
      <w:pPr>
        <w:spacing w:after="0" w:line="104" w:lineRule="exact"/>
        <w:rPr>
          <w:sz w:val="24"/>
          <w:szCs w:val="24"/>
          <w:color w:val="auto"/>
        </w:rPr>
      </w:pPr>
    </w:p>
    <w:p>
      <w:pPr>
        <w:jc w:val="both"/>
        <w:ind w:left="1180" w:firstLine="34"/>
        <w:spacing w:after="0" w:line="429" w:lineRule="auto"/>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line="1" w:lineRule="exact"/>
        <w:rPr>
          <w:sz w:val="1"/>
          <w:szCs w:val="1"/>
          <w:color w:val="auto"/>
        </w:rPr>
      </w:pPr>
    </w:p>
    <w:tbl>
      <w:tblPr>
        <w:tblLayout w:type="fixed"/>
        <w:tblInd w:w="360" w:type="dxa"/>
        <w:tblCellMar>
          <w:top w:w="0" w:type="dxa"/>
          <w:left w:w="0" w:type="dxa"/>
          <w:bottom w:w="0" w:type="dxa"/>
          <w:right w:w="0" w:type="dxa"/>
        </w:tblCellMar>
      </w:tblPr>
      <w:tr>
        <w:trPr>
          <w:trHeight w:val="206"/>
        </w:trPr>
        <w:tc>
          <w:tcPr>
            <w:tcW w:w="3840" w:type="dxa"/>
            <w:vAlign w:val="bottom"/>
            <w:gridSpan w:val="3"/>
          </w:tcPr>
          <w:p>
            <w:pPr>
              <w:jc w:val="center"/>
              <w:ind w:right="500"/>
              <w:spacing w:after="0"/>
              <w:rPr>
                <w:sz w:val="20"/>
                <w:szCs w:val="20"/>
                <w:color w:val="auto"/>
              </w:rPr>
            </w:pPr>
            <w:r>
              <w:rPr>
                <w:rFonts w:ascii="Arial" w:cs="Arial" w:eastAsia="Arial" w:hAnsi="Arial"/>
                <w:sz w:val="16"/>
                <w:szCs w:val="16"/>
                <w:color w:val="auto"/>
                <w:w w:val="91"/>
              </w:rPr>
              <w:t>(Exact name of registrant as specified in its charter)</w:t>
            </w:r>
          </w:p>
        </w:tc>
        <w:tc>
          <w:tcPr>
            <w:tcW w:w="1700" w:type="dxa"/>
            <w:vAlign w:val="bottom"/>
          </w:tcPr>
          <w:p>
            <w:pPr>
              <w:spacing w:after="0"/>
              <w:rPr>
                <w:sz w:val="17"/>
                <w:szCs w:val="17"/>
                <w:color w:val="auto"/>
              </w:rPr>
            </w:pPr>
          </w:p>
        </w:tc>
      </w:tr>
      <w:tr>
        <w:trPr>
          <w:trHeight w:val="181"/>
        </w:trPr>
        <w:tc>
          <w:tcPr>
            <w:tcW w:w="560" w:type="dxa"/>
            <w:vAlign w:val="bottom"/>
          </w:tcPr>
          <w:p>
            <w:pPr>
              <w:spacing w:after="0"/>
              <w:rPr>
                <w:sz w:val="15"/>
                <w:szCs w:val="15"/>
                <w:color w:val="auto"/>
              </w:rPr>
            </w:pPr>
          </w:p>
        </w:tc>
        <w:tc>
          <w:tcPr>
            <w:tcW w:w="2180" w:type="dxa"/>
            <w:vAlign w:val="bottom"/>
            <w:tcBorders>
              <w:bottom w:val="single" w:sz="8" w:color="auto"/>
            </w:tcBorders>
          </w:tcPr>
          <w:p>
            <w:pPr>
              <w:spacing w:after="0"/>
              <w:rPr>
                <w:sz w:val="15"/>
                <w:szCs w:val="15"/>
                <w:color w:val="auto"/>
              </w:rPr>
            </w:pPr>
          </w:p>
        </w:tc>
        <w:tc>
          <w:tcPr>
            <w:tcW w:w="110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473"/>
        </w:trPr>
        <w:tc>
          <w:tcPr>
            <w:tcW w:w="2740" w:type="dxa"/>
            <w:vAlign w:val="bottom"/>
            <w:gridSpan w:val="2"/>
          </w:tcPr>
          <w:p>
            <w:pPr>
              <w:jc w:val="center"/>
              <w:ind w:left="479"/>
              <w:spacing w:after="0"/>
              <w:rPr>
                <w:sz w:val="20"/>
                <w:szCs w:val="20"/>
                <w:color w:val="auto"/>
              </w:rPr>
            </w:pPr>
            <w:r>
              <w:rPr>
                <w:rFonts w:ascii="Arial" w:cs="Arial" w:eastAsia="Arial" w:hAnsi="Arial"/>
                <w:sz w:val="16"/>
                <w:szCs w:val="16"/>
                <w:b w:val="1"/>
                <w:bCs w:val="1"/>
                <w:color w:val="auto"/>
                <w:w w:val="91"/>
              </w:rPr>
              <w:t>001-39589</w:t>
            </w:r>
          </w:p>
        </w:tc>
        <w:tc>
          <w:tcPr>
            <w:tcW w:w="1100" w:type="dxa"/>
            <w:vAlign w:val="bottom"/>
          </w:tcPr>
          <w:p>
            <w:pPr>
              <w:spacing w:after="0"/>
              <w:rPr>
                <w:sz w:val="24"/>
                <w:szCs w:val="24"/>
                <w:color w:val="auto"/>
              </w:rPr>
            </w:pPr>
          </w:p>
        </w:tc>
        <w:tc>
          <w:tcPr>
            <w:tcW w:w="1700" w:type="dxa"/>
            <w:vAlign w:val="bottom"/>
          </w:tcPr>
          <w:p>
            <w:pPr>
              <w:jc w:val="center"/>
              <w:ind w:left="399"/>
              <w:spacing w:after="0"/>
              <w:rPr>
                <w:sz w:val="20"/>
                <w:szCs w:val="20"/>
                <w:color w:val="auto"/>
              </w:rPr>
            </w:pPr>
            <w:r>
              <w:rPr>
                <w:rFonts w:ascii="Arial" w:cs="Arial" w:eastAsia="Arial" w:hAnsi="Arial"/>
                <w:sz w:val="16"/>
                <w:szCs w:val="16"/>
                <w:b w:val="1"/>
                <w:bCs w:val="1"/>
                <w:color w:val="auto"/>
                <w:w w:val="91"/>
              </w:rPr>
              <w:t>85-1800912</w:t>
            </w:r>
          </w:p>
        </w:tc>
      </w:tr>
      <w:tr>
        <w:trPr>
          <w:trHeight w:val="243"/>
        </w:trPr>
        <w:tc>
          <w:tcPr>
            <w:tcW w:w="560" w:type="dxa"/>
            <w:vAlign w:val="bottom"/>
          </w:tcPr>
          <w:p>
            <w:pPr>
              <w:spacing w:after="0"/>
              <w:rPr>
                <w:sz w:val="21"/>
                <w:szCs w:val="21"/>
                <w:color w:val="auto"/>
              </w:rPr>
            </w:pPr>
          </w:p>
        </w:tc>
        <w:tc>
          <w:tcPr>
            <w:tcW w:w="3280" w:type="dxa"/>
            <w:vAlign w:val="bottom"/>
            <w:gridSpan w:val="2"/>
          </w:tcPr>
          <w:p>
            <w:pPr>
              <w:jc w:val="center"/>
              <w:ind w:right="1080"/>
              <w:spacing w:after="0"/>
              <w:rPr>
                <w:sz w:val="20"/>
                <w:szCs w:val="20"/>
                <w:color w:val="auto"/>
              </w:rPr>
            </w:pPr>
            <w:r>
              <w:rPr>
                <w:rFonts w:ascii="Arial" w:cs="Arial" w:eastAsia="Arial" w:hAnsi="Arial"/>
                <w:sz w:val="16"/>
                <w:szCs w:val="16"/>
                <w:color w:val="auto"/>
                <w:w w:val="94"/>
              </w:rPr>
              <w:t>(Commission</w:t>
            </w:r>
          </w:p>
        </w:tc>
        <w:tc>
          <w:tcPr>
            <w:tcW w:w="1700" w:type="dxa"/>
            <w:vAlign w:val="bottom"/>
          </w:tcPr>
          <w:p>
            <w:pPr>
              <w:jc w:val="center"/>
              <w:ind w:left="399"/>
              <w:spacing w:after="0"/>
              <w:rPr>
                <w:sz w:val="20"/>
                <w:szCs w:val="20"/>
                <w:color w:val="auto"/>
              </w:rPr>
            </w:pPr>
            <w:r>
              <w:rPr>
                <w:rFonts w:ascii="Arial" w:cs="Arial" w:eastAsia="Arial" w:hAnsi="Arial"/>
                <w:sz w:val="16"/>
                <w:szCs w:val="16"/>
                <w:color w:val="auto"/>
                <w:w w:val="93"/>
              </w:rPr>
              <w:t>(I.R.S. Employer</w:t>
            </w:r>
          </w:p>
        </w:tc>
      </w:tr>
      <w:tr>
        <w:trPr>
          <w:trHeight w:val="243"/>
        </w:trPr>
        <w:tc>
          <w:tcPr>
            <w:tcW w:w="560" w:type="dxa"/>
            <w:vAlign w:val="bottom"/>
          </w:tcPr>
          <w:p>
            <w:pPr>
              <w:spacing w:after="0"/>
              <w:rPr>
                <w:sz w:val="21"/>
                <w:szCs w:val="21"/>
                <w:color w:val="auto"/>
              </w:rPr>
            </w:pPr>
          </w:p>
        </w:tc>
        <w:tc>
          <w:tcPr>
            <w:tcW w:w="3280" w:type="dxa"/>
            <w:vAlign w:val="bottom"/>
            <w:gridSpan w:val="2"/>
          </w:tcPr>
          <w:p>
            <w:pPr>
              <w:jc w:val="center"/>
              <w:ind w:right="1100"/>
              <w:spacing w:after="0"/>
              <w:rPr>
                <w:sz w:val="20"/>
                <w:szCs w:val="20"/>
                <w:color w:val="auto"/>
              </w:rPr>
            </w:pPr>
            <w:r>
              <w:rPr>
                <w:rFonts w:ascii="Arial" w:cs="Arial" w:eastAsia="Arial" w:hAnsi="Arial"/>
                <w:sz w:val="16"/>
                <w:szCs w:val="16"/>
                <w:color w:val="auto"/>
                <w:w w:val="95"/>
              </w:rPr>
              <w:t>File No.)</w:t>
            </w:r>
          </w:p>
        </w:tc>
        <w:tc>
          <w:tcPr>
            <w:tcW w:w="1700" w:type="dxa"/>
            <w:vAlign w:val="bottom"/>
          </w:tcPr>
          <w:p>
            <w:pPr>
              <w:jc w:val="center"/>
              <w:ind w:left="419"/>
              <w:spacing w:after="0"/>
              <w:rPr>
                <w:sz w:val="20"/>
                <w:szCs w:val="20"/>
                <w:color w:val="auto"/>
              </w:rPr>
            </w:pPr>
            <w:r>
              <w:rPr>
                <w:rFonts w:ascii="Arial" w:cs="Arial" w:eastAsia="Arial" w:hAnsi="Arial"/>
                <w:sz w:val="16"/>
                <w:szCs w:val="16"/>
                <w:color w:val="auto"/>
                <w:w w:val="96"/>
              </w:rPr>
              <w:t>Identification No.)</w:t>
            </w:r>
          </w:p>
        </w:tc>
      </w:tr>
      <w:tr>
        <w:trPr>
          <w:trHeight w:val="338"/>
        </w:trPr>
        <w:tc>
          <w:tcPr>
            <w:tcW w:w="560" w:type="dxa"/>
            <w:vAlign w:val="bottom"/>
          </w:tcPr>
          <w:p>
            <w:pPr>
              <w:spacing w:after="0"/>
              <w:rPr>
                <w:sz w:val="24"/>
                <w:szCs w:val="24"/>
                <w:color w:val="auto"/>
              </w:rPr>
            </w:pPr>
          </w:p>
        </w:tc>
        <w:tc>
          <w:tcPr>
            <w:tcW w:w="328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92"/>
              </w:rPr>
              <w:t>1800 North Mason Road</w:t>
            </w:r>
          </w:p>
        </w:tc>
        <w:tc>
          <w:tcPr>
            <w:tcW w:w="1700" w:type="dxa"/>
            <w:vAlign w:val="bottom"/>
          </w:tcPr>
          <w:p>
            <w:pPr>
              <w:spacing w:after="0"/>
              <w:rPr>
                <w:sz w:val="24"/>
                <w:szCs w:val="24"/>
                <w:color w:val="auto"/>
              </w:rPr>
            </w:pPr>
          </w:p>
        </w:tc>
      </w:tr>
      <w:tr>
        <w:trPr>
          <w:trHeight w:val="243"/>
        </w:trPr>
        <w:tc>
          <w:tcPr>
            <w:tcW w:w="560" w:type="dxa"/>
            <w:vAlign w:val="bottom"/>
          </w:tcPr>
          <w:p>
            <w:pPr>
              <w:spacing w:after="0"/>
              <w:rPr>
                <w:sz w:val="21"/>
                <w:szCs w:val="21"/>
                <w:color w:val="auto"/>
              </w:rPr>
            </w:pPr>
          </w:p>
        </w:tc>
        <w:tc>
          <w:tcPr>
            <w:tcW w:w="3280" w:type="dxa"/>
            <w:vAlign w:val="bottom"/>
            <w:gridSpan w:val="2"/>
          </w:tcPr>
          <w:p>
            <w:pPr>
              <w:jc w:val="center"/>
              <w:ind w:right="1080"/>
              <w:spacing w:after="0"/>
              <w:rPr>
                <w:sz w:val="20"/>
                <w:szCs w:val="20"/>
                <w:color w:val="auto"/>
              </w:rPr>
            </w:pPr>
            <w:r>
              <w:rPr>
                <w:rFonts w:ascii="Arial" w:cs="Arial" w:eastAsia="Arial" w:hAnsi="Arial"/>
                <w:sz w:val="16"/>
                <w:szCs w:val="16"/>
                <w:b w:val="1"/>
                <w:bCs w:val="1"/>
                <w:color w:val="auto"/>
                <w:w w:val="89"/>
              </w:rPr>
              <w:t>Katy, Texas 77449</w:t>
            </w:r>
          </w:p>
        </w:tc>
        <w:tc>
          <w:tcPr>
            <w:tcW w:w="1700" w:type="dxa"/>
            <w:vAlign w:val="bottom"/>
          </w:tcPr>
          <w:p>
            <w:pPr>
              <w:spacing w:after="0"/>
              <w:rPr>
                <w:sz w:val="21"/>
                <w:szCs w:val="21"/>
                <w:color w:val="auto"/>
              </w:rPr>
            </w:pPr>
          </w:p>
        </w:tc>
      </w:tr>
    </w:tbl>
    <w:p>
      <w:pPr>
        <w:spacing w:after="0" w:line="104" w:lineRule="exact"/>
        <w:rPr>
          <w:sz w:val="24"/>
          <w:szCs w:val="24"/>
          <w:color w:val="auto"/>
        </w:rPr>
      </w:pPr>
    </w:p>
    <w:p>
      <w:pPr>
        <w:ind w:left="480"/>
        <w:spacing w:after="0"/>
        <w:rPr>
          <w:sz w:val="20"/>
          <w:szCs w:val="20"/>
          <w:color w:val="auto"/>
        </w:rPr>
      </w:pPr>
      <w:r>
        <w:rPr>
          <w:rFonts w:ascii="Arial" w:cs="Arial" w:eastAsia="Arial" w:hAnsi="Arial"/>
          <w:sz w:val="16"/>
          <w:szCs w:val="16"/>
          <w:i w:val="1"/>
          <w:iCs w:val="1"/>
          <w:color w:val="auto"/>
        </w:rPr>
        <w:t>(Address of principal executive offices) (Zip code)</w:t>
      </w:r>
    </w:p>
    <w:p>
      <w:pPr>
        <w:spacing w:after="0" w:line="190" w:lineRule="exact"/>
        <w:rPr>
          <w:sz w:val="24"/>
          <w:szCs w:val="24"/>
          <w:color w:val="auto"/>
        </w:rPr>
      </w:pPr>
    </w:p>
    <w:p>
      <w:pPr>
        <w:jc w:val="center"/>
        <w:ind w:right="3320"/>
        <w:spacing w:after="0"/>
        <w:rPr>
          <w:sz w:val="20"/>
          <w:szCs w:val="20"/>
          <w:color w:val="auto"/>
        </w:rPr>
      </w:pPr>
      <w:r>
        <w:rPr>
          <w:rFonts w:ascii="Arial" w:cs="Arial" w:eastAsia="Arial" w:hAnsi="Arial"/>
          <w:sz w:val="16"/>
          <w:szCs w:val="16"/>
          <w:b w:val="1"/>
          <w:bCs w:val="1"/>
          <w:color w:val="auto"/>
        </w:rPr>
        <w:t>(281) 646-5200</w:t>
      </w:r>
    </w:p>
    <w:p>
      <w:pPr>
        <w:spacing w:after="0" w:line="63" w:lineRule="exact"/>
        <w:rPr>
          <w:sz w:val="24"/>
          <w:szCs w:val="24"/>
          <w:color w:val="auto"/>
        </w:rPr>
      </w:pPr>
    </w:p>
    <w:p>
      <w:pPr>
        <w:jc w:val="center"/>
        <w:ind w:right="33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150" w:lineRule="exact"/>
        <w:rPr>
          <w:sz w:val="24"/>
          <w:szCs w:val="24"/>
          <w:color w:val="auto"/>
        </w:rPr>
      </w:pPr>
    </w:p>
    <w:p>
      <w:pPr>
        <w:jc w:val="center"/>
        <w:ind w:right="3320"/>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ind w:right="3320"/>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584835</wp:posOffset>
            </wp:positionH>
            <wp:positionV relativeFrom="paragraph">
              <wp:posOffset>144145</wp:posOffset>
            </wp:positionV>
            <wp:extent cx="1388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88745" cy="825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3120" w:space="280"/>
            <w:col w:w="7360"/>
          </w:cols>
          <w:pgMar w:left="340" w:top="1314" w:right="799" w:bottom="1440" w:gutter="0" w:footer="0" w:header="0"/>
          <w:type w:val="continuous"/>
        </w:sectPr>
      </w:pPr>
    </w:p>
    <w:p>
      <w:pPr>
        <w:spacing w:after="0" w:line="206" w:lineRule="exact"/>
        <w:rPr>
          <w:sz w:val="24"/>
          <w:szCs w:val="24"/>
          <w:color w:val="auto"/>
        </w:rPr>
      </w:pPr>
    </w:p>
    <w:p>
      <w:pPr>
        <w:ind w:right="580"/>
        <w:spacing w:after="0" w:line="26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0" w:lineRule="exact"/>
        <w:rPr>
          <w:sz w:val="24"/>
          <w:szCs w:val="24"/>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7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240" w:type="dxa"/>
            <w:vAlign w:val="bottom"/>
            <w:gridSpan w:val="2"/>
          </w:tcPr>
          <w:p>
            <w:pPr>
              <w:jc w:val="center"/>
              <w:ind w:right="20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1140" w:type="dxa"/>
            <w:vAlign w:val="bottom"/>
          </w:tcPr>
          <w:p>
            <w:pPr>
              <w:spacing w:after="0"/>
              <w:rPr>
                <w:sz w:val="16"/>
                <w:szCs w:val="16"/>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080" w:type="dxa"/>
            <w:vAlign w:val="bottom"/>
            <w:gridSpan w:val="3"/>
          </w:tcPr>
          <w:p>
            <w:pPr>
              <w:jc w:val="center"/>
              <w:ind w:right="11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7"/>
              </w:rPr>
              <w:t>ASO</w:t>
            </w:r>
          </w:p>
        </w:tc>
        <w:tc>
          <w:tcPr>
            <w:tcW w:w="11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1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86995</wp:posOffset>
            </wp:positionV>
            <wp:extent cx="6917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1769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6917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17690" cy="8890"/>
                    </a:xfrm>
                    <a:prstGeom prst="rect">
                      <a:avLst/>
                    </a:prstGeom>
                    <a:noFill/>
                  </pic:spPr>
                </pic:pic>
              </a:graphicData>
            </a:graphic>
          </wp:anchor>
        </w:drawing>
      </w:r>
    </w:p>
    <w:p>
      <w:pPr>
        <w:sectPr>
          <w:pgSz w:w="11900" w:h="16838" w:orient="portrait"/>
          <w:cols w:equalWidth="0" w:num="1">
            <w:col w:w="10760"/>
          </w:cols>
          <w:pgMar w:left="340" w:top="1314" w:right="7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June 3, 2021, Academy Sports and Outdoors, Inc. (the “Company”) held its 2021 Annual Meeting of Stockholders (the "Annual Meeting"). The final voting results for each of the matters submitted to a stockholder vote at the Annual Meeting are set forth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1: Election of Directors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stockholders elected three Class I directors for terms expiring at the Company's 2024 Annual Meeting of Stockholders, and subject to the election and qualification of their successors, based upon the following vote results:</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1"/>
              </w:rPr>
              <w:t>Votes</w:t>
            </w:r>
          </w:p>
        </w:tc>
        <w:tc>
          <w:tcPr>
            <w:tcW w:w="1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2360" w:type="dxa"/>
            <w:vAlign w:val="bottom"/>
          </w:tcPr>
          <w:p>
            <w:pPr>
              <w:spacing w:after="0"/>
              <w:rPr>
                <w:sz w:val="20"/>
                <w:szCs w:val="20"/>
                <w:color w:val="auto"/>
              </w:rPr>
            </w:pPr>
          </w:p>
        </w:tc>
        <w:tc>
          <w:tcPr>
            <w:tcW w:w="2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180" w:type="dxa"/>
            <w:vAlign w:val="bottom"/>
            <w:gridSpan w:val="2"/>
          </w:tcPr>
          <w:p>
            <w:pPr>
              <w:ind w:left="640"/>
              <w:spacing w:after="0"/>
              <w:rPr>
                <w:sz w:val="20"/>
                <w:szCs w:val="20"/>
                <w:color w:val="auto"/>
              </w:rPr>
            </w:pPr>
            <w:r>
              <w:rPr>
                <w:rFonts w:ascii="Arial" w:cs="Arial" w:eastAsia="Arial" w:hAnsi="Arial"/>
                <w:sz w:val="18"/>
                <w:szCs w:val="18"/>
                <w:b w:val="1"/>
                <w:bCs w:val="1"/>
                <w:color w:val="auto"/>
              </w:rPr>
              <w:t>Withheld</w:t>
            </w: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Broker Non-Votes</w:t>
            </w:r>
          </w:p>
        </w:tc>
      </w:tr>
      <w:tr>
        <w:trPr>
          <w:trHeight w:val="27"/>
        </w:trPr>
        <w:tc>
          <w:tcPr>
            <w:tcW w:w="2360" w:type="dxa"/>
            <w:vAlign w:val="bottom"/>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r>
              <w:rPr>
                <w:rFonts w:ascii="Arial" w:cs="Arial" w:eastAsia="Arial" w:hAnsi="Arial"/>
                <w:sz w:val="18"/>
                <w:szCs w:val="18"/>
                <w:color w:val="auto"/>
              </w:rPr>
              <w:t>Brian T. Marley</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70,809,978</w:t>
            </w:r>
          </w:p>
        </w:tc>
        <w:tc>
          <w:tcPr>
            <w:tcW w:w="20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2,886,157</w:t>
            </w:r>
          </w:p>
        </w:tc>
        <w:tc>
          <w:tcPr>
            <w:tcW w:w="20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6,628,225</w:t>
            </w: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Thomas M. Nealon</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73,584,385</w:t>
            </w:r>
          </w:p>
        </w:tc>
        <w:tc>
          <w:tcPr>
            <w:tcW w:w="20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111,750</w:t>
            </w:r>
          </w:p>
        </w:tc>
        <w:tc>
          <w:tcPr>
            <w:tcW w:w="20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6,628,225</w:t>
            </w:r>
          </w:p>
        </w:tc>
      </w:tr>
      <w:tr>
        <w:trPr>
          <w:trHeight w:val="270"/>
        </w:trPr>
        <w:tc>
          <w:tcPr>
            <w:tcW w:w="2360" w:type="dxa"/>
            <w:vAlign w:val="bottom"/>
          </w:tcPr>
          <w:p>
            <w:pPr>
              <w:spacing w:after="0"/>
              <w:rPr>
                <w:sz w:val="20"/>
                <w:szCs w:val="20"/>
                <w:color w:val="auto"/>
              </w:rPr>
            </w:pPr>
            <w:r>
              <w:rPr>
                <w:rFonts w:ascii="Arial" w:cs="Arial" w:eastAsia="Arial" w:hAnsi="Arial"/>
                <w:sz w:val="18"/>
                <w:szCs w:val="18"/>
                <w:color w:val="auto"/>
              </w:rPr>
              <w:t>Nathaniel H. Taylor</w:t>
            </w:r>
          </w:p>
        </w:tc>
        <w:tc>
          <w:tcPr>
            <w:tcW w:w="2000" w:type="dxa"/>
            <w:vAlign w:val="bottom"/>
          </w:tcPr>
          <w:p>
            <w:pPr>
              <w:jc w:val="center"/>
              <w:spacing w:after="0"/>
              <w:rPr>
                <w:sz w:val="20"/>
                <w:szCs w:val="20"/>
                <w:color w:val="auto"/>
              </w:rPr>
            </w:pPr>
            <w:r>
              <w:rPr>
                <w:rFonts w:ascii="Arial" w:cs="Arial" w:eastAsia="Arial" w:hAnsi="Arial"/>
                <w:sz w:val="18"/>
                <w:szCs w:val="18"/>
                <w:color w:val="auto"/>
                <w:w w:val="88"/>
              </w:rPr>
              <w:t>63,825,378</w:t>
            </w:r>
          </w:p>
        </w:tc>
        <w:tc>
          <w:tcPr>
            <w:tcW w:w="200" w:type="dxa"/>
            <w:vAlign w:val="bottom"/>
          </w:tcPr>
          <w:p>
            <w:pPr>
              <w:spacing w:after="0"/>
              <w:rPr>
                <w:sz w:val="23"/>
                <w:szCs w:val="23"/>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7"/>
              </w:rPr>
              <w:t>9,870,757</w:t>
            </w:r>
          </w:p>
        </w:tc>
        <w:tc>
          <w:tcPr>
            <w:tcW w:w="200" w:type="dxa"/>
            <w:vAlign w:val="bottom"/>
          </w:tcPr>
          <w:p>
            <w:pPr>
              <w:spacing w:after="0"/>
              <w:rPr>
                <w:sz w:val="23"/>
                <w:szCs w:val="23"/>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9"/>
              </w:rPr>
              <w:t>6,628,225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2: Ratification of the Appointment of the Independent Registered Public Accounting Firm</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stockholders ratified the appointment of Deloitte &amp; Touche LLP as the Company's Independent Registered Public Accounting Firm for the fiscal year 2021.</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Votes</w:t>
            </w:r>
          </w:p>
        </w:tc>
        <w:tc>
          <w:tcPr>
            <w:tcW w:w="2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Votes</w:t>
            </w:r>
          </w:p>
        </w:tc>
        <w:tc>
          <w:tcPr>
            <w:tcW w:w="2220" w:type="dxa"/>
            <w:vAlign w:val="bottom"/>
          </w:tcPr>
          <w:p>
            <w:pPr>
              <w:spacing w:after="0"/>
              <w:rPr>
                <w:sz w:val="18"/>
                <w:szCs w:val="18"/>
                <w:color w:val="auto"/>
              </w:rPr>
            </w:pPr>
          </w:p>
        </w:tc>
      </w:tr>
      <w:tr>
        <w:trPr>
          <w:trHeight w:val="234"/>
        </w:trPr>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Against</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86"/>
              </w:rPr>
              <w:t>Abstentions</w:t>
            </w:r>
          </w:p>
        </w:tc>
      </w:tr>
      <w:tr>
        <w:trPr>
          <w:trHeight w:val="27"/>
        </w:trPr>
        <w:tc>
          <w:tcPr>
            <w:tcW w:w="2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37"/>
        </w:trPr>
        <w:tc>
          <w:tcPr>
            <w:tcW w:w="2200" w:type="dxa"/>
            <w:vAlign w:val="bottom"/>
          </w:tcPr>
          <w:p>
            <w:pPr>
              <w:jc w:val="center"/>
              <w:spacing w:after="0"/>
              <w:rPr>
                <w:sz w:val="20"/>
                <w:szCs w:val="20"/>
                <w:color w:val="auto"/>
              </w:rPr>
            </w:pPr>
            <w:r>
              <w:rPr>
                <w:rFonts w:ascii="Arial" w:cs="Arial" w:eastAsia="Arial" w:hAnsi="Arial"/>
                <w:sz w:val="18"/>
                <w:szCs w:val="18"/>
                <w:color w:val="auto"/>
                <w:w w:val="90"/>
              </w:rPr>
              <w:t>78,988,653</w:t>
            </w:r>
          </w:p>
        </w:tc>
        <w:tc>
          <w:tcPr>
            <w:tcW w:w="2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199,367</w:t>
            </w:r>
          </w:p>
        </w:tc>
        <w:tc>
          <w:tcPr>
            <w:tcW w:w="180" w:type="dxa"/>
            <w:vAlign w:val="bottom"/>
          </w:tcPr>
          <w:p>
            <w:pPr>
              <w:spacing w:after="0"/>
              <w:rPr>
                <w:sz w:val="20"/>
                <w:szCs w:val="20"/>
                <w:color w:val="auto"/>
              </w:rPr>
            </w:pPr>
          </w:p>
        </w:tc>
        <w:tc>
          <w:tcPr>
            <w:tcW w:w="2220" w:type="dxa"/>
            <w:vAlign w:val="bottom"/>
          </w:tcPr>
          <w:p>
            <w:pPr>
              <w:jc w:val="right"/>
              <w:ind w:right="730"/>
              <w:spacing w:after="0"/>
              <w:rPr>
                <w:sz w:val="20"/>
                <w:szCs w:val="20"/>
                <w:color w:val="auto"/>
              </w:rPr>
            </w:pPr>
            <w:r>
              <w:rPr>
                <w:rFonts w:ascii="Arial" w:cs="Arial" w:eastAsia="Arial" w:hAnsi="Arial"/>
                <w:sz w:val="18"/>
                <w:szCs w:val="18"/>
                <w:color w:val="auto"/>
              </w:rPr>
              <w:t>136,340</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3: Advisory Vote on Executive Compensation</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stockholders approved, on a non-binding advisory basis, the compensation paid to the Company's named executive officers during fiscal year 2020 (commonly known as a "say-on-pay" proposal), based upon the following votes: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Votes</w:t>
            </w:r>
          </w:p>
        </w:tc>
        <w:tc>
          <w:tcPr>
            <w:tcW w:w="2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5"/>
              </w:rPr>
              <w:t>Votes</w:t>
            </w:r>
          </w:p>
        </w:tc>
        <w:tc>
          <w:tcPr>
            <w:tcW w:w="2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6"/>
              </w:rPr>
              <w:t>For</w:t>
            </w:r>
          </w:p>
        </w:tc>
        <w:tc>
          <w:tcPr>
            <w:tcW w:w="2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Against</w:t>
            </w:r>
          </w:p>
        </w:tc>
        <w:tc>
          <w:tcPr>
            <w:tcW w:w="24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Abstentions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7"/>
        </w:trPr>
        <w:tc>
          <w:tcPr>
            <w:tcW w:w="2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r>
      <w:tr>
        <w:trPr>
          <w:trHeight w:val="237"/>
        </w:trPr>
        <w:tc>
          <w:tcPr>
            <w:tcW w:w="2200" w:type="dxa"/>
            <w:vAlign w:val="bottom"/>
          </w:tcPr>
          <w:p>
            <w:pPr>
              <w:jc w:val="center"/>
              <w:spacing w:after="0"/>
              <w:rPr>
                <w:sz w:val="20"/>
                <w:szCs w:val="20"/>
                <w:color w:val="auto"/>
              </w:rPr>
            </w:pPr>
            <w:r>
              <w:rPr>
                <w:rFonts w:ascii="Arial" w:cs="Arial" w:eastAsia="Arial" w:hAnsi="Arial"/>
                <w:sz w:val="18"/>
                <w:szCs w:val="18"/>
                <w:color w:val="auto"/>
                <w:w w:val="90"/>
              </w:rPr>
              <w:t>73,259,589</w:t>
            </w:r>
          </w:p>
        </w:tc>
        <w:tc>
          <w:tcPr>
            <w:tcW w:w="20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89"/>
              </w:rPr>
              <w:t>289,802</w:t>
            </w:r>
          </w:p>
        </w:tc>
        <w:tc>
          <w:tcPr>
            <w:tcW w:w="180" w:type="dxa"/>
            <w:vAlign w:val="bottom"/>
          </w:tcPr>
          <w:p>
            <w:pPr>
              <w:spacing w:after="0"/>
              <w:rPr>
                <w:sz w:val="20"/>
                <w:szCs w:val="20"/>
                <w:color w:val="auto"/>
              </w:rPr>
            </w:pPr>
          </w:p>
        </w:tc>
        <w:tc>
          <w:tcPr>
            <w:tcW w:w="2220" w:type="dxa"/>
            <w:vAlign w:val="bottom"/>
          </w:tcPr>
          <w:p>
            <w:pPr>
              <w:jc w:val="right"/>
              <w:ind w:right="730"/>
              <w:spacing w:after="0"/>
              <w:rPr>
                <w:sz w:val="20"/>
                <w:szCs w:val="20"/>
                <w:color w:val="auto"/>
              </w:rPr>
            </w:pPr>
            <w:r>
              <w:rPr>
                <w:rFonts w:ascii="Arial" w:cs="Arial" w:eastAsia="Arial" w:hAnsi="Arial"/>
                <w:sz w:val="18"/>
                <w:szCs w:val="18"/>
                <w:color w:val="auto"/>
              </w:rPr>
              <w:t>146,744</w:t>
            </w:r>
          </w:p>
        </w:tc>
        <w:tc>
          <w:tcPr>
            <w:tcW w:w="180" w:type="dxa"/>
            <w:vAlign w:val="bottom"/>
          </w:tcPr>
          <w:p>
            <w:pPr>
              <w:spacing w:after="0"/>
              <w:rPr>
                <w:sz w:val="20"/>
                <w:szCs w:val="20"/>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w w:val="89"/>
              </w:rPr>
              <w:t>6,628,225</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4: Frequency of Advisory Votes on Executive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approved, on a non-binding advisory basis, one year as the frequency of the advisory vote to approve compensation paid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named executive officers (commonly known as a "say-when-on-pay" proposal), based upon the following votes: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2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1 Year</w:t>
            </w:r>
          </w:p>
        </w:tc>
        <w:tc>
          <w:tcPr>
            <w:tcW w:w="2320" w:type="dxa"/>
            <w:vAlign w:val="bottom"/>
            <w:gridSpan w:val="2"/>
          </w:tcPr>
          <w:p>
            <w:pPr>
              <w:ind w:left="780"/>
              <w:spacing w:after="0"/>
              <w:rPr>
                <w:sz w:val="20"/>
                <w:szCs w:val="20"/>
                <w:color w:val="auto"/>
              </w:rPr>
            </w:pPr>
            <w:r>
              <w:rPr>
                <w:rFonts w:ascii="Arial" w:cs="Arial" w:eastAsia="Arial" w:hAnsi="Arial"/>
                <w:sz w:val="18"/>
                <w:szCs w:val="18"/>
                <w:b w:val="1"/>
                <w:bCs w:val="1"/>
                <w:color w:val="auto"/>
              </w:rPr>
              <w:t>2 Years</w:t>
            </w:r>
          </w:p>
        </w:tc>
        <w:tc>
          <w:tcPr>
            <w:tcW w:w="2300" w:type="dxa"/>
            <w:vAlign w:val="bottom"/>
            <w:gridSpan w:val="2"/>
          </w:tcPr>
          <w:p>
            <w:pPr>
              <w:ind w:left="780"/>
              <w:spacing w:after="0"/>
              <w:rPr>
                <w:sz w:val="20"/>
                <w:szCs w:val="20"/>
                <w:color w:val="auto"/>
              </w:rPr>
            </w:pPr>
            <w:r>
              <w:rPr>
                <w:rFonts w:ascii="Arial" w:cs="Arial" w:eastAsia="Arial" w:hAnsi="Arial"/>
                <w:sz w:val="18"/>
                <w:szCs w:val="18"/>
                <w:b w:val="1"/>
                <w:bCs w:val="1"/>
                <w:color w:val="auto"/>
              </w:rPr>
              <w:t>3 Years</w:t>
            </w:r>
          </w:p>
        </w:tc>
        <w:tc>
          <w:tcPr>
            <w:tcW w:w="23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Abstentions</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8"/>
              </w:rPr>
              <w:t>Non-Votes</w:t>
            </w:r>
          </w:p>
        </w:tc>
      </w:tr>
      <w:tr>
        <w:trPr>
          <w:trHeight w:val="27"/>
        </w:trPr>
        <w:tc>
          <w:tcPr>
            <w:tcW w:w="2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jc w:val="right"/>
              <w:ind w:right="550"/>
              <w:spacing w:after="0"/>
              <w:rPr>
                <w:sz w:val="20"/>
                <w:szCs w:val="20"/>
                <w:color w:val="auto"/>
              </w:rPr>
            </w:pPr>
            <w:r>
              <w:rPr>
                <w:rFonts w:ascii="Arial" w:cs="Arial" w:eastAsia="Arial" w:hAnsi="Arial"/>
                <w:sz w:val="18"/>
                <w:szCs w:val="18"/>
                <w:color w:val="auto"/>
              </w:rPr>
              <w:t>72,673,646</w:t>
            </w:r>
          </w:p>
        </w:tc>
        <w:tc>
          <w:tcPr>
            <w:tcW w:w="200" w:type="dxa"/>
            <w:vAlign w:val="bottom"/>
          </w:tcPr>
          <w:p>
            <w:pPr>
              <w:spacing w:after="0"/>
              <w:rPr>
                <w:sz w:val="20"/>
                <w:szCs w:val="20"/>
                <w:color w:val="auto"/>
              </w:rPr>
            </w:pPr>
          </w:p>
        </w:tc>
        <w:tc>
          <w:tcPr>
            <w:tcW w:w="2120" w:type="dxa"/>
            <w:vAlign w:val="bottom"/>
          </w:tcPr>
          <w:p>
            <w:pPr>
              <w:ind w:left="780"/>
              <w:spacing w:after="0"/>
              <w:rPr>
                <w:sz w:val="20"/>
                <w:szCs w:val="20"/>
                <w:color w:val="auto"/>
              </w:rPr>
            </w:pPr>
            <w:r>
              <w:rPr>
                <w:rFonts w:ascii="Arial" w:cs="Arial" w:eastAsia="Arial" w:hAnsi="Arial"/>
                <w:sz w:val="18"/>
                <w:szCs w:val="18"/>
                <w:color w:val="auto"/>
              </w:rPr>
              <w:t>278,176</w:t>
            </w:r>
          </w:p>
        </w:tc>
        <w:tc>
          <w:tcPr>
            <w:tcW w:w="200" w:type="dxa"/>
            <w:vAlign w:val="bottom"/>
          </w:tcPr>
          <w:p>
            <w:pPr>
              <w:spacing w:after="0"/>
              <w:rPr>
                <w:sz w:val="20"/>
                <w:szCs w:val="20"/>
                <w:color w:val="auto"/>
              </w:rPr>
            </w:pPr>
          </w:p>
        </w:tc>
        <w:tc>
          <w:tcPr>
            <w:tcW w:w="2140" w:type="dxa"/>
            <w:vAlign w:val="bottom"/>
          </w:tcPr>
          <w:p>
            <w:pPr>
              <w:ind w:left="780"/>
              <w:spacing w:after="0"/>
              <w:rPr>
                <w:sz w:val="20"/>
                <w:szCs w:val="20"/>
                <w:color w:val="auto"/>
              </w:rPr>
            </w:pPr>
            <w:r>
              <w:rPr>
                <w:rFonts w:ascii="Arial" w:cs="Arial" w:eastAsia="Arial" w:hAnsi="Arial"/>
                <w:sz w:val="18"/>
                <w:szCs w:val="18"/>
                <w:color w:val="auto"/>
              </w:rPr>
              <w:t>584,960</w:t>
            </w:r>
          </w:p>
        </w:tc>
        <w:tc>
          <w:tcPr>
            <w:tcW w:w="160" w:type="dxa"/>
            <w:vAlign w:val="bottom"/>
          </w:tcPr>
          <w:p>
            <w:pPr>
              <w:spacing w:after="0"/>
              <w:rPr>
                <w:sz w:val="20"/>
                <w:szCs w:val="20"/>
                <w:color w:val="auto"/>
              </w:rPr>
            </w:pPr>
          </w:p>
        </w:tc>
        <w:tc>
          <w:tcPr>
            <w:tcW w:w="2140" w:type="dxa"/>
            <w:vAlign w:val="bottom"/>
          </w:tcPr>
          <w:p>
            <w:pPr>
              <w:jc w:val="right"/>
              <w:ind w:right="690"/>
              <w:spacing w:after="0"/>
              <w:rPr>
                <w:sz w:val="20"/>
                <w:szCs w:val="20"/>
                <w:color w:val="auto"/>
              </w:rPr>
            </w:pPr>
            <w:r>
              <w:rPr>
                <w:rFonts w:ascii="Arial" w:cs="Arial" w:eastAsia="Arial" w:hAnsi="Arial"/>
                <w:sz w:val="18"/>
                <w:szCs w:val="18"/>
                <w:color w:val="auto"/>
              </w:rPr>
              <w:t>159,353</w:t>
            </w:r>
          </w:p>
        </w:tc>
        <w:tc>
          <w:tcPr>
            <w:tcW w:w="1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89"/>
              </w:rPr>
              <w:t>6,628,225</w:t>
            </w:r>
          </w:p>
        </w:tc>
      </w:tr>
    </w:tbl>
    <w:p>
      <w:pPr>
        <w:spacing w:after="0" w:line="35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results of this vote, and consistent with the Board of Directors' recommendation, the Company intends to include an advisory stockholder vote to approve the compensation paid to its named executive officers every year until the next required vote on the frequency of stockholder votes on the compensation of named executive officers. The Company is required to hold a vote on frequency every six years.</w:t>
      </w:r>
    </w:p>
    <w:p>
      <w:pPr>
        <w:sectPr>
          <w:pgSz w:w="11900" w:h="16838" w:orient="portrait"/>
          <w:cols w:equalWidth="0" w:num="1">
            <w:col w:w="11240"/>
          </w:cols>
          <w:pgMar w:left="320" w:top="1431" w:right="3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5660" w:type="dxa"/>
            <w:vAlign w:val="bottom"/>
          </w:tcPr>
          <w:p>
            <w:pPr>
              <w:ind w:left="20"/>
              <w:spacing w:after="0"/>
              <w:rPr>
                <w:sz w:val="20"/>
                <w:szCs w:val="20"/>
                <w:color w:val="auto"/>
              </w:rPr>
            </w:pPr>
            <w:r>
              <w:rPr>
                <w:rFonts w:ascii="Arial" w:cs="Arial" w:eastAsia="Arial" w:hAnsi="Arial"/>
                <w:sz w:val="18"/>
                <w:szCs w:val="18"/>
                <w:color w:val="auto"/>
              </w:rPr>
              <w:t>ACADEMY SPORTS AND OUTDOORS, INC.</w:t>
            </w:r>
          </w:p>
        </w:tc>
      </w:tr>
      <w:tr>
        <w:trPr>
          <w:trHeight w:val="540"/>
        </w:trPr>
        <w:tc>
          <w:tcPr>
            <w:tcW w:w="2940" w:type="dxa"/>
            <w:vAlign w:val="bottom"/>
          </w:tcPr>
          <w:p>
            <w:pPr>
              <w:spacing w:after="0"/>
              <w:rPr>
                <w:sz w:val="20"/>
                <w:szCs w:val="20"/>
                <w:color w:val="auto"/>
              </w:rPr>
            </w:pPr>
            <w:r>
              <w:rPr>
                <w:rFonts w:ascii="Arial" w:cs="Arial" w:eastAsia="Arial" w:hAnsi="Arial"/>
                <w:sz w:val="18"/>
                <w:szCs w:val="18"/>
                <w:color w:val="auto"/>
              </w:rPr>
              <w:t>Date: June 7, 2021</w:t>
            </w:r>
          </w:p>
        </w:tc>
        <w:tc>
          <w:tcPr>
            <w:tcW w:w="2400" w:type="dxa"/>
            <w:vAlign w:val="bottom"/>
          </w:tcPr>
          <w:p>
            <w:pPr>
              <w:ind w:left="1580"/>
              <w:spacing w:after="0"/>
              <w:rPr>
                <w:sz w:val="20"/>
                <w:szCs w:val="20"/>
                <w:color w:val="auto"/>
              </w:rPr>
            </w:pPr>
            <w:r>
              <w:rPr>
                <w:rFonts w:ascii="Arial" w:cs="Arial" w:eastAsia="Arial" w:hAnsi="Arial"/>
                <w:sz w:val="18"/>
                <w:szCs w:val="18"/>
                <w:color w:val="auto"/>
              </w:rPr>
              <w:t>By:</w:t>
            </w:r>
          </w:p>
        </w:tc>
        <w:tc>
          <w:tcPr>
            <w:tcW w:w="5660" w:type="dxa"/>
            <w:vAlign w:val="bottom"/>
          </w:tcPr>
          <w:p>
            <w:pPr>
              <w:ind w:left="20"/>
              <w:spacing w:after="0"/>
              <w:rPr>
                <w:sz w:val="20"/>
                <w:szCs w:val="20"/>
                <w:color w:val="auto"/>
              </w:rPr>
            </w:pPr>
            <w:r>
              <w:rPr>
                <w:rFonts w:ascii="Arial" w:cs="Arial" w:eastAsia="Arial" w:hAnsi="Arial"/>
                <w:sz w:val="18"/>
                <w:szCs w:val="18"/>
                <w:color w:val="auto"/>
              </w:rPr>
              <w:t>/s/  Rene G. Casares</w:t>
            </w:r>
          </w:p>
        </w:tc>
      </w:tr>
      <w:tr>
        <w:trPr>
          <w:trHeight w:val="27"/>
        </w:trPr>
        <w:tc>
          <w:tcPr>
            <w:tcW w:w="29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660" w:type="dxa"/>
            <w:vAlign w:val="bottom"/>
            <w:tcBorders>
              <w:bottom w:val="single" w:sz="8" w:color="auto"/>
            </w:tcBorders>
          </w:tcPr>
          <w:p>
            <w:pPr>
              <w:spacing w:after="0"/>
              <w:rPr>
                <w:sz w:val="2"/>
                <w:szCs w:val="2"/>
                <w:color w:val="auto"/>
              </w:rPr>
            </w:pPr>
          </w:p>
        </w:tc>
      </w:tr>
      <w:tr>
        <w:trPr>
          <w:trHeight w:val="237"/>
        </w:trPr>
        <w:tc>
          <w:tcPr>
            <w:tcW w:w="2940" w:type="dxa"/>
            <w:vAlign w:val="bottom"/>
          </w:tcPr>
          <w:p>
            <w:pPr>
              <w:spacing w:after="0"/>
              <w:rPr>
                <w:sz w:val="20"/>
                <w:szCs w:val="20"/>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Name:</w:t>
            </w:r>
          </w:p>
        </w:tc>
        <w:tc>
          <w:tcPr>
            <w:tcW w:w="5660" w:type="dxa"/>
            <w:vAlign w:val="bottom"/>
          </w:tcPr>
          <w:p>
            <w:pPr>
              <w:ind w:left="20"/>
              <w:spacing w:after="0"/>
              <w:rPr>
                <w:sz w:val="20"/>
                <w:szCs w:val="20"/>
                <w:color w:val="auto"/>
              </w:rPr>
            </w:pPr>
            <w:r>
              <w:rPr>
                <w:rFonts w:ascii="Arial" w:cs="Arial" w:eastAsia="Arial" w:hAnsi="Arial"/>
                <w:sz w:val="18"/>
                <w:szCs w:val="18"/>
                <w:color w:val="auto"/>
              </w:rPr>
              <w:t>Rene G. Casares</w:t>
            </w:r>
          </w:p>
        </w:tc>
      </w:tr>
      <w:tr>
        <w:trPr>
          <w:trHeight w:val="270"/>
        </w:trPr>
        <w:tc>
          <w:tcPr>
            <w:tcW w:w="2940" w:type="dxa"/>
            <w:vAlign w:val="bottom"/>
          </w:tcPr>
          <w:p>
            <w:pPr>
              <w:spacing w:after="0"/>
              <w:rPr>
                <w:sz w:val="23"/>
                <w:szCs w:val="23"/>
                <w:color w:val="auto"/>
              </w:rPr>
            </w:pPr>
          </w:p>
        </w:tc>
        <w:tc>
          <w:tcPr>
            <w:tcW w:w="2400" w:type="dxa"/>
            <w:vAlign w:val="bottom"/>
          </w:tcPr>
          <w:p>
            <w:pPr>
              <w:ind w:left="1580"/>
              <w:spacing w:after="0"/>
              <w:rPr>
                <w:sz w:val="20"/>
                <w:szCs w:val="20"/>
                <w:color w:val="auto"/>
              </w:rPr>
            </w:pPr>
            <w:r>
              <w:rPr>
                <w:rFonts w:ascii="Arial" w:cs="Arial" w:eastAsia="Arial" w:hAnsi="Arial"/>
                <w:sz w:val="18"/>
                <w:szCs w:val="18"/>
                <w:color w:val="auto"/>
              </w:rPr>
              <w:t>Title:</w:t>
            </w:r>
          </w:p>
        </w:tc>
        <w:tc>
          <w:tcPr>
            <w:tcW w:w="566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020"/>
      </w:cols>
      <w:pgMar w:left="320" w:top="14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2021-06-07T08:02:31Z</dcterms:created>
  <dcterms:modified xsi:type="dcterms:W3CDTF">2021-06-07T08:02:31Z</dcterms:modified>
</cp:coreProperties>
</file>