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137160</wp:posOffset>
            </wp:positionV>
            <wp:extent cx="1697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140335</wp:posOffset>
            </wp:positionV>
            <wp:extent cx="1697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Date of report (Date of earliest event reported): June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133985</wp:posOffset>
            </wp:positionV>
            <wp:extent cx="1697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254000</wp:posOffset>
            </wp:positionV>
            <wp:extent cx="182562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Academy Sports and Outdoors, Inc.</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129540</wp:posOffset>
            </wp:positionV>
            <wp:extent cx="1697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sectPr>
      </w:pPr>
    </w:p>
    <w:p>
      <w:pPr>
        <w:spacing w:after="0" w:line="397"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001-39589</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85-1800912</w:t>
      </w:r>
    </w:p>
    <w:p>
      <w:pPr>
        <w:spacing w:after="0" w:line="158" w:lineRule="exact"/>
        <w:rPr>
          <w:sz w:val="24"/>
          <w:szCs w:val="24"/>
          <w:color w:val="auto"/>
        </w:rPr>
      </w:pPr>
    </w:p>
    <w:p>
      <w:pPr>
        <w:sectPr>
          <w:pgSz w:w="11900" w:h="16838" w:orient="portrait"/>
          <w:cols w:equalWidth="0" w:num="3">
            <w:col w:w="4500" w:space="720"/>
            <w:col w:w="2820" w:space="720"/>
            <w:col w:w="2400"/>
          </w:cols>
          <w:pgMar w:left="340" w:top="747" w:right="399"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w:t>
      </w:r>
    </w:p>
    <w:p>
      <w:pPr>
        <w:spacing w:after="0" w:line="138" w:lineRule="exact"/>
        <w:rPr>
          <w:sz w:val="24"/>
          <w:szCs w:val="24"/>
          <w:color w:val="auto"/>
        </w:rPr>
      </w:pPr>
    </w:p>
    <w:p>
      <w:pPr>
        <w:sectPr>
          <w:pgSz w:w="11900" w:h="16838" w:orient="portrait"/>
          <w:cols w:equalWidth="0" w:num="3">
            <w:col w:w="4420" w:space="720"/>
            <w:col w:w="2640" w:space="720"/>
            <w:col w:w="2660"/>
          </w:cols>
          <w:pgMar w:left="340" w:top="747" w:right="399" w:bottom="1440" w:gutter="0" w:footer="0" w:header="0"/>
          <w:type w:val="continuous"/>
        </w:sectPr>
      </w:pPr>
    </w:p>
    <w:p>
      <w:pPr>
        <w:ind w:left="11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161" w:lineRule="exact"/>
        <w:rPr>
          <w:sz w:val="24"/>
          <w:szCs w:val="24"/>
          <w:color w:val="auto"/>
        </w:rPr>
      </w:pPr>
    </w:p>
    <w:p>
      <w:pPr>
        <w:sectPr>
          <w:pgSz w:w="11900" w:h="16838" w:orient="portrait"/>
          <w:cols w:equalWidth="0" w:num="3">
            <w:col w:w="4560" w:space="720"/>
            <w:col w:w="2460" w:space="720"/>
            <w:col w:w="2700"/>
          </w:cols>
          <w:pgMar w:left="340" w:top="747" w:right="399" w:bottom="1440" w:gutter="0" w:footer="0" w:header="0"/>
          <w:type w:val="continuous"/>
        </w:sectPr>
      </w:pPr>
    </w:p>
    <w:p>
      <w:pPr>
        <w:ind w:left="4740"/>
        <w:spacing w:after="0"/>
        <w:rPr>
          <w:sz w:val="20"/>
          <w:szCs w:val="20"/>
          <w:color w:val="auto"/>
        </w:rPr>
      </w:pPr>
      <w:r>
        <w:rPr>
          <w:rFonts w:ascii="Arial" w:cs="Arial" w:eastAsia="Arial" w:hAnsi="Arial"/>
          <w:sz w:val="16"/>
          <w:szCs w:val="16"/>
          <w:b w:val="1"/>
          <w:bCs w:val="1"/>
          <w:color w:val="auto"/>
        </w:rPr>
        <w:t>1800 North Mason Road</w:t>
      </w:r>
    </w:p>
    <w:p>
      <w:pPr>
        <w:spacing w:after="0" w:line="59" w:lineRule="exact"/>
        <w:rPr>
          <w:sz w:val="24"/>
          <w:szCs w:val="24"/>
          <w:color w:val="auto"/>
        </w:rPr>
      </w:pPr>
    </w:p>
    <w:p>
      <w:pPr>
        <w:ind w:left="4960"/>
        <w:spacing w:after="0"/>
        <w:rPr>
          <w:sz w:val="20"/>
          <w:szCs w:val="20"/>
          <w:color w:val="auto"/>
        </w:rPr>
      </w:pPr>
      <w:r>
        <w:rPr>
          <w:rFonts w:ascii="Arial" w:cs="Arial" w:eastAsia="Arial" w:hAnsi="Arial"/>
          <w:sz w:val="16"/>
          <w:szCs w:val="16"/>
          <w:b w:val="1"/>
          <w:bCs w:val="1"/>
          <w:color w:val="auto"/>
        </w:rPr>
        <w:t>Katy, Texas 77449</w:t>
      </w:r>
    </w:p>
    <w:p>
      <w:pPr>
        <w:spacing w:after="0" w:line="63" w:lineRule="exact"/>
        <w:rPr>
          <w:sz w:val="24"/>
          <w:szCs w:val="24"/>
          <w:color w:val="auto"/>
        </w:rPr>
      </w:pPr>
    </w:p>
    <w:p>
      <w:pPr>
        <w:ind w:left="4040"/>
        <w:spacing w:after="0"/>
        <w:rPr>
          <w:sz w:val="20"/>
          <w:szCs w:val="20"/>
          <w:color w:val="auto"/>
        </w:rPr>
      </w:pPr>
      <w:r>
        <w:rPr>
          <w:rFonts w:ascii="Arial" w:cs="Arial" w:eastAsia="Arial" w:hAnsi="Arial"/>
          <w:sz w:val="16"/>
          <w:szCs w:val="16"/>
          <w:i w:val="1"/>
          <w:iCs w:val="1"/>
          <w:color w:val="auto"/>
        </w:rPr>
        <w:t>(Address of principal executive offices) (Zip code)</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(281) 646-5200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144145</wp:posOffset>
            </wp:positionV>
            <wp:extent cx="1697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1" w:lineRule="exact"/>
        <w:rPr>
          <w:sz w:val="24"/>
          <w:szCs w:val="24"/>
          <w:color w:val="auto"/>
        </w:rPr>
      </w:pPr>
    </w:p>
    <w:tbl>
      <w:tblPr>
        <w:tblLayout w:type="fixed"/>
        <w:tblInd w:w="6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440" w:type="dxa"/>
            <w:vAlign w:val="bottom"/>
            <w:gridSpan w:val="2"/>
          </w:tcPr>
          <w:p>
            <w:pPr>
              <w:jc w:val="center"/>
              <w:ind w:right="2220"/>
              <w:spacing w:after="0"/>
              <w:rPr>
                <w:sz w:val="20"/>
                <w:szCs w:val="20"/>
                <w:color w:val="auto"/>
              </w:rPr>
            </w:pPr>
            <w:r>
              <w:rPr>
                <w:rFonts w:ascii="Arial" w:cs="Arial" w:eastAsia="Arial" w:hAnsi="Arial"/>
                <w:sz w:val="16"/>
                <w:szCs w:val="16"/>
                <w:b w:val="1"/>
                <w:bCs w:val="1"/>
                <w:color w:val="auto"/>
                <w:w w:val="88"/>
              </w:rPr>
              <w:t>Title of each class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340" w:type="dxa"/>
            <w:vAlign w:val="bottom"/>
            <w:gridSpan w:val="2"/>
          </w:tcPr>
          <w:p>
            <w:pPr>
              <w:jc w:val="center"/>
              <w:ind w:left="12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4280" w:type="dxa"/>
            <w:vAlign w:val="bottom"/>
            <w:gridSpan w:val="3"/>
          </w:tcPr>
          <w:p>
            <w:pPr>
              <w:jc w:val="center"/>
              <w:ind w:right="1380"/>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ASO</w:t>
            </w:r>
          </w:p>
        </w:tc>
        <w:tc>
          <w:tcPr>
            <w:tcW w:w="134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2"/>
              </w:rPr>
              <w:t>Nasdaq Global Select Market</w:t>
            </w:r>
          </w:p>
        </w:tc>
      </w:tr>
    </w:tbl>
    <w:p>
      <w:pPr>
        <w:spacing w:after="0" w:line="199" w:lineRule="exact"/>
        <w:rPr>
          <w:sz w:val="24"/>
          <w:szCs w:val="24"/>
          <w:color w:val="auto"/>
        </w:rPr>
      </w:pPr>
    </w:p>
    <w:p>
      <w:pPr>
        <w:spacing w:after="0" w:line="26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4" w:lineRule="exact"/>
        <w:rPr>
          <w:sz w:val="24"/>
          <w:szCs w:val="24"/>
          <w:color w:val="auto"/>
        </w:rPr>
      </w:pPr>
    </w:p>
    <w:p>
      <w:pPr>
        <w:ind w:right="5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113030</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jc w:val="both"/>
        <w:ind w:firstLine="401"/>
        <w:spacing w:after="0" w:line="261" w:lineRule="auto"/>
        <w:rPr>
          <w:sz w:val="20"/>
          <w:szCs w:val="20"/>
          <w:color w:val="auto"/>
        </w:rPr>
      </w:pPr>
      <w:r>
        <w:rPr>
          <w:rFonts w:ascii="Arial" w:cs="Arial" w:eastAsia="Arial" w:hAnsi="Arial"/>
          <w:sz w:val="18"/>
          <w:szCs w:val="18"/>
          <w:color w:val="auto"/>
        </w:rPr>
        <w:t>On June 8, 2021, Academy Sports and Outdoors, Inc. (the “Company”) issued a press release announcing financial results for the quarter ended May 1, 2021. A copy of the release is furnished herewith as Exhibit 99.1 and incorporated by reference herein.</w:t>
      </w:r>
    </w:p>
    <w:p>
      <w:pPr>
        <w:spacing w:after="0" w:line="198" w:lineRule="exact"/>
        <w:rPr>
          <w:sz w:val="20"/>
          <w:szCs w:val="20"/>
          <w:color w:val="auto"/>
        </w:rPr>
      </w:pPr>
    </w:p>
    <w:p>
      <w:pPr>
        <w:jc w:val="both"/>
        <w:ind w:firstLine="401"/>
        <w:spacing w:after="0" w:line="241" w:lineRule="auto"/>
        <w:rPr>
          <w:sz w:val="20"/>
          <w:szCs w:val="20"/>
          <w:color w:val="auto"/>
        </w:rPr>
      </w:pPr>
      <w:r>
        <w:rPr>
          <w:rFonts w:ascii="Arial" w:cs="Arial" w:eastAsia="Arial" w:hAnsi="Arial"/>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(the “Securities Act”), or the Exchange Act, except as shall be expressly set forth by specific reference in such a filing.</w:t>
      </w:r>
    </w:p>
    <w:p>
      <w:pPr>
        <w:spacing w:after="0" w:line="200" w:lineRule="exact"/>
        <w:rPr>
          <w:sz w:val="20"/>
          <w:szCs w:val="20"/>
          <w:color w:val="auto"/>
        </w:rPr>
      </w:pPr>
    </w:p>
    <w:p>
      <w:pPr>
        <w:spacing w:after="0" w:line="25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40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 No.</w:t>
            </w:r>
          </w:p>
        </w:tc>
        <w:tc>
          <w:tcPr>
            <w:tcW w:w="9540" w:type="dxa"/>
            <w:vAlign w:val="bottom"/>
          </w:tcPr>
          <w:p>
            <w:pPr>
              <w:ind w:left="39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r>
      <w:tr>
        <w:trPr>
          <w:trHeight w:val="196"/>
        </w:trPr>
        <w:tc>
          <w:tcPr>
            <w:tcW w:w="1500" w:type="dxa"/>
            <w:vAlign w:val="bottom"/>
            <w:gridSpan w:val="3"/>
            <w:shd w:val="clear" w:color="auto" w:fill="CCEEFF"/>
          </w:tcPr>
          <w:p>
            <w:pPr>
              <w:jc w:val="right"/>
              <w:ind w:right="100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80" w:type="dxa"/>
            <w:vAlign w:val="bottom"/>
            <w:shd w:val="clear" w:color="auto" w:fill="CCEEFF"/>
          </w:tcPr>
          <w:p>
            <w:pPr>
              <w:spacing w:after="0"/>
              <w:rPr>
                <w:sz w:val="17"/>
                <w:szCs w:val="17"/>
                <w:color w:val="auto"/>
              </w:rPr>
            </w:pPr>
          </w:p>
        </w:tc>
        <w:tc>
          <w:tcPr>
            <w:tcW w:w="9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Academy Sports and Outdoors, Inc. Press Release June 8, 2021</w:t>
            </w:r>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54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240"/>
          </w:cols>
          <w:pgMar w:left="320" w:top="141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9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41" w:lineRule="exact"/>
        <w:rPr>
          <w:sz w:val="20"/>
          <w:szCs w:val="20"/>
          <w:color w:val="auto"/>
        </w:rPr>
      </w:pPr>
    </w:p>
    <w:p>
      <w:pPr>
        <w:ind w:left="2840"/>
        <w:spacing w:after="0"/>
        <w:tabs>
          <w:tab w:leader="none" w:pos="6240" w:val="left"/>
          <w:tab w:leader="none" w:pos="6940" w:val="left"/>
          <w:tab w:leader="none" w:pos="7280" w:val="left"/>
        </w:tabs>
        <w:rPr>
          <w:sz w:val="20"/>
          <w:szCs w:val="20"/>
          <w:color w:val="auto"/>
        </w:rPr>
      </w:pPr>
      <w:r>
        <w:rPr>
          <w:rFonts w:ascii="Arial" w:cs="Arial" w:eastAsia="Arial" w:hAnsi="Arial"/>
          <w:sz w:val="18"/>
          <w:szCs w:val="18"/>
          <w:color w:val="auto"/>
        </w:rPr>
        <w:t>Date: June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260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6260"/>
        <w:spacing w:after="0"/>
        <w:tabs>
          <w:tab w:leader="none" w:pos="6940" w:val="left"/>
        </w:tabs>
        <w:rPr>
          <w:sz w:val="20"/>
          <w:szCs w:val="20"/>
          <w:color w:val="auto"/>
        </w:rPr>
      </w:pPr>
      <w:r>
        <w:rPr>
          <w:rFonts w:ascii="Arial" w:cs="Arial" w:eastAsia="Arial" w:hAnsi="Arial"/>
          <w:sz w:val="18"/>
          <w:szCs w:val="18"/>
          <w:color w:val="auto"/>
        </w:rPr>
        <w:t>Name:</w:t>
        <w:tab/>
        <w:t>Rene G. Casares</w:t>
      </w:r>
    </w:p>
    <w:p>
      <w:pPr>
        <w:spacing w:after="0" w:line="63" w:lineRule="exact"/>
        <w:rPr>
          <w:sz w:val="20"/>
          <w:szCs w:val="20"/>
          <w:color w:val="auto"/>
        </w:rPr>
      </w:pPr>
    </w:p>
    <w:p>
      <w:pPr>
        <w:ind w:left="6260"/>
        <w:spacing w:after="0"/>
        <w:tabs>
          <w:tab w:leader="none" w:pos="69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Senior Vice President, General Counsel and Secretary</w:t>
      </w:r>
    </w:p>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360045</wp:posOffset>
            </wp:positionV>
            <wp:extent cx="1971675"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716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Sports + Outdoors Announces Record Sales and Earnings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First Quarter and Raises 2021 Financial Forecast</w:t>
      </w:r>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 xml:space="preserve">Net Sales Increased </w:t>
      </w:r>
      <w:r>
        <w:rPr>
          <w:rFonts w:ascii="Arial" w:cs="Arial" w:eastAsia="Arial" w:hAnsi="Arial"/>
          <w:sz w:val="18"/>
          <w:szCs w:val="18"/>
          <w:color w:val="auto"/>
        </w:rPr>
        <w:t>39.1%</w:t>
      </w:r>
      <w:r>
        <w:rPr>
          <w:rFonts w:ascii="Arial" w:cs="Arial" w:eastAsia="Arial" w:hAnsi="Arial"/>
          <w:sz w:val="18"/>
          <w:szCs w:val="18"/>
          <w:i w:val="1"/>
          <w:iCs w:val="1"/>
          <w:color w:val="auto"/>
        </w:rPr>
        <w:t xml:space="preserve">; Comparable Sales Increased </w:t>
      </w:r>
      <w:r>
        <w:rPr>
          <w:rFonts w:ascii="Arial" w:cs="Arial" w:eastAsia="Arial" w:hAnsi="Arial"/>
          <w:sz w:val="18"/>
          <w:szCs w:val="18"/>
          <w:color w:val="auto"/>
        </w:rPr>
        <w:t>38.9%</w:t>
      </w:r>
    </w:p>
    <w:p>
      <w:pPr>
        <w:spacing w:after="0" w:line="239"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Gross Margin Rate Increased 950 basis points to 35.7%</w:t>
      </w:r>
    </w:p>
    <w:p>
      <w:pPr>
        <w:spacing w:after="0" w:line="239" w:lineRule="exact"/>
        <w:rPr>
          <w:sz w:val="20"/>
          <w:szCs w:val="20"/>
          <w:color w:val="auto"/>
        </w:rPr>
      </w:pPr>
    </w:p>
    <w:p>
      <w:pPr>
        <w:ind w:left="3180"/>
        <w:spacing w:after="0"/>
        <w:rPr>
          <w:sz w:val="20"/>
          <w:szCs w:val="20"/>
          <w:color w:val="auto"/>
        </w:rPr>
      </w:pPr>
      <w:r>
        <w:rPr>
          <w:rFonts w:ascii="Arial" w:cs="Arial" w:eastAsia="Arial" w:hAnsi="Arial"/>
          <w:sz w:val="18"/>
          <w:szCs w:val="18"/>
          <w:i w:val="1"/>
          <w:iCs w:val="1"/>
          <w:color w:val="auto"/>
        </w:rPr>
        <w:t xml:space="preserve">Pre-Tax Income Grew to </w:t>
      </w:r>
      <w:r>
        <w:rPr>
          <w:rFonts w:ascii="Arial" w:cs="Arial" w:eastAsia="Arial" w:hAnsi="Arial"/>
          <w:sz w:val="18"/>
          <w:szCs w:val="18"/>
          <w:color w:val="auto"/>
        </w:rPr>
        <w:t>$225.0 million</w:t>
      </w:r>
      <w:r>
        <w:rPr>
          <w:rFonts w:ascii="Arial" w:cs="Arial" w:eastAsia="Arial" w:hAnsi="Arial"/>
          <w:sz w:val="18"/>
          <w:szCs w:val="18"/>
          <w:i w:val="1"/>
          <w:iCs w:val="1"/>
          <w:color w:val="auto"/>
        </w:rPr>
        <w:t xml:space="preserve"> from a loss of $9.5 million</w:t>
      </w:r>
    </w:p>
    <w:p>
      <w:pPr>
        <w:spacing w:after="0" w:line="239" w:lineRule="exact"/>
        <w:rPr>
          <w:sz w:val="20"/>
          <w:szCs w:val="20"/>
          <w:color w:val="auto"/>
        </w:rPr>
      </w:pPr>
    </w:p>
    <w:p>
      <w:pPr>
        <w:ind w:left="3220"/>
        <w:spacing w:after="0"/>
        <w:rPr>
          <w:sz w:val="20"/>
          <w:szCs w:val="20"/>
          <w:color w:val="auto"/>
        </w:rPr>
      </w:pPr>
      <w:r>
        <w:rPr>
          <w:rFonts w:ascii="Arial" w:cs="Arial" w:eastAsia="Arial" w:hAnsi="Arial"/>
          <w:sz w:val="18"/>
          <w:szCs w:val="18"/>
          <w:i w:val="1"/>
          <w:iCs w:val="1"/>
          <w:color w:val="auto"/>
        </w:rPr>
        <w:t>Company Raises Full Year Diluted EPS Range to $4.15 to $4.50</w:t>
      </w:r>
    </w:p>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KATY, TEXAS (Globe Newswire — June 8, 2021) </w:t>
      </w:r>
      <w:r>
        <w:rPr>
          <w:rFonts w:ascii="Arial" w:cs="Arial" w:eastAsia="Arial" w:hAnsi="Arial"/>
          <w:sz w:val="18"/>
          <w:szCs w:val="18"/>
          <w:color w:val="auto"/>
        </w:rPr>
        <w:t>– Academy Sports and Outdoors, Inc. (Nasdaq: ASO) ("Academy" or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its financial results for the first quarter ended May 1, 2021. Unless otherwise indicated, comparisons are to the same period in the prior fiscal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2021 Results</w:t>
      </w:r>
    </w:p>
    <w:p>
      <w:pPr>
        <w:spacing w:after="0" w:line="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sales increased 39.1% to a first quarter record $1.58 billion, while comparable sales increased 38.9%. Sales grew 46.8% compared to the first quarter of 2019. The growth was driven by continued strong, double-digit consumer demand across all product categories, notably in Apparel, Footwear and Team Sports, as well as across our entire geographic footprint. E-commerce sales declined 21.0%, as the website anniversaried triple-digit growth in the first quarter of 2020, as consumers shifted to online ordering at the beginning of the pandemic last year. Over the last two years, E-commerce sales have increased 300.0% during the first quarter.</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margin increased 89.2% to $563.7 million, the highest quarterly gross profit in the Company's history. The gross margin rate increased 950 basis points to 35.7%. This growth was primarily driven by improved merchandise margins from a favorable mix shift, higher average unit retails, fewer promotions and less clearance activity.</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growth in gross profit, coupled with 450 basis points of selling, general &amp; administrative expense leverage, resulted in $224.9 million of pre-tax income versus a loss of $9.5 million in the first quarter of 2020.</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income was $ 177.8 million compared to a loss of $10.0 million in Q1 2020. Diluted earnings per share were $1.84 compared to a loss of $0.14 in the prior year quarter. Pro forma adjusted net income, which excludes the impact of certain non-cash and extraordinary items, increased from $0.4 million to $182.5 million. Pro forma diluted earnings per share were $1.89 compared to $0.01 per share in the prior year quarter.</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Academy Sports + Outdoors team again generated record-breaking sales and profits, while delivering fun to our customers,” said Ken Hicks, Chairman, President and Chief Executive Officer. “The strategic initiatives implemented over the last few years, a shift in consumer spending into sports and outdoor categories, government-issued stimulus checks, the addition of new customers and more frequent shopping by existing customers are driving consistent growth. We believe our broad, value-based assortment, available through a true omnichannel experience, positions us to continue to capitalize on these market trends."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 Update</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the end of the first quarter, the Company’s cash and cash equivalents totaled $593.3 million and no amounts were drawn on its credit facility. During the first quarter, net cash provided by operating activities was $219.2 million compared to $90.8 million in the first quarter of 2020.</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Subsequent to the end of the first quarter, on May 10, 2021, Academy's largest shareholders completed a secondary offering of the Company's common stock and Academy purchased and retired 3.2 million shares for approximately $100 million. As a result of this reduction in shares owned by the largest owners, Academy's largest shareholder owned approximately 31% of the Company. In addition to the stock repurchase, the Company paid down $99 million of its outstanding term loan and refinanced the loan's interest rate from LIBOR + 5.0% to LIBOR + 3.75%.</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Michael Mullican, Executive Vice President and Chief Financial Officer, said, "Based on the extraordinary sales and margin results, the Company has fortified its balance sheet and is also increasing its full year earnings outlook. Academy's cash balance is stronger today than at the end of fiscal 2020 even after using $199 million to repurchase shares and pay down a portion of its term loan."</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364"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2021 Outlook</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While there is still economic uncertainty from the impact of COVID-19 and other external factors, based on the strong performance of the first quarter and the visibility we have for the remainder of 2021, the Company is increasing its fiscal 2021 guidance as follows:</w:t>
      </w:r>
    </w:p>
    <w:p>
      <w:pPr>
        <w:spacing w:after="0" w:line="200" w:lineRule="exact"/>
        <w:rPr>
          <w:sz w:val="20"/>
          <w:szCs w:val="20"/>
          <w:color w:val="auto"/>
        </w:rPr>
      </w:pPr>
    </w:p>
    <w:p>
      <w:pPr>
        <w:spacing w:after="0" w:line="275" w:lineRule="exact"/>
        <w:rPr>
          <w:sz w:val="20"/>
          <w:szCs w:val="20"/>
          <w:color w:val="auto"/>
        </w:rPr>
      </w:pPr>
    </w:p>
    <w:tbl>
      <w:tblPr>
        <w:tblLayout w:type="fixed"/>
        <w:tblInd w:w="1650" w:type="dxa"/>
        <w:tblCellMar>
          <w:top w:w="0" w:type="dxa"/>
          <w:left w:w="0" w:type="dxa"/>
          <w:bottom w:w="0" w:type="dxa"/>
          <w:right w:w="0" w:type="dxa"/>
        </w:tblCellMar>
      </w:tblPr>
      <w:tr>
        <w:trPr>
          <w:trHeight w:val="270"/>
        </w:trPr>
        <w:tc>
          <w:tcPr>
            <w:tcW w:w="2520" w:type="dxa"/>
            <w:vAlign w:val="bottom"/>
            <w:tcBorders>
              <w:top w:val="single" w:sz="8" w:color="auto"/>
              <w:left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3620" w:type="dxa"/>
            <w:vAlign w:val="bottom"/>
            <w:tcBorders>
              <w:top w:val="single" w:sz="8" w:color="auto"/>
              <w:right w:val="single" w:sz="8" w:color="auto"/>
            </w:tcBorders>
            <w:gridSpan w:val="3"/>
          </w:tcPr>
          <w:p>
            <w:pPr>
              <w:jc w:val="right"/>
              <w:ind w:right="1321"/>
              <w:spacing w:after="0"/>
              <w:rPr>
                <w:sz w:val="20"/>
                <w:szCs w:val="20"/>
                <w:color w:val="auto"/>
              </w:rPr>
            </w:pPr>
            <w:r>
              <w:rPr>
                <w:rFonts w:ascii="Arial" w:cs="Arial" w:eastAsia="Arial" w:hAnsi="Arial"/>
                <w:sz w:val="22"/>
                <w:szCs w:val="22"/>
                <w:b w:val="1"/>
                <w:bCs w:val="1"/>
                <w:color w:val="auto"/>
                <w:w w:val="97"/>
              </w:rPr>
              <w:t>Fiscal 2021 Guidance</w:t>
            </w:r>
          </w:p>
        </w:tc>
        <w:tc>
          <w:tcPr>
            <w:tcW w:w="0" w:type="dxa"/>
            <w:vAlign w:val="bottom"/>
          </w:tcPr>
          <w:p>
            <w:pPr>
              <w:spacing w:after="0"/>
              <w:rPr>
                <w:sz w:val="1"/>
                <w:szCs w:val="1"/>
                <w:color w:val="auto"/>
              </w:rPr>
            </w:pPr>
          </w:p>
        </w:tc>
      </w:tr>
      <w:tr>
        <w:trPr>
          <w:trHeight w:val="20"/>
        </w:trPr>
        <w:tc>
          <w:tcPr>
            <w:tcW w:w="252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25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740" w:type="dxa"/>
            <w:vAlign w:val="bottom"/>
            <w:gridSpan w:val="2"/>
          </w:tcPr>
          <w:p>
            <w:pPr>
              <w:jc w:val="right"/>
              <w:ind w:right="1112"/>
              <w:spacing w:after="0"/>
              <w:rPr>
                <w:sz w:val="20"/>
                <w:szCs w:val="20"/>
                <w:color w:val="auto"/>
              </w:rPr>
            </w:pPr>
            <w:r>
              <w:rPr>
                <w:rFonts w:ascii="Arial" w:cs="Arial" w:eastAsia="Arial" w:hAnsi="Arial"/>
                <w:sz w:val="20"/>
                <w:szCs w:val="20"/>
                <w:b w:val="1"/>
                <w:bCs w:val="1"/>
                <w:color w:val="auto"/>
              </w:rPr>
              <w:t>Previous</w:t>
            </w:r>
          </w:p>
        </w:tc>
        <w:tc>
          <w:tcPr>
            <w:tcW w:w="820" w:type="dxa"/>
            <w:vAlign w:val="bottom"/>
          </w:tcPr>
          <w:p>
            <w:pPr>
              <w:spacing w:after="0"/>
              <w:rPr>
                <w:sz w:val="24"/>
                <w:szCs w:val="24"/>
                <w:color w:val="auto"/>
              </w:rPr>
            </w:pPr>
          </w:p>
        </w:tc>
        <w:tc>
          <w:tcPr>
            <w:tcW w:w="1420" w:type="dxa"/>
            <w:vAlign w:val="bottom"/>
            <w:tcBorders>
              <w:right w:val="single" w:sz="8" w:color="auto"/>
            </w:tcBorders>
          </w:tcPr>
          <w:p>
            <w:pPr>
              <w:jc w:val="right"/>
              <w:ind w:right="861"/>
              <w:spacing w:after="0"/>
              <w:rPr>
                <w:sz w:val="20"/>
                <w:szCs w:val="20"/>
                <w:color w:val="auto"/>
              </w:rPr>
            </w:pPr>
            <w:r>
              <w:rPr>
                <w:rFonts w:ascii="Arial" w:cs="Arial" w:eastAsia="Arial" w:hAnsi="Arial"/>
                <w:sz w:val="20"/>
                <w:szCs w:val="20"/>
                <w:b w:val="1"/>
                <w:bCs w:val="1"/>
                <w:color w:val="auto"/>
              </w:rPr>
              <w:t>New</w:t>
            </w:r>
          </w:p>
        </w:tc>
        <w:tc>
          <w:tcPr>
            <w:tcW w:w="0" w:type="dxa"/>
            <w:vAlign w:val="bottom"/>
          </w:tcPr>
          <w:p>
            <w:pPr>
              <w:spacing w:after="0"/>
              <w:rPr>
                <w:sz w:val="1"/>
                <w:szCs w:val="1"/>
                <w:color w:val="auto"/>
              </w:rPr>
            </w:pPr>
          </w:p>
        </w:tc>
      </w:tr>
      <w:tr>
        <w:trPr>
          <w:trHeight w:val="23"/>
        </w:trPr>
        <w:tc>
          <w:tcPr>
            <w:tcW w:w="252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Comparable Sales</w:t>
            </w: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520" w:type="dxa"/>
            <w:vAlign w:val="bottom"/>
            <w:tcBorders>
              <w:left w:val="single" w:sz="8" w:color="auto"/>
            </w:tcBorders>
            <w:vMerge w:val="continue"/>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2740" w:type="dxa"/>
            <w:vAlign w:val="bottom"/>
            <w:tcBorders>
              <w:right w:val="single" w:sz="8" w:color="auto"/>
            </w:tcBorders>
            <w:gridSpan w:val="2"/>
          </w:tcPr>
          <w:p>
            <w:pPr>
              <w:jc w:val="right"/>
              <w:ind w:right="432"/>
              <w:spacing w:after="0"/>
              <w:rPr>
                <w:sz w:val="20"/>
                <w:szCs w:val="20"/>
                <w:color w:val="auto"/>
              </w:rPr>
            </w:pPr>
            <w:r>
              <w:rPr>
                <w:rFonts w:ascii="Arial" w:cs="Arial" w:eastAsia="Arial" w:hAnsi="Arial"/>
                <w:sz w:val="20"/>
                <w:szCs w:val="20"/>
                <w:color w:val="auto"/>
              </w:rPr>
              <w:t>(2.0)% to +2.0%</w:t>
            </w:r>
          </w:p>
        </w:tc>
        <w:tc>
          <w:tcPr>
            <w:tcW w:w="2240" w:type="dxa"/>
            <w:vAlign w:val="bottom"/>
            <w:tcBorders>
              <w:right w:val="single" w:sz="8" w:color="auto"/>
            </w:tcBorders>
            <w:gridSpan w:val="2"/>
          </w:tcPr>
          <w:p>
            <w:pPr>
              <w:jc w:val="right"/>
              <w:spacing w:after="0"/>
              <w:rPr>
                <w:sz w:val="20"/>
                <w:szCs w:val="20"/>
                <w:color w:val="auto"/>
              </w:rPr>
            </w:pPr>
            <w:r>
              <w:rPr>
                <w:rFonts w:ascii="Arial" w:cs="Arial" w:eastAsia="Arial" w:hAnsi="Arial"/>
                <w:sz w:val="20"/>
                <w:szCs w:val="20"/>
                <w:color w:val="auto"/>
              </w:rPr>
              <w:t>+6.0% to +9.0%</w:t>
            </w:r>
          </w:p>
        </w:tc>
        <w:tc>
          <w:tcPr>
            <w:tcW w:w="0" w:type="dxa"/>
            <w:vAlign w:val="bottom"/>
          </w:tcPr>
          <w:p>
            <w:pPr>
              <w:spacing w:after="0"/>
              <w:rPr>
                <w:sz w:val="1"/>
                <w:szCs w:val="1"/>
                <w:color w:val="auto"/>
              </w:rPr>
            </w:pPr>
          </w:p>
        </w:tc>
      </w:tr>
      <w:tr>
        <w:trPr>
          <w:trHeight w:val="23"/>
        </w:trPr>
        <w:tc>
          <w:tcPr>
            <w:tcW w:w="2520" w:type="dxa"/>
            <w:vAlign w:val="bottom"/>
            <w:tcBorders>
              <w:left w:val="single" w:sz="8" w:color="auto"/>
            </w:tcBorders>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520" w:type="dxa"/>
            <w:vAlign w:val="bottom"/>
            <w:tcBorders>
              <w:left w:val="single" w:sz="8" w:color="auto"/>
            </w:tcBorders>
            <w:shd w:val="clear" w:color="auto" w:fill="026DCE"/>
          </w:tcPr>
          <w:p>
            <w:pPr>
              <w:spacing w:after="0"/>
              <w:rPr>
                <w:sz w:val="12"/>
                <w:szCs w:val="12"/>
                <w:color w:val="auto"/>
              </w:rPr>
            </w:pPr>
          </w:p>
        </w:tc>
        <w:tc>
          <w:tcPr>
            <w:tcW w:w="480" w:type="dxa"/>
            <w:vAlign w:val="bottom"/>
            <w:tcBorders>
              <w:right w:val="single" w:sz="8" w:color="auto"/>
            </w:tcBorders>
            <w:shd w:val="clear" w:color="auto" w:fill="026DCE"/>
          </w:tcPr>
          <w:p>
            <w:pPr>
              <w:spacing w:after="0"/>
              <w:rPr>
                <w:sz w:val="12"/>
                <w:szCs w:val="12"/>
                <w:color w:val="auto"/>
              </w:rPr>
            </w:pPr>
          </w:p>
        </w:tc>
        <w:tc>
          <w:tcPr>
            <w:tcW w:w="1360" w:type="dxa"/>
            <w:vAlign w:val="bottom"/>
            <w:shd w:val="clear" w:color="auto" w:fill="026DCE"/>
          </w:tcPr>
          <w:p>
            <w:pPr>
              <w:spacing w:after="0"/>
              <w:rPr>
                <w:sz w:val="12"/>
                <w:szCs w:val="12"/>
                <w:color w:val="auto"/>
              </w:rPr>
            </w:pPr>
          </w:p>
        </w:tc>
        <w:tc>
          <w:tcPr>
            <w:tcW w:w="1380" w:type="dxa"/>
            <w:vAlign w:val="bottom"/>
            <w:tcBorders>
              <w:right w:val="single" w:sz="8" w:color="auto"/>
            </w:tcBorders>
            <w:shd w:val="clear" w:color="auto" w:fill="026DCE"/>
          </w:tcPr>
          <w:p>
            <w:pPr>
              <w:spacing w:after="0"/>
              <w:rPr>
                <w:sz w:val="12"/>
                <w:szCs w:val="12"/>
                <w:color w:val="auto"/>
              </w:rPr>
            </w:pPr>
          </w:p>
        </w:tc>
        <w:tc>
          <w:tcPr>
            <w:tcW w:w="820" w:type="dxa"/>
            <w:vAlign w:val="bottom"/>
            <w:shd w:val="clear" w:color="auto" w:fill="026DCE"/>
          </w:tcPr>
          <w:p>
            <w:pPr>
              <w:spacing w:after="0"/>
              <w:rPr>
                <w:sz w:val="12"/>
                <w:szCs w:val="12"/>
                <w:color w:val="auto"/>
              </w:rPr>
            </w:pPr>
          </w:p>
        </w:tc>
        <w:tc>
          <w:tcPr>
            <w:tcW w:w="1420" w:type="dxa"/>
            <w:vAlign w:val="bottom"/>
            <w:tcBorders>
              <w:right w:val="single" w:sz="8" w:color="auto"/>
            </w:tcBorders>
            <w:shd w:val="clear" w:color="auto" w:fill="026DCE"/>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30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 xml:space="preserve">Net Income </w:t>
            </w:r>
            <w:r>
              <w:rPr>
                <w:rFonts w:ascii="Arial" w:cs="Arial" w:eastAsia="Arial" w:hAnsi="Arial"/>
                <w:sz w:val="10"/>
                <w:szCs w:val="10"/>
                <w:b w:val="1"/>
                <w:bCs w:val="1"/>
                <w:color w:val="auto"/>
              </w:rPr>
              <w:t>(in millions)</w:t>
            </w:r>
          </w:p>
        </w:tc>
        <w:tc>
          <w:tcPr>
            <w:tcW w:w="2740" w:type="dxa"/>
            <w:vAlign w:val="bottom"/>
            <w:tcBorders>
              <w:right w:val="single" w:sz="8" w:color="auto"/>
            </w:tcBorders>
            <w:gridSpan w:val="2"/>
          </w:tcPr>
          <w:p>
            <w:pPr>
              <w:jc w:val="right"/>
              <w:ind w:right="432"/>
              <w:spacing w:after="0"/>
              <w:rPr>
                <w:sz w:val="20"/>
                <w:szCs w:val="20"/>
                <w:color w:val="auto"/>
              </w:rPr>
            </w:pPr>
            <w:r>
              <w:rPr>
                <w:rFonts w:ascii="Arial" w:cs="Arial" w:eastAsia="Arial" w:hAnsi="Arial"/>
                <w:sz w:val="20"/>
                <w:szCs w:val="20"/>
                <w:color w:val="auto"/>
              </w:rPr>
              <w:t>$265.0 to $290.0</w:t>
            </w:r>
          </w:p>
        </w:tc>
        <w:tc>
          <w:tcPr>
            <w:tcW w:w="2240" w:type="dxa"/>
            <w:vAlign w:val="bottom"/>
            <w:tcBorders>
              <w:right w:val="single" w:sz="8" w:color="auto"/>
            </w:tcBorders>
            <w:gridSpan w:val="2"/>
          </w:tcPr>
          <w:p>
            <w:pPr>
              <w:jc w:val="right"/>
              <w:spacing w:after="0"/>
              <w:rPr>
                <w:sz w:val="20"/>
                <w:szCs w:val="20"/>
                <w:color w:val="auto"/>
              </w:rPr>
            </w:pPr>
            <w:r>
              <w:rPr>
                <w:rFonts w:ascii="Arial" w:cs="Arial" w:eastAsia="Arial" w:hAnsi="Arial"/>
                <w:sz w:val="20"/>
                <w:szCs w:val="20"/>
                <w:color w:val="auto"/>
              </w:rPr>
              <w:t>$400.0 to $435.0</w:t>
            </w:r>
          </w:p>
        </w:tc>
        <w:tc>
          <w:tcPr>
            <w:tcW w:w="0" w:type="dxa"/>
            <w:vAlign w:val="bottom"/>
          </w:tcPr>
          <w:p>
            <w:pPr>
              <w:spacing w:after="0"/>
              <w:rPr>
                <w:sz w:val="1"/>
                <w:szCs w:val="1"/>
                <w:color w:val="auto"/>
              </w:rPr>
            </w:pPr>
          </w:p>
        </w:tc>
      </w:tr>
      <w:tr>
        <w:trPr>
          <w:trHeight w:val="22"/>
        </w:trPr>
        <w:tc>
          <w:tcPr>
            <w:tcW w:w="2520" w:type="dxa"/>
            <w:vAlign w:val="bottom"/>
            <w:tcBorders>
              <w:left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520" w:type="dxa"/>
            <w:vAlign w:val="bottom"/>
            <w:tcBorders>
              <w:left w:val="single" w:sz="8" w:color="auto"/>
            </w:tcBorders>
            <w:shd w:val="clear" w:color="auto" w:fill="026DCE"/>
          </w:tcPr>
          <w:p>
            <w:pPr>
              <w:spacing w:after="0"/>
              <w:rPr>
                <w:sz w:val="12"/>
                <w:szCs w:val="12"/>
                <w:color w:val="auto"/>
              </w:rPr>
            </w:pPr>
          </w:p>
        </w:tc>
        <w:tc>
          <w:tcPr>
            <w:tcW w:w="480" w:type="dxa"/>
            <w:vAlign w:val="bottom"/>
            <w:tcBorders>
              <w:right w:val="single" w:sz="8" w:color="auto"/>
            </w:tcBorders>
            <w:shd w:val="clear" w:color="auto" w:fill="026DCE"/>
          </w:tcPr>
          <w:p>
            <w:pPr>
              <w:spacing w:after="0"/>
              <w:rPr>
                <w:sz w:val="12"/>
                <w:szCs w:val="12"/>
                <w:color w:val="auto"/>
              </w:rPr>
            </w:pPr>
          </w:p>
        </w:tc>
        <w:tc>
          <w:tcPr>
            <w:tcW w:w="1360" w:type="dxa"/>
            <w:vAlign w:val="bottom"/>
            <w:shd w:val="clear" w:color="auto" w:fill="026DCE"/>
          </w:tcPr>
          <w:p>
            <w:pPr>
              <w:spacing w:after="0"/>
              <w:rPr>
                <w:sz w:val="12"/>
                <w:szCs w:val="12"/>
                <w:color w:val="auto"/>
              </w:rPr>
            </w:pPr>
          </w:p>
        </w:tc>
        <w:tc>
          <w:tcPr>
            <w:tcW w:w="1380" w:type="dxa"/>
            <w:vAlign w:val="bottom"/>
            <w:tcBorders>
              <w:right w:val="single" w:sz="8" w:color="auto"/>
            </w:tcBorders>
            <w:shd w:val="clear" w:color="auto" w:fill="026DCE"/>
          </w:tcPr>
          <w:p>
            <w:pPr>
              <w:spacing w:after="0"/>
              <w:rPr>
                <w:sz w:val="12"/>
                <w:szCs w:val="12"/>
                <w:color w:val="auto"/>
              </w:rPr>
            </w:pPr>
          </w:p>
        </w:tc>
        <w:tc>
          <w:tcPr>
            <w:tcW w:w="820" w:type="dxa"/>
            <w:vAlign w:val="bottom"/>
            <w:shd w:val="clear" w:color="auto" w:fill="026DCE"/>
          </w:tcPr>
          <w:p>
            <w:pPr>
              <w:spacing w:after="0"/>
              <w:rPr>
                <w:sz w:val="12"/>
                <w:szCs w:val="12"/>
                <w:color w:val="auto"/>
              </w:rPr>
            </w:pPr>
          </w:p>
        </w:tc>
        <w:tc>
          <w:tcPr>
            <w:tcW w:w="1420" w:type="dxa"/>
            <w:vAlign w:val="bottom"/>
            <w:tcBorders>
              <w:right w:val="single" w:sz="8" w:color="auto"/>
            </w:tcBorders>
            <w:shd w:val="clear" w:color="auto" w:fill="026DCE"/>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30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EPS-diluted</w:t>
            </w:r>
          </w:p>
        </w:tc>
        <w:tc>
          <w:tcPr>
            <w:tcW w:w="2740" w:type="dxa"/>
            <w:vAlign w:val="bottom"/>
            <w:tcBorders>
              <w:right w:val="single" w:sz="8" w:color="auto"/>
            </w:tcBorders>
            <w:gridSpan w:val="2"/>
          </w:tcPr>
          <w:p>
            <w:pPr>
              <w:jc w:val="right"/>
              <w:ind w:right="432"/>
              <w:spacing w:after="0"/>
              <w:rPr>
                <w:sz w:val="20"/>
                <w:szCs w:val="20"/>
                <w:color w:val="auto"/>
              </w:rPr>
            </w:pPr>
            <w:r>
              <w:rPr>
                <w:rFonts w:ascii="Arial" w:cs="Arial" w:eastAsia="Arial" w:hAnsi="Arial"/>
                <w:sz w:val="20"/>
                <w:szCs w:val="20"/>
                <w:color w:val="auto"/>
              </w:rPr>
              <w:t>$2.70 to $2.95</w:t>
            </w:r>
          </w:p>
        </w:tc>
        <w:tc>
          <w:tcPr>
            <w:tcW w:w="820" w:type="dxa"/>
            <w:vAlign w:val="bottom"/>
          </w:tcPr>
          <w:p>
            <w:pPr>
              <w:spacing w:after="0"/>
              <w:rPr>
                <w:sz w:val="22"/>
                <w:szCs w:val="22"/>
                <w:color w:val="auto"/>
              </w:rPr>
            </w:pP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$4.15 to $4.50</w:t>
            </w:r>
          </w:p>
        </w:tc>
        <w:tc>
          <w:tcPr>
            <w:tcW w:w="0" w:type="dxa"/>
            <w:vAlign w:val="bottom"/>
          </w:tcPr>
          <w:p>
            <w:pPr>
              <w:spacing w:after="0"/>
              <w:rPr>
                <w:sz w:val="1"/>
                <w:szCs w:val="1"/>
                <w:color w:val="auto"/>
              </w:rPr>
            </w:pPr>
          </w:p>
        </w:tc>
      </w:tr>
      <w:tr>
        <w:trPr>
          <w:trHeight w:val="70"/>
        </w:trPr>
        <w:tc>
          <w:tcPr>
            <w:tcW w:w="2520" w:type="dxa"/>
            <w:vAlign w:val="bottom"/>
            <w:tcBorders>
              <w:left w:val="single" w:sz="8" w:color="auto"/>
              <w:bottom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EPS estimate is based on diluted weighted average shares outstanding of 96.5 million shares and a tax rate of 23.0%.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Academy will host a conference call today at 11:00 a.m. Eastern Time to discuss its financial results. Listeners may access the call by dialing 1-877-407-3982 (U.S.) or 1-201-493-6780 (International). The conference passcode is 13719814. A webcast of the call can be accessed at </w:t>
      </w:r>
      <w:r>
        <w:rPr>
          <w:rFonts w:ascii="Arial" w:cs="Arial" w:eastAsia="Arial" w:hAnsi="Arial"/>
          <w:sz w:val="18"/>
          <w:szCs w:val="18"/>
          <w:u w:val="single" w:color="auto"/>
          <w:color w:val="0E32E1"/>
        </w:rPr>
        <w:t>investors.academy.com</w:t>
      </w:r>
      <w:r>
        <w:rPr>
          <w:rFonts w:ascii="Arial" w:cs="Arial" w:eastAsia="Arial" w:hAnsi="Arial"/>
          <w:sz w:val="18"/>
          <w:szCs w:val="18"/>
          <w:color w:val="000000"/>
        </w:rPr>
        <w:t>.</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 telephonic replay of the conference call will be available for approximately 30 days, by dialing 1-844-512-2921 (U.S.) or 1-412-317-6671 (International) and entering conference passcode 13719814. An archive of the webcast will be available at </w:t>
      </w:r>
      <w:r>
        <w:rPr>
          <w:rFonts w:ascii="Arial" w:cs="Arial" w:eastAsia="Arial" w:hAnsi="Arial"/>
          <w:sz w:val="18"/>
          <w:szCs w:val="18"/>
          <w:u w:val="single" w:color="auto"/>
          <w:color w:val="0E32E1"/>
        </w:rPr>
        <w:t>investors.academy.com</w:t>
      </w:r>
      <w:r>
        <w:rPr>
          <w:rFonts w:ascii="Arial" w:cs="Arial" w:eastAsia="Arial" w:hAnsi="Arial"/>
          <w:sz w:val="18"/>
          <w:szCs w:val="18"/>
          <w:color w:val="auto"/>
        </w:rPr>
        <w:t xml:space="preserve"> for approximately 30 days.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Academy Sports + Outdoors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Academy is a leading full-line sporting goods and outdoor recreation retailer in the United States. Originally founded in 1938 as a family business in Texas, Academy has grown to 259 stores across 16 contiguous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19 private label brands, which go well beyond traditional sporting goods and apparel offerings.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references to "Academy," "Academy Sports + Outdoors," "we," "us," "our" or the "Company" in this press release refer to (1) prior to October 1, 2020 (the "IPO pricing date"), New Academy Holding Company, LLC, a Delaware limited liability company ("NAHC") and the prior parent holding company for our operations, and its consolidated subsidiaries; and (2) on and after the IPO pricing date, Academy Sports and Outdoors, Inc., a Delaware corporation ("ASO, Inc.") and the current parent holding company of our operations, and its consolidated subsidiaries.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the IPO pricing date, we completed a series of reorganization transactions (the "Reorganization Transactions") that resulted in NAHC being contributed to ASO, Inc. by its members and becoming a wholly owned subsidiary of ASO, Inc. and one share of common stock of ASO, Inc. issued to then-existing members of NAHC for every 3.15 membership units of NAHC contributed to ASO, Inc. (the "Contribution</w:t>
      </w:r>
    </w:p>
    <w:p>
      <w:pPr>
        <w:spacing w:after="0" w:line="1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Ratio"). Unless indicated otherwise, the information in this press release has been adjusted to give retrospective effect to the Contribution Ratio.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Adjusted EBITDA, Adjusted EBIT, Adjusted Net Income (Loss), Pro Forma Adjusted Net Income (Loss), Pro Forma Adjusted Earnings Per Share, and Adjusted Free Cash Flow have been presented in this press release as supplemental measures of financial performance that are not required by, or presented in accordance with, generally accepted accounting principles (“GAAP”). These non-GAAP measures have limitations as analytical tools. For information on these limitations, as well as information on why management believes these non-GAAP measures are useful, please see our Annual Report for fiscal year 2020 filed on April 7, 2021 (our “Annual Report”), as such limitations and information may be updated from time to time in our periodic filings with the Securities and Exchange commission (the "SEC"), which are accessible on the SEC's website at </w:t>
      </w:r>
      <w:r>
        <w:rPr>
          <w:rFonts w:ascii="Arial" w:cs="Arial" w:eastAsia="Arial" w:hAnsi="Arial"/>
          <w:sz w:val="18"/>
          <w:szCs w:val="18"/>
          <w:u w:val="single" w:color="auto"/>
          <w:color w:val="0E32E1"/>
        </w:rPr>
        <w:t>www.sec.gov</w:t>
      </w:r>
      <w:r>
        <w:rPr>
          <w:rFonts w:ascii="Arial" w:cs="Arial" w:eastAsia="Arial" w:hAnsi="Arial"/>
          <w:sz w:val="18"/>
          <w:szCs w:val="18"/>
          <w:color w:val="auto"/>
        </w:rPr>
        <w:t>.</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We compensate for these limitations by primarily relying on our GAAP results in addition to using these non-GAAP measures supplementally. </w:t>
      </w:r>
      <w:r>
        <w:rPr>
          <w:rFonts w:ascii="Arial" w:cs="Arial" w:eastAsia="Arial" w:hAnsi="Arial"/>
          <w:sz w:val="18"/>
          <w:szCs w:val="18"/>
          <w:i w:val="1"/>
          <w:iCs w:val="1"/>
          <w:color w:val="auto"/>
        </w:rPr>
        <w:t>See “Reconciliations of Non-GAAP to GAAP Financial Measures” below for reconciliations of non-GAAP financial measures used in this press release to their most directly comparable GAAP financial measures.</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684"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and Section 21E of the Securities Exchange Act of 1934, as amended. These forward-looking statements are based on Academy's current expectations and are not guarantees of future performance. You can identify these forward-looking statements by the use of words such as “outlook,” “guidance,” “believes,” “expects,” “potential,” “continues,” “may,” “will,” “should,” “could,” “seeks,” “projects,” “predicts,” “intends,” “plans,” “estimates,” “anticipates” or the negative version of these words or other comparable words. The forward-looking statements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many of which are beyond Academy's control. Important factors that could cause actual results to differ materially from those in the forward-looking statements are set forth in Academy's filings with the SEC, including its Annual Report on Form 10-K for the fiscal year ended January 30, 2021,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480" w:type="dxa"/>
            <w:vAlign w:val="bottom"/>
            <w:gridSpan w:val="3"/>
          </w:tcPr>
          <w:p>
            <w:pPr>
              <w:ind w:left="1000"/>
              <w:spacing w:after="0"/>
              <w:rPr>
                <w:sz w:val="20"/>
                <w:szCs w:val="20"/>
                <w:color w:val="auto"/>
              </w:rPr>
            </w:pPr>
            <w:r>
              <w:rPr>
                <w:rFonts w:ascii="Arial" w:cs="Arial" w:eastAsia="Arial" w:hAnsi="Arial"/>
                <w:sz w:val="18"/>
                <w:szCs w:val="18"/>
                <w:b w:val="1"/>
                <w:bCs w:val="1"/>
                <w:color w:val="auto"/>
              </w:rPr>
              <w:t>Media Contact</w:t>
            </w:r>
          </w:p>
        </w:tc>
      </w:tr>
      <w:tr>
        <w:trPr>
          <w:trHeight w:val="284"/>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 Hodges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Elise Hasbrook</w:t>
            </w:r>
          </w:p>
        </w:tc>
        <w:tc>
          <w:tcPr>
            <w:tcW w:w="1240" w:type="dxa"/>
            <w:vAlign w:val="bottom"/>
          </w:tcPr>
          <w:p>
            <w:pPr>
              <w:spacing w:after="0"/>
              <w:rPr>
                <w:sz w:val="24"/>
                <w:szCs w:val="24"/>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VP, Investor Relations</w:t>
            </w:r>
          </w:p>
        </w:tc>
        <w:tc>
          <w:tcPr>
            <w:tcW w:w="3480" w:type="dxa"/>
            <w:vAlign w:val="bottom"/>
            <w:gridSpan w:val="3"/>
          </w:tcPr>
          <w:p>
            <w:pPr>
              <w:ind w:left="1000"/>
              <w:spacing w:after="0"/>
              <w:rPr>
                <w:sz w:val="20"/>
                <w:szCs w:val="20"/>
                <w:color w:val="auto"/>
              </w:rPr>
            </w:pPr>
            <w:r>
              <w:rPr>
                <w:rFonts w:ascii="Arial" w:cs="Arial" w:eastAsia="Arial" w:hAnsi="Arial"/>
                <w:sz w:val="18"/>
                <w:szCs w:val="18"/>
                <w:color w:val="auto"/>
              </w:rPr>
              <w:t>VP, Communications</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281-646-5362</w:t>
            </w:r>
          </w:p>
        </w:tc>
        <w:tc>
          <w:tcPr>
            <w:tcW w:w="1860" w:type="dxa"/>
            <w:vAlign w:val="bottom"/>
          </w:tcPr>
          <w:p>
            <w:pPr>
              <w:spacing w:after="0"/>
              <w:rPr>
                <w:sz w:val="23"/>
                <w:szCs w:val="23"/>
                <w:color w:val="auto"/>
              </w:rPr>
            </w:pPr>
          </w:p>
        </w:tc>
        <w:tc>
          <w:tcPr>
            <w:tcW w:w="2240" w:type="dxa"/>
            <w:vAlign w:val="bottom"/>
            <w:gridSpan w:val="2"/>
          </w:tcPr>
          <w:p>
            <w:pPr>
              <w:ind w:left="1000"/>
              <w:spacing w:after="0"/>
              <w:rPr>
                <w:sz w:val="20"/>
                <w:szCs w:val="20"/>
                <w:color w:val="auto"/>
              </w:rPr>
            </w:pPr>
            <w:r>
              <w:rPr>
                <w:rFonts w:ascii="Arial" w:cs="Arial" w:eastAsia="Arial" w:hAnsi="Arial"/>
                <w:sz w:val="18"/>
                <w:szCs w:val="18"/>
                <w:color w:val="auto"/>
              </w:rPr>
              <w:t>281-944-6041</w:t>
            </w:r>
          </w:p>
        </w:tc>
        <w:tc>
          <w:tcPr>
            <w:tcW w:w="1240" w:type="dxa"/>
            <w:vAlign w:val="bottom"/>
          </w:tcPr>
          <w:p>
            <w:pPr>
              <w:spacing w:after="0"/>
              <w:rPr>
                <w:sz w:val="23"/>
                <w:szCs w:val="23"/>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Matt.hodges@academy.com</w:t>
            </w:r>
          </w:p>
        </w:tc>
        <w:tc>
          <w:tcPr>
            <w:tcW w:w="3480" w:type="dxa"/>
            <w:vAlign w:val="bottom"/>
            <w:gridSpan w:val="3"/>
          </w:tcPr>
          <w:p>
            <w:pPr>
              <w:ind w:left="1000"/>
              <w:spacing w:after="0"/>
              <w:rPr>
                <w:sz w:val="20"/>
                <w:szCs w:val="20"/>
                <w:color w:val="auto"/>
              </w:rPr>
            </w:pPr>
            <w:r>
              <w:rPr>
                <w:rFonts w:ascii="Arial" w:cs="Arial" w:eastAsia="Arial" w:hAnsi="Arial"/>
                <w:sz w:val="18"/>
                <w:szCs w:val="18"/>
                <w:color w:val="auto"/>
                <w:w w:val="99"/>
              </w:rPr>
              <w:t>Elise.hasbrook@academy.com</w:t>
            </w:r>
          </w:p>
        </w:tc>
      </w:tr>
      <w:tr>
        <w:trPr>
          <w:trHeight w:val="527"/>
        </w:trPr>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80" w:type="dxa"/>
            <w:vAlign w:val="bottom"/>
            <w:gridSpan w:val="3"/>
          </w:tcPr>
          <w:p>
            <w:pPr>
              <w:jc w:val="right"/>
              <w:ind w:right="110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5"/>
          </w:tcPr>
          <w:p>
            <w:pPr>
              <w:ind w:left="940"/>
              <w:spacing w:after="0"/>
              <w:rPr>
                <w:sz w:val="20"/>
                <w:szCs w:val="20"/>
                <w:color w:val="auto"/>
              </w:rPr>
            </w:pPr>
            <w:r>
              <w:rPr>
                <w:rFonts w:ascii="Arial" w:cs="Arial" w:eastAsia="Arial" w:hAnsi="Arial"/>
                <w:sz w:val="18"/>
                <w:szCs w:val="18"/>
                <w:b w:val="1"/>
                <w:bCs w:val="1"/>
                <w:color w:val="auto"/>
              </w:rPr>
              <w:t>Thirteen Weeks Ended</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May 1, 2021</w:t>
            </w:r>
          </w:p>
        </w:tc>
        <w:tc>
          <w:tcPr>
            <w:tcW w:w="1940" w:type="dxa"/>
            <w:vAlign w:val="bottom"/>
            <w:gridSpan w:val="2"/>
          </w:tcPr>
          <w:p>
            <w:pPr>
              <w:ind w:left="60"/>
              <w:spacing w:after="0" w:line="182" w:lineRule="exact"/>
              <w:rPr>
                <w:sz w:val="20"/>
                <w:szCs w:val="20"/>
                <w:color w:val="auto"/>
              </w:rPr>
            </w:pPr>
            <w:r>
              <w:rPr>
                <w:rFonts w:ascii="Arial" w:cs="Arial" w:eastAsia="Arial" w:hAnsi="Arial"/>
                <w:sz w:val="18"/>
                <w:szCs w:val="18"/>
                <w:b w:val="1"/>
                <w:bCs w:val="1"/>
                <w:color w:val="auto"/>
              </w:rPr>
              <w:t>Percentage of Sales</w:t>
            </w:r>
          </w:p>
        </w:tc>
        <w:tc>
          <w:tcPr>
            <w:tcW w:w="220" w:type="dxa"/>
            <w:vAlign w:val="bottom"/>
          </w:tcPr>
          <w:p>
            <w:pPr>
              <w:spacing w:after="0"/>
              <w:rPr>
                <w:sz w:val="15"/>
                <w:szCs w:val="15"/>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May 2, 2020</w:t>
            </w:r>
          </w:p>
        </w:tc>
        <w:tc>
          <w:tcPr>
            <w:tcW w:w="18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Percentage of Sales</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860" w:type="dxa"/>
            <w:vAlign w:val="bottom"/>
          </w:tcPr>
          <w:p>
            <w:pPr>
              <w:jc w:val="right"/>
              <w:ind w:right="772"/>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860" w:type="dxa"/>
            <w:vAlign w:val="bottom"/>
          </w:tcPr>
          <w:p>
            <w:pPr>
              <w:jc w:val="right"/>
              <w:ind w:right="773"/>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1,580,333</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1,136,301</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1,016,632</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64.3 %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838,356</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73.8 %</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563,701</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297,945</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324,627</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20.5 %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283,923</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239,074</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14,022</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14,549</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0.9 %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24,522</w:t>
            </w:r>
          </w:p>
        </w:tc>
        <w:tc>
          <w:tcPr>
            <w:tcW w:w="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0.0 %</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386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224,922</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14.2 %</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(9,507)</w:t>
            </w:r>
          </w:p>
        </w:tc>
        <w:tc>
          <w:tcPr>
            <w:tcW w:w="80" w:type="dxa"/>
            <w:vAlign w:val="bottom"/>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47,126</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3.0 %</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63"/>
        </w:trPr>
        <w:tc>
          <w:tcPr>
            <w:tcW w:w="386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177,796</w:t>
            </w:r>
          </w:p>
        </w:tc>
        <w:tc>
          <w:tcPr>
            <w:tcW w:w="100" w:type="dxa"/>
            <w:vAlign w:val="bottom"/>
          </w:tcPr>
          <w:p>
            <w:pPr>
              <w:spacing w:after="0"/>
              <w:rPr>
                <w:sz w:val="22"/>
                <w:szCs w:val="22"/>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11.3 %</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(10,020)</w:t>
            </w:r>
          </w:p>
        </w:tc>
        <w:tc>
          <w:tcPr>
            <w:tcW w:w="80" w:type="dxa"/>
            <w:vAlign w:val="bottom"/>
          </w:tcPr>
          <w:p>
            <w:pPr>
              <w:spacing w:after="0"/>
              <w:rPr>
                <w:sz w:val="22"/>
                <w:szCs w:val="22"/>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Earnings (Loss) Per Common Share:</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8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860" w:type="dxa"/>
            <w:vAlign w:val="bottom"/>
          </w:tcPr>
          <w:p>
            <w:pPr>
              <w:ind w:left="20"/>
              <w:spacing w:after="0"/>
              <w:rPr>
                <w:sz w:val="20"/>
                <w:szCs w:val="20"/>
                <w:color w:val="auto"/>
              </w:rPr>
            </w:pPr>
            <w:r>
              <w:rPr>
                <w:rFonts w:ascii="Arial" w:cs="Arial" w:eastAsia="Arial" w:hAnsi="Arial"/>
                <w:sz w:val="18"/>
                <w:szCs w:val="18"/>
                <w:color w:val="auto"/>
              </w:rPr>
              <w:t>Weighted Average Common Shares</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86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92,088</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72,474</w:t>
            </w:r>
          </w:p>
        </w:tc>
        <w:tc>
          <w:tcPr>
            <w:tcW w:w="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14"/>
        </w:trPr>
        <w:tc>
          <w:tcPr>
            <w:tcW w:w="3860" w:type="dxa"/>
            <w:vAlign w:val="bottom"/>
          </w:tcPr>
          <w:p>
            <w:pPr>
              <w:ind w:left="24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96,472</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72,474</w:t>
            </w: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hanging="172"/>
        <w:spacing w:after="0" w:line="223" w:lineRule="auto"/>
        <w:tabs>
          <w:tab w:leader="none" w:pos="180"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After effect of the retrospective presentation of the Reorganization Transactions and Contribution Ratio</w:t>
      </w:r>
    </w:p>
    <w:p>
      <w:pPr>
        <w:ind w:left="180" w:hanging="172"/>
        <w:spacing w:after="0" w:line="209" w:lineRule="auto"/>
        <w:tabs>
          <w:tab w:leader="none" w:pos="180"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Column may not add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08" w:right="33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89" w:lineRule="exact"/>
        <w:rPr>
          <w:sz w:val="20"/>
          <w:szCs w:val="20"/>
          <w:color w:val="auto"/>
        </w:rPr>
      </w:pPr>
    </w:p>
    <w:tbl>
      <w:tblPr>
        <w:tblLayout w:type="fixed"/>
        <w:tblInd w:w="12" w:type="dxa"/>
        <w:tblCellMar>
          <w:top w:w="0" w:type="dxa"/>
          <w:left w:w="0" w:type="dxa"/>
          <w:bottom w:w="0" w:type="dxa"/>
          <w:right w:w="0" w:type="dxa"/>
        </w:tblCellMar>
      </w:tblPr>
      <w:tr>
        <w:trPr>
          <w:trHeight w:val="228"/>
        </w:trPr>
        <w:tc>
          <w:tcPr>
            <w:tcW w:w="6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1, 2021</w:t>
            </w:r>
          </w:p>
        </w:tc>
        <w:tc>
          <w:tcPr>
            <w:tcW w:w="14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30, 2021</w:t>
            </w:r>
          </w:p>
        </w:tc>
        <w:tc>
          <w:tcPr>
            <w:tcW w:w="240" w:type="dxa"/>
            <w:vAlign w:val="bottom"/>
          </w:tcPr>
          <w:p>
            <w:pPr>
              <w:spacing w:after="0"/>
              <w:rPr>
                <w:sz w:val="19"/>
                <w:szCs w:val="19"/>
                <w:color w:val="auto"/>
              </w:rPr>
            </w:pP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rPr>
              <w:t>May 2, 2020</w:t>
            </w:r>
          </w:p>
        </w:tc>
        <w:tc>
          <w:tcPr>
            <w:tcW w:w="0" w:type="dxa"/>
            <w:vAlign w:val="bottom"/>
          </w:tcPr>
          <w:p>
            <w:pPr>
              <w:spacing w:after="0"/>
              <w:rPr>
                <w:sz w:val="1"/>
                <w:szCs w:val="1"/>
                <w:color w:val="auto"/>
              </w:rPr>
            </w:pPr>
          </w:p>
        </w:tc>
      </w:tr>
      <w:tr>
        <w:trPr>
          <w:trHeight w:val="229"/>
        </w:trPr>
        <w:tc>
          <w:tcPr>
            <w:tcW w:w="6140" w:type="dxa"/>
            <w:vAlign w:val="bottom"/>
            <w:tcBorders>
              <w:top w:val="single" w:sz="8" w:color="CCEEFF"/>
            </w:tcBorders>
            <w:shd w:val="clear" w:color="auto" w:fill="CCEEFF"/>
          </w:tcPr>
          <w:p>
            <w:pPr>
              <w:ind w:left="270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593,288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377,604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725,615</w:t>
            </w:r>
          </w:p>
        </w:tc>
        <w:tc>
          <w:tcPr>
            <w:tcW w:w="0" w:type="dxa"/>
            <w:vAlign w:val="bottom"/>
          </w:tcPr>
          <w:p>
            <w:pPr>
              <w:spacing w:after="0"/>
              <w:rPr>
                <w:sz w:val="1"/>
                <w:szCs w:val="1"/>
                <w:color w:val="auto"/>
              </w:rPr>
            </w:pPr>
          </w:p>
        </w:tc>
      </w:tr>
      <w:tr>
        <w:trPr>
          <w:trHeight w:val="218"/>
        </w:trPr>
        <w:tc>
          <w:tcPr>
            <w:tcW w:w="6140" w:type="dxa"/>
            <w:vAlign w:val="bottom"/>
          </w:tcPr>
          <w:p>
            <w:pPr>
              <w:ind w:left="240"/>
              <w:spacing w:after="0"/>
              <w:rPr>
                <w:sz w:val="20"/>
                <w:szCs w:val="20"/>
                <w:color w:val="auto"/>
              </w:rPr>
            </w:pPr>
            <w:r>
              <w:rPr>
                <w:rFonts w:ascii="Arial" w:cs="Arial" w:eastAsia="Arial" w:hAnsi="Arial"/>
                <w:sz w:val="16"/>
                <w:szCs w:val="16"/>
                <w:color w:val="auto"/>
              </w:rPr>
              <w:t>Accounts receivable - less allowance for doubtful accounts of $1,450, $1,172</w:t>
            </w:r>
          </w:p>
        </w:tc>
        <w:tc>
          <w:tcPr>
            <w:tcW w:w="24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10,831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40" w:type="dxa"/>
            <w:vAlign w:val="bottom"/>
          </w:tcPr>
          <w:p>
            <w:pPr>
              <w:ind w:left="240"/>
              <w:spacing w:after="0"/>
              <w:rPr>
                <w:sz w:val="20"/>
                <w:szCs w:val="20"/>
                <w:color w:val="auto"/>
              </w:rPr>
            </w:pPr>
            <w:r>
              <w:rPr>
                <w:rFonts w:ascii="Arial" w:cs="Arial" w:eastAsia="Arial" w:hAnsi="Arial"/>
                <w:sz w:val="16"/>
                <w:szCs w:val="16"/>
                <w:color w:val="auto"/>
              </w:rPr>
              <w:t>and $4,432, respectively</w:t>
            </w:r>
          </w:p>
        </w:tc>
        <w:tc>
          <w:tcPr>
            <w:tcW w:w="2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17,306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9,771</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Merchandise inventories, net</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1,080,804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990,034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1,012,680</w:t>
            </w:r>
          </w:p>
        </w:tc>
        <w:tc>
          <w:tcPr>
            <w:tcW w:w="0" w:type="dxa"/>
            <w:vAlign w:val="bottom"/>
          </w:tcPr>
          <w:p>
            <w:pPr>
              <w:spacing w:after="0"/>
              <w:rPr>
                <w:sz w:val="1"/>
                <w:szCs w:val="1"/>
                <w:color w:val="auto"/>
              </w:rPr>
            </w:pPr>
          </w:p>
        </w:tc>
      </w:tr>
      <w:tr>
        <w:trPr>
          <w:trHeight w:val="233"/>
        </w:trPr>
        <w:tc>
          <w:tcPr>
            <w:tcW w:w="614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30,369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28,313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27,824</w:t>
            </w:r>
          </w:p>
        </w:tc>
        <w:tc>
          <w:tcPr>
            <w:tcW w:w="0" w:type="dxa"/>
            <w:vAlign w:val="bottom"/>
          </w:tcPr>
          <w:p>
            <w:pPr>
              <w:spacing w:after="0"/>
              <w:rPr>
                <w:sz w:val="1"/>
                <w:szCs w:val="1"/>
                <w:color w:val="auto"/>
              </w:rPr>
            </w:pPr>
          </w:p>
        </w:tc>
      </w:tr>
      <w:tr>
        <w:trPr>
          <w:trHeight w:val="246"/>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Assets held for sale</w:t>
            </w: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1,763</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0" w:type="dxa"/>
            <w:vAlign w:val="bottom"/>
          </w:tcPr>
          <w:p>
            <w:pPr>
              <w:spacing w:after="0"/>
              <w:rPr>
                <w:sz w:val="1"/>
                <w:szCs w:val="1"/>
                <w:color w:val="auto"/>
              </w:rPr>
            </w:pPr>
          </w:p>
        </w:tc>
      </w:tr>
      <w:tr>
        <w:trPr>
          <w:trHeight w:val="233"/>
        </w:trPr>
        <w:tc>
          <w:tcPr>
            <w:tcW w:w="614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1,717,055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1,415,020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1,777,653</w:t>
            </w:r>
          </w:p>
        </w:tc>
        <w:tc>
          <w:tcPr>
            <w:tcW w:w="0" w:type="dxa"/>
            <w:vAlign w:val="bottom"/>
          </w:tcPr>
          <w:p>
            <w:pPr>
              <w:spacing w:after="0"/>
              <w:rPr>
                <w:sz w:val="1"/>
                <w:szCs w:val="1"/>
                <w:color w:val="auto"/>
              </w:rPr>
            </w:pPr>
          </w:p>
        </w:tc>
      </w:tr>
      <w:tr>
        <w:trPr>
          <w:trHeight w:val="226"/>
        </w:trPr>
        <w:tc>
          <w:tcPr>
            <w:tcW w:w="6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PROPERTY AND EQUIPMENT, NET</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366,005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378,260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418,476</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RIGHT-OF-USE ASSETS</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1,127,645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1,143,699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1,125,933</w:t>
            </w:r>
          </w:p>
        </w:tc>
        <w:tc>
          <w:tcPr>
            <w:tcW w:w="0" w:type="dxa"/>
            <w:vAlign w:val="bottom"/>
          </w:tcPr>
          <w:p>
            <w:pPr>
              <w:spacing w:after="0"/>
              <w:rPr>
                <w:sz w:val="1"/>
                <w:szCs w:val="1"/>
                <w:color w:val="auto"/>
              </w:rPr>
            </w:pP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TRADE NAME</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577,000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577,000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577,000</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861,920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861,920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861,920</w:t>
            </w:r>
          </w:p>
        </w:tc>
        <w:tc>
          <w:tcPr>
            <w:tcW w:w="0" w:type="dxa"/>
            <w:vAlign w:val="bottom"/>
          </w:tcPr>
          <w:p>
            <w:pPr>
              <w:spacing w:after="0"/>
              <w:rPr>
                <w:sz w:val="1"/>
                <w:szCs w:val="1"/>
                <w:color w:val="auto"/>
              </w:rPr>
            </w:pPr>
          </w:p>
        </w:tc>
      </w:tr>
      <w:tr>
        <w:trPr>
          <w:trHeight w:val="237"/>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7,685</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8,583</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11,343</w:t>
            </w:r>
          </w:p>
        </w:tc>
        <w:tc>
          <w:tcPr>
            <w:tcW w:w="0" w:type="dxa"/>
            <w:vAlign w:val="bottom"/>
          </w:tcPr>
          <w:p>
            <w:pPr>
              <w:spacing w:after="0"/>
              <w:rPr>
                <w:sz w:val="1"/>
                <w:szCs w:val="1"/>
                <w:color w:val="auto"/>
              </w:rPr>
            </w:pPr>
          </w:p>
        </w:tc>
      </w:tr>
      <w:tr>
        <w:trPr>
          <w:trHeight w:val="268"/>
        </w:trPr>
        <w:tc>
          <w:tcPr>
            <w:tcW w:w="6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4,657,310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4,384,482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4,772,325</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800"/>
              <w:spacing w:after="0"/>
              <w:rPr>
                <w:sz w:val="20"/>
                <w:szCs w:val="20"/>
                <w:color w:val="auto"/>
              </w:rPr>
            </w:pPr>
            <w:r>
              <w:rPr>
                <w:rFonts w:ascii="Arial" w:cs="Arial" w:eastAsia="Arial" w:hAnsi="Arial"/>
                <w:sz w:val="16"/>
                <w:szCs w:val="16"/>
                <w:b w:val="1"/>
                <w:bCs w:val="1"/>
                <w:color w:val="auto"/>
              </w:rPr>
              <w:t>LIABILITIES AND STOCKHOLDERS' / PARTNERS' EQUITY</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864,966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791,404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411,263</w:t>
            </w:r>
          </w:p>
        </w:tc>
        <w:tc>
          <w:tcPr>
            <w:tcW w:w="0" w:type="dxa"/>
            <w:vAlign w:val="bottom"/>
          </w:tcPr>
          <w:p>
            <w:pPr>
              <w:spacing w:after="0"/>
              <w:rPr>
                <w:sz w:val="1"/>
                <w:szCs w:val="1"/>
                <w:color w:val="auto"/>
              </w:rPr>
            </w:pPr>
          </w:p>
        </w:tc>
      </w:tr>
      <w:tr>
        <w:trPr>
          <w:trHeight w:val="233"/>
        </w:trPr>
        <w:tc>
          <w:tcPr>
            <w:tcW w:w="6140" w:type="dxa"/>
            <w:vAlign w:val="bottom"/>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287,592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291,351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187,736</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lease liabilities</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82,676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80,338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105,099</w:t>
            </w:r>
          </w:p>
        </w:tc>
        <w:tc>
          <w:tcPr>
            <w:tcW w:w="0" w:type="dxa"/>
            <w:vAlign w:val="bottom"/>
          </w:tcPr>
          <w:p>
            <w:pPr>
              <w:spacing w:after="0"/>
              <w:rPr>
                <w:sz w:val="1"/>
                <w:szCs w:val="1"/>
                <w:color w:val="auto"/>
              </w:rPr>
            </w:pPr>
          </w:p>
        </w:tc>
      </w:tr>
      <w:tr>
        <w:trPr>
          <w:trHeight w:val="237"/>
        </w:trPr>
        <w:tc>
          <w:tcPr>
            <w:tcW w:w="61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Current maturities of long-term debt</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4,000</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34,116</w:t>
            </w: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1,239,234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1,167,093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738,214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DEBT, net</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781,035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781,489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1,924,641</w:t>
            </w:r>
          </w:p>
        </w:tc>
        <w:tc>
          <w:tcPr>
            <w:tcW w:w="0" w:type="dxa"/>
            <w:vAlign w:val="bottom"/>
          </w:tcPr>
          <w:p>
            <w:pPr>
              <w:spacing w:after="0"/>
              <w:rPr>
                <w:sz w:val="1"/>
                <w:szCs w:val="1"/>
                <w:color w:val="auto"/>
              </w:rPr>
            </w:pP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LONG-TERM LEASE LIABILITIES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1,132,196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1,150,088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1,106,225</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LIABILITIES, NET</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164,038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138,703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OTHER LONG-TERM LIABILITIES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26,932</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35,126</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22,697</w:t>
            </w:r>
          </w:p>
        </w:tc>
        <w:tc>
          <w:tcPr>
            <w:tcW w:w="0" w:type="dxa"/>
            <w:vAlign w:val="bottom"/>
          </w:tcPr>
          <w:p>
            <w:pPr>
              <w:spacing w:after="0"/>
              <w:rPr>
                <w:sz w:val="1"/>
                <w:szCs w:val="1"/>
                <w:color w:val="auto"/>
              </w:rPr>
            </w:pPr>
          </w:p>
        </w:tc>
      </w:tr>
      <w:tr>
        <w:trPr>
          <w:trHeight w:val="236"/>
        </w:trPr>
        <w:tc>
          <w:tcPr>
            <w:tcW w:w="614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3,343,435</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3,272,499</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3,791,777</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REDEEMABLE MEMBERSHIP UNITS</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STOCKHOLDERS' / PARTNERS' EQUITY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140" w:type="dxa"/>
            <w:vAlign w:val="bottom"/>
          </w:tcPr>
          <w:p>
            <w:pPr>
              <w:ind w:left="240"/>
              <w:spacing w:after="0"/>
              <w:rPr>
                <w:sz w:val="20"/>
                <w:szCs w:val="20"/>
                <w:color w:val="auto"/>
              </w:rPr>
            </w:pPr>
            <w:r>
              <w:rPr>
                <w:rFonts w:ascii="Arial" w:cs="Arial" w:eastAsia="Arial" w:hAnsi="Arial"/>
                <w:sz w:val="16"/>
                <w:szCs w:val="16"/>
                <w:color w:val="auto"/>
              </w:rPr>
              <w:t>Preferred stock, $0.01 par value, authorized 50,000,000 shares; none issued</w:t>
            </w:r>
          </w:p>
        </w:tc>
        <w:tc>
          <w:tcPr>
            <w:tcW w:w="240" w:type="dxa"/>
            <w:vAlign w:val="bottom"/>
          </w:tcPr>
          <w:p>
            <w:pPr>
              <w:spacing w:after="0"/>
              <w:rPr>
                <w:sz w:val="18"/>
                <w:szCs w:val="18"/>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40" w:type="dxa"/>
            <w:vAlign w:val="bottom"/>
          </w:tcPr>
          <w:p>
            <w:pPr>
              <w:ind w:left="240"/>
              <w:spacing w:after="0"/>
              <w:rPr>
                <w:sz w:val="20"/>
                <w:szCs w:val="20"/>
                <w:color w:val="auto"/>
              </w:rPr>
            </w:pPr>
            <w:r>
              <w:rPr>
                <w:rFonts w:ascii="Arial" w:cs="Arial" w:eastAsia="Arial" w:hAnsi="Arial"/>
                <w:sz w:val="16"/>
                <w:szCs w:val="16"/>
                <w:color w:val="auto"/>
              </w:rPr>
              <w:t>and outstanding</w:t>
            </w:r>
          </w:p>
        </w:tc>
        <w:tc>
          <w:tcPr>
            <w:tcW w:w="24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Partners' equity, membership units authorized, issued and outstanding were</w:t>
            </w:r>
          </w:p>
        </w:tc>
        <w:tc>
          <w:tcPr>
            <w:tcW w:w="240" w:type="dxa"/>
            <w:vAlign w:val="bottom"/>
            <w:shd w:val="clear" w:color="auto" w:fill="CCEEFF"/>
          </w:tcPr>
          <w:p>
            <w:pPr>
              <w:spacing w:after="0"/>
              <w:rPr>
                <w:sz w:val="19"/>
                <w:szCs w:val="19"/>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72,478,106 as of May 2, 2020</w:t>
            </w:r>
          </w:p>
        </w:tc>
        <w:tc>
          <w:tcPr>
            <w:tcW w:w="24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988,178</w:t>
            </w:r>
          </w:p>
        </w:tc>
        <w:tc>
          <w:tcPr>
            <w:tcW w:w="0" w:type="dxa"/>
            <w:vAlign w:val="bottom"/>
          </w:tcPr>
          <w:p>
            <w:pPr>
              <w:spacing w:after="0"/>
              <w:rPr>
                <w:sz w:val="1"/>
                <w:szCs w:val="1"/>
                <w:color w:val="auto"/>
              </w:rPr>
            </w:pPr>
          </w:p>
        </w:tc>
      </w:tr>
      <w:tr>
        <w:trPr>
          <w:trHeight w:val="218"/>
        </w:trPr>
        <w:tc>
          <w:tcPr>
            <w:tcW w:w="6140" w:type="dxa"/>
            <w:vAlign w:val="bottom"/>
          </w:tcPr>
          <w:p>
            <w:pPr>
              <w:ind w:left="240"/>
              <w:spacing w:after="0"/>
              <w:rPr>
                <w:sz w:val="20"/>
                <w:szCs w:val="20"/>
                <w:color w:val="auto"/>
              </w:rPr>
            </w:pPr>
            <w:r>
              <w:rPr>
                <w:rFonts w:ascii="Arial" w:cs="Arial" w:eastAsia="Arial" w:hAnsi="Arial"/>
                <w:sz w:val="16"/>
                <w:szCs w:val="16"/>
                <w:color w:val="auto"/>
              </w:rPr>
              <w:t>Common stock, $0.01 par value, authorized 300,000,000 shares; 93,887,109</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140" w:type="dxa"/>
            <w:vAlign w:val="bottom"/>
          </w:tcPr>
          <w:p>
            <w:pPr>
              <w:ind w:left="240"/>
              <w:spacing w:after="0"/>
              <w:rPr>
                <w:sz w:val="20"/>
                <w:szCs w:val="20"/>
                <w:color w:val="auto"/>
              </w:rPr>
            </w:pPr>
            <w:r>
              <w:rPr>
                <w:rFonts w:ascii="Arial" w:cs="Arial" w:eastAsia="Arial" w:hAnsi="Arial"/>
                <w:sz w:val="16"/>
                <w:szCs w:val="16"/>
                <w:color w:val="auto"/>
              </w:rPr>
              <w:t>and 91,114,475 issued and outstanding as of May 1, 2021 and January 30, 2021</w:t>
            </w:r>
          </w:p>
        </w:tc>
        <w:tc>
          <w:tcPr>
            <w:tcW w:w="24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939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140" w:type="dxa"/>
            <w:vAlign w:val="bottom"/>
          </w:tcPr>
          <w:p>
            <w:pPr>
              <w:ind w:left="240"/>
              <w:spacing w:after="0"/>
              <w:rPr>
                <w:sz w:val="20"/>
                <w:szCs w:val="20"/>
                <w:color w:val="auto"/>
              </w:rPr>
            </w:pPr>
            <w:r>
              <w:rPr>
                <w:rFonts w:ascii="Arial" w:cs="Arial" w:eastAsia="Arial" w:hAnsi="Arial"/>
                <w:sz w:val="16"/>
                <w:szCs w:val="16"/>
                <w:color w:val="auto"/>
              </w:rPr>
              <w:t>respectively.</w:t>
            </w:r>
          </w:p>
        </w:tc>
        <w:tc>
          <w:tcPr>
            <w:tcW w:w="2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150,370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127,228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6140" w:type="dxa"/>
            <w:vAlign w:val="bottom"/>
          </w:tcPr>
          <w:p>
            <w:pPr>
              <w:ind w:left="24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1,164,964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987,168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(2,398)</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(3,324)</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(10,607)</w:t>
            </w:r>
          </w:p>
        </w:tc>
        <w:tc>
          <w:tcPr>
            <w:tcW w:w="0" w:type="dxa"/>
            <w:vAlign w:val="bottom"/>
          </w:tcPr>
          <w:p>
            <w:pPr>
              <w:spacing w:after="0"/>
              <w:rPr>
                <w:sz w:val="1"/>
                <w:szCs w:val="1"/>
                <w:color w:val="auto"/>
              </w:rPr>
            </w:pPr>
          </w:p>
        </w:tc>
      </w:tr>
      <w:tr>
        <w:trPr>
          <w:trHeight w:val="236"/>
        </w:trPr>
        <w:tc>
          <w:tcPr>
            <w:tcW w:w="614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Stockholders' / partners' equity</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1,313,875</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1,111,983</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977,571</w:t>
            </w:r>
          </w:p>
        </w:tc>
        <w:tc>
          <w:tcPr>
            <w:tcW w:w="0" w:type="dxa"/>
            <w:vAlign w:val="bottom"/>
          </w:tcPr>
          <w:p>
            <w:pPr>
              <w:spacing w:after="0"/>
              <w:rPr>
                <w:sz w:val="1"/>
                <w:szCs w:val="1"/>
                <w:color w:val="auto"/>
              </w:rPr>
            </w:pPr>
          </w:p>
        </w:tc>
      </w:tr>
      <w:tr>
        <w:trPr>
          <w:trHeight w:val="268"/>
        </w:trPr>
        <w:tc>
          <w:tcPr>
            <w:tcW w:w="6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Total liabilities and stockholders' / partners' equity</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4,657,310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4,384,482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4,772,325</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172" w:hanging="172"/>
        <w:spacing w:after="0"/>
        <w:tabs>
          <w:tab w:leader="none" w:pos="172"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After effect of retrospective presentation of the Reorganization Transactions and Contribution Ratio</w:t>
      </w:r>
    </w:p>
    <w:p>
      <w:pPr>
        <w:sectPr>
          <w:pgSz w:w="11900" w:h="16838" w:orient="portrait"/>
          <w:cols w:equalWidth="0" w:num="1">
            <w:col w:w="11212"/>
          </w:cols>
          <w:pgMar w:left="328" w:top="765" w:right="359" w:bottom="1440" w:gutter="0" w:footer="0" w:header="0"/>
        </w:sectPr>
      </w:pPr>
    </w:p>
    <w:p>
      <w:pPr>
        <w:spacing w:after="0" w:line="19" w:lineRule="exact"/>
        <w:rPr>
          <w:sz w:val="20"/>
          <w:szCs w:val="20"/>
          <w:color w:val="auto"/>
        </w:rPr>
      </w:pPr>
    </w:p>
    <w:p>
      <w:pPr>
        <w:jc w:val="center"/>
        <w:ind w:right="-31"/>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12"/>
          </w:cols>
          <w:pgMar w:left="328" w:top="765" w:right="3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Thirteen Weeks Ended</w:t>
            </w:r>
          </w:p>
        </w:tc>
      </w:tr>
      <w:tr>
        <w:trPr>
          <w:trHeight w:val="236"/>
        </w:trPr>
        <w:tc>
          <w:tcPr>
            <w:tcW w:w="7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1, 2021</w:t>
            </w:r>
          </w:p>
        </w:tc>
        <w:tc>
          <w:tcPr>
            <w:tcW w:w="280" w:type="dxa"/>
            <w:vAlign w:val="bottom"/>
          </w:tcPr>
          <w:p>
            <w:pPr>
              <w:spacing w:after="0"/>
              <w:rPr>
                <w:sz w:val="20"/>
                <w:szCs w:val="20"/>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2, 2020</w:t>
            </w:r>
          </w:p>
        </w:tc>
      </w:tr>
      <w:tr>
        <w:trPr>
          <w:trHeight w:val="230"/>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r>
      <w:tr>
        <w:trPr>
          <w:trHeight w:val="233"/>
        </w:trPr>
        <w:tc>
          <w:tcPr>
            <w:tcW w:w="742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177,796</w:t>
            </w:r>
          </w:p>
        </w:tc>
        <w:tc>
          <w:tcPr>
            <w:tcW w:w="8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(10,020)</w:t>
            </w:r>
          </w:p>
        </w:tc>
      </w:tr>
      <w:tr>
        <w:trPr>
          <w:trHeight w:val="253"/>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33"/>
        </w:trPr>
        <w:tc>
          <w:tcPr>
            <w:tcW w:w="742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25,298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27,447</w:t>
            </w:r>
          </w:p>
        </w:tc>
      </w:tr>
      <w:tr>
        <w:trPr>
          <w:trHeight w:val="253"/>
        </w:trPr>
        <w:tc>
          <w:tcPr>
            <w:tcW w:w="7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Non-cash lease expense</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12,871</w:t>
            </w:r>
          </w:p>
        </w:tc>
      </w:tr>
      <w:tr>
        <w:trPr>
          <w:trHeight w:val="233"/>
        </w:trPr>
        <w:tc>
          <w:tcPr>
            <w:tcW w:w="7420" w:type="dxa"/>
            <w:vAlign w:val="bottom"/>
          </w:tcPr>
          <w:p>
            <w:pPr>
              <w:ind w:left="460"/>
              <w:spacing w:after="0"/>
              <w:rPr>
                <w:sz w:val="20"/>
                <w:szCs w:val="20"/>
                <w:color w:val="auto"/>
              </w:rPr>
            </w:pPr>
            <w:r>
              <w:rPr>
                <w:rFonts w:ascii="Arial" w:cs="Arial" w:eastAsia="Arial" w:hAnsi="Arial"/>
                <w:sz w:val="16"/>
                <w:szCs w:val="16"/>
                <w:color w:val="auto"/>
              </w:rPr>
              <w:t>Equity compensation</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5,874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2,109</w:t>
            </w:r>
          </w:p>
        </w:tc>
      </w:tr>
      <w:tr>
        <w:trPr>
          <w:trHeight w:val="253"/>
        </w:trPr>
        <w:tc>
          <w:tcPr>
            <w:tcW w:w="7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terminated interest rate swaps, deferred loan and other costs</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r>
      <w:tr>
        <w:trPr>
          <w:trHeight w:val="233"/>
        </w:trPr>
        <w:tc>
          <w:tcPr>
            <w:tcW w:w="7420" w:type="dxa"/>
            <w:vAlign w:val="bottom"/>
          </w:tcPr>
          <w:p>
            <w:pPr>
              <w:ind w:left="46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25,064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53"/>
        </w:trPr>
        <w:tc>
          <w:tcPr>
            <w:tcW w:w="7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Changes in assets and liabilities:</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33"/>
        </w:trPr>
        <w:tc>
          <w:tcPr>
            <w:tcW w:w="7420" w:type="dxa"/>
            <w:vAlign w:val="bottom"/>
          </w:tcPr>
          <w:p>
            <w:pPr>
              <w:ind w:left="68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6,474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4,229</w:t>
            </w:r>
          </w:p>
        </w:tc>
      </w:tr>
      <w:tr>
        <w:trPr>
          <w:trHeight w:val="253"/>
        </w:trPr>
        <w:tc>
          <w:tcPr>
            <w:tcW w:w="7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Merchandise inventories, net</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(90,769)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87,069</w:t>
            </w:r>
          </w:p>
        </w:tc>
      </w:tr>
      <w:tr>
        <w:trPr>
          <w:trHeight w:val="233"/>
        </w:trPr>
        <w:tc>
          <w:tcPr>
            <w:tcW w:w="7420" w:type="dxa"/>
            <w:vAlign w:val="bottom"/>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(2,055)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1,048</w:t>
            </w:r>
          </w:p>
        </w:tc>
      </w:tr>
      <w:tr>
        <w:trPr>
          <w:trHeight w:val="253"/>
        </w:trPr>
        <w:tc>
          <w:tcPr>
            <w:tcW w:w="7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noncurrent assets</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33"/>
        </w:trPr>
        <w:tc>
          <w:tcPr>
            <w:tcW w:w="742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77,326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(12,149)</w:t>
            </w:r>
          </w:p>
        </w:tc>
      </w:tr>
      <w:tr>
        <w:trPr>
          <w:trHeight w:val="253"/>
        </w:trPr>
        <w:tc>
          <w:tcPr>
            <w:tcW w:w="7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(29,039)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(26,428)</w:t>
            </w:r>
          </w:p>
        </w:tc>
      </w:tr>
      <w:tr>
        <w:trPr>
          <w:trHeight w:val="233"/>
        </w:trPr>
        <w:tc>
          <w:tcPr>
            <w:tcW w:w="7420" w:type="dxa"/>
            <w:vAlign w:val="bottom"/>
          </w:tcPr>
          <w:p>
            <w:pPr>
              <w:ind w:left="68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21,357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(1,240)</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3,741</w:t>
            </w:r>
          </w:p>
        </w:tc>
      </w:tr>
      <w:tr>
        <w:trPr>
          <w:trHeight w:val="237"/>
        </w:trPr>
        <w:tc>
          <w:tcPr>
            <w:tcW w:w="742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219,228</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90,756</w:t>
            </w:r>
          </w:p>
        </w:tc>
      </w:tr>
      <w:tr>
        <w:trPr>
          <w:trHeight w:val="203"/>
        </w:trPr>
        <w:tc>
          <w:tcPr>
            <w:tcW w:w="7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3"/>
        </w:trPr>
        <w:tc>
          <w:tcPr>
            <w:tcW w:w="74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6"/>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(16,808)</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(9,926)</w:t>
            </w:r>
          </w:p>
        </w:tc>
      </w:tr>
      <w:tr>
        <w:trPr>
          <w:trHeight w:val="236"/>
        </w:trPr>
        <w:tc>
          <w:tcPr>
            <w:tcW w:w="742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(16,808)</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(9,926)</w:t>
            </w:r>
          </w:p>
        </w:tc>
      </w:tr>
      <w:tr>
        <w:trPr>
          <w:trHeight w:val="203"/>
        </w:trPr>
        <w:tc>
          <w:tcPr>
            <w:tcW w:w="7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3"/>
        </w:trPr>
        <w:tc>
          <w:tcPr>
            <w:tcW w:w="74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3"/>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ABL Facility</w:t>
            </w:r>
          </w:p>
        </w:tc>
        <w:tc>
          <w:tcPr>
            <w:tcW w:w="2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33"/>
        </w:trPr>
        <w:tc>
          <w:tcPr>
            <w:tcW w:w="7420" w:type="dxa"/>
            <w:vAlign w:val="bottom"/>
          </w:tcPr>
          <w:p>
            <w:pPr>
              <w:ind w:left="240"/>
              <w:spacing w:after="0"/>
              <w:rPr>
                <w:sz w:val="20"/>
                <w:szCs w:val="20"/>
                <w:color w:val="auto"/>
              </w:rPr>
            </w:pPr>
            <w:r>
              <w:rPr>
                <w:rFonts w:ascii="Arial" w:cs="Arial" w:eastAsia="Arial" w:hAnsi="Arial"/>
                <w:sz w:val="16"/>
                <w:szCs w:val="16"/>
                <w:color w:val="auto"/>
              </w:rPr>
              <w:t>Repayment of Term Loan</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(4,563)</w:t>
            </w:r>
          </w:p>
        </w:tc>
      </w:tr>
      <w:tr>
        <w:trPr>
          <w:trHeight w:val="253"/>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Share-Based Award Payments</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(2,993)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420" w:type="dxa"/>
            <w:vAlign w:val="bottom"/>
          </w:tcPr>
          <w:p>
            <w:pPr>
              <w:ind w:left="24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17,257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Repurchase of Redeemable Membership Units</w:t>
            </w:r>
          </w:p>
        </w:tc>
        <w:tc>
          <w:tcPr>
            <w:tcW w:w="2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7"/>
        </w:trPr>
        <w:tc>
          <w:tcPr>
            <w:tcW w:w="742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13,264</w:t>
            </w:r>
          </w:p>
        </w:tc>
        <w:tc>
          <w:tcPr>
            <w:tcW w:w="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495,400</w:t>
            </w:r>
          </w:p>
        </w:tc>
      </w:tr>
      <w:tr>
        <w:trPr>
          <w:trHeight w:val="203"/>
        </w:trPr>
        <w:tc>
          <w:tcPr>
            <w:tcW w:w="7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3"/>
        </w:trPr>
        <w:tc>
          <w:tcPr>
            <w:tcW w:w="742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215,684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576,230</w:t>
            </w:r>
          </w:p>
        </w:tc>
      </w:tr>
      <w:tr>
        <w:trPr>
          <w:trHeight w:val="246"/>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377,604</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149,385</w:t>
            </w:r>
          </w:p>
        </w:tc>
      </w:tr>
      <w:tr>
        <w:trPr>
          <w:trHeight w:val="243"/>
        </w:trPr>
        <w:tc>
          <w:tcPr>
            <w:tcW w:w="742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593,288</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725,615</w:t>
            </w: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765" w:right="4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define “Adjusted EBITDA” as net income (loss) before interest expense, net, income tax expense and depreciation, amortization and impairment, further adjusted to exclude consulting fees, private equity sponsor monitoring fees, equity compensation expense, gain on early extinguishment of debt, net, severance and executive transition costs, costs related to the COVID-19 pandemic and other adjustments. We define “Adjusted EBIT” as net income (loss) before interest expense, net, and income tax expense, further adjusted to exclude consulting fees, private equity sponsor monitoring fees, equity compensation expense, gain on early extinguishment of debt, net, severance and executive transition costs, costs related to the COVID-19 pandemic and other adjustments. We describe these adjustments reconciling net income (loss) to Adjusted EBITDA and Adjusted EBIT in the following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6"/>
                <w:szCs w:val="16"/>
                <w:b w:val="1"/>
                <w:bCs w:val="1"/>
                <w:color w:val="auto"/>
              </w:rPr>
              <w:t>Thirteen Weeks Ended</w:t>
            </w:r>
          </w:p>
        </w:tc>
      </w:tr>
      <w:tr>
        <w:trPr>
          <w:trHeight w:val="236"/>
        </w:trPr>
        <w:tc>
          <w:tcPr>
            <w:tcW w:w="7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1, 2021</w:t>
            </w:r>
          </w:p>
        </w:tc>
        <w:tc>
          <w:tcPr>
            <w:tcW w:w="280" w:type="dxa"/>
            <w:vAlign w:val="bottom"/>
          </w:tcPr>
          <w:p>
            <w:pPr>
              <w:spacing w:after="0"/>
              <w:rPr>
                <w:sz w:val="20"/>
                <w:szCs w:val="20"/>
                <w:color w:val="auto"/>
              </w:rPr>
            </w:pPr>
          </w:p>
        </w:tc>
        <w:tc>
          <w:tcPr>
            <w:tcW w:w="1480" w:type="dxa"/>
            <w:vAlign w:val="bottom"/>
          </w:tcPr>
          <w:p>
            <w:pPr>
              <w:jc w:val="right"/>
              <w:ind w:right="331"/>
              <w:spacing w:after="0"/>
              <w:rPr>
                <w:sz w:val="20"/>
                <w:szCs w:val="20"/>
                <w:color w:val="auto"/>
              </w:rPr>
            </w:pPr>
            <w:r>
              <w:rPr>
                <w:rFonts w:ascii="Arial" w:cs="Arial" w:eastAsia="Arial" w:hAnsi="Arial"/>
                <w:sz w:val="16"/>
                <w:szCs w:val="16"/>
                <w:b w:val="1"/>
                <w:bCs w:val="1"/>
                <w:color w:val="auto"/>
              </w:rPr>
              <w:t>May 2, 2020</w:t>
            </w:r>
          </w:p>
        </w:tc>
      </w:tr>
      <w:tr>
        <w:trPr>
          <w:trHeight w:val="250"/>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177,796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(10,020)</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14,549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24,522</w:t>
            </w:r>
          </w:p>
        </w:tc>
      </w:tr>
      <w:tr>
        <w:trPr>
          <w:trHeight w:val="27"/>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47,126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25,298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27,447</w:t>
            </w:r>
          </w:p>
        </w:tc>
      </w:tr>
      <w:tr>
        <w:trPr>
          <w:trHeight w:val="27"/>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Consulting fees (a)</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Private equity sponsor monitoring fee (b)</w:t>
            </w:r>
          </w:p>
        </w:tc>
        <w:tc>
          <w:tcPr>
            <w:tcW w:w="28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7"/>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(c)</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Severance and executive transition costs (d)</w:t>
            </w:r>
          </w:p>
        </w:tc>
        <w:tc>
          <w:tcPr>
            <w:tcW w:w="28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related to the COVID-19 pandemic (e)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6,645</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Other (f)</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837</w:t>
            </w:r>
          </w:p>
        </w:tc>
      </w:tr>
      <w:tr>
        <w:trPr>
          <w:trHeight w:val="27"/>
        </w:trPr>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270,993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53,257</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Less: Depreciation and amortization</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(25,298)</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(27,447)</w:t>
            </w:r>
          </w:p>
        </w:tc>
      </w:tr>
      <w:tr>
        <w:trPr>
          <w:trHeight w:val="27"/>
        </w:trPr>
        <w:tc>
          <w:tcPr>
            <w:tcW w:w="7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1"/>
        </w:trPr>
        <w:tc>
          <w:tcPr>
            <w:tcW w:w="7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245,695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400" w:hanging="374"/>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outside consulting fees associated with our strategic cost savings and business optimization initiatives.</w:t>
      </w:r>
    </w:p>
    <w:p>
      <w:pPr>
        <w:spacing w:after="0" w:line="59" w:lineRule="exact"/>
        <w:rPr>
          <w:rFonts w:ascii="Arial" w:cs="Arial" w:eastAsia="Arial" w:hAnsi="Arial"/>
          <w:sz w:val="16"/>
          <w:szCs w:val="16"/>
          <w:color w:val="auto"/>
        </w:rPr>
      </w:pPr>
    </w:p>
    <w:p>
      <w:pPr>
        <w:ind w:left="400" w:right="20" w:hanging="374"/>
        <w:spacing w:after="0" w:line="260"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our contractual payments under a monitoring agreement ("Monitoring Agreement") with our private equity sponsor Kohlberg Kravis Roberts &amp; Co. L.P.</w:t>
      </w:r>
    </w:p>
    <w:p>
      <w:pPr>
        <w:spacing w:after="0" w:line="33" w:lineRule="exact"/>
        <w:rPr>
          <w:rFonts w:ascii="Arial" w:cs="Arial" w:eastAsia="Arial" w:hAnsi="Arial"/>
          <w:sz w:val="16"/>
          <w:szCs w:val="16"/>
          <w:color w:val="auto"/>
        </w:rPr>
      </w:pPr>
    </w:p>
    <w:p>
      <w:pPr>
        <w:ind w:left="400" w:right="20" w:hanging="374"/>
        <w:spacing w:after="0" w:line="260"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non-cash charges related to equity based compensation, which vary from period to period depending on certain factors such as timing and valuation of awards, achievement of performance targets and equity award forfeitures.</w:t>
      </w:r>
    </w:p>
    <w:p>
      <w:pPr>
        <w:spacing w:after="0" w:line="33" w:lineRule="exact"/>
        <w:rPr>
          <w:rFonts w:ascii="Arial" w:cs="Arial" w:eastAsia="Arial" w:hAnsi="Arial"/>
          <w:sz w:val="16"/>
          <w:szCs w:val="16"/>
          <w:color w:val="auto"/>
        </w:rPr>
      </w:pPr>
    </w:p>
    <w:p>
      <w:pPr>
        <w:ind w:left="400" w:hanging="374"/>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severance costs associated with executive leadership changes and enterprise-wide organizational changes.</w:t>
      </w:r>
    </w:p>
    <w:p>
      <w:pPr>
        <w:spacing w:after="0" w:line="59" w:lineRule="exact"/>
        <w:rPr>
          <w:rFonts w:ascii="Arial" w:cs="Arial" w:eastAsia="Arial" w:hAnsi="Arial"/>
          <w:sz w:val="16"/>
          <w:szCs w:val="16"/>
          <w:color w:val="auto"/>
        </w:rPr>
      </w:pPr>
    </w:p>
    <w:p>
      <w:pPr>
        <w:jc w:val="both"/>
        <w:ind w:left="400" w:right="20" w:hanging="374"/>
        <w:spacing w:after="0" w:line="251"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costs incurred during the 2020 first quarter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26" w:lineRule="exact"/>
        <w:rPr>
          <w:rFonts w:ascii="Arial" w:cs="Arial" w:eastAsia="Arial" w:hAnsi="Arial"/>
          <w:sz w:val="16"/>
          <w:szCs w:val="16"/>
          <w:color w:val="auto"/>
        </w:rPr>
      </w:pPr>
    </w:p>
    <w:p>
      <w:pPr>
        <w:jc w:val="both"/>
        <w:ind w:left="400" w:right="20" w:hanging="374"/>
        <w:spacing w:after="0" w:line="221"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adjustments include (representing deductions or additions to Adjusted EBITDA and Adjusted EBIT) amounts that management believes are not representative of our operating performance, including investment income, installation costs for energy savings associated with our profitability initiatives, legal fees associated with our distribution and the omnibus incentive plan, store exit costs and other costs associated with strategic cost savings and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Adjusted Net Income, Pro Forma Adjusted Net Income and Pro Forma Adjusted Earnings Per Share</w:t>
      </w:r>
    </w:p>
    <w:p>
      <w:pPr>
        <w:spacing w:after="0" w:line="25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We define “Adjusted Net Income (Loss)” as net income (loss), plus consulting fees, private equity sponsor monitoring fees, equity compensation expense, gain on early extinguishment of debt, net, severance and executive transition costs, costs related to the COVID-19 pandemic and other adjustments, less the tax effect of these adjustments. We define “Pro Forma Adjusted Net Income (Loss)” as Adjusted Net Income (Loss) less the retroactive tax effect of Adjusted Net Income at our estimated effective tax rate of approximately 25% for periods prior to October 1, 2020, the effective date of our conversion to a C-Corporation. We define “Pro Forma Adjusted Earnings per Common Share, Basic” as Pro Forma Adjusted Net Income divided by the basic weighted average common shares outstanding during the period and “Pro Forma Adjusted Earnings per Common Share, Diluted” as Pro Forma Adjusted Net Income divided by the diluted weighted average common shares outstanding during the period. We describe these adjustments reconciling net income (loss) to Adjusted Net Income (Loss), Pro Forma Adjusted Net Income (Loss), and Pro Forma Adjusted Earnings Per Share in the following table.</w:t>
      </w:r>
    </w:p>
    <w:p>
      <w:pPr>
        <w:spacing w:after="0" w:line="200" w:lineRule="exact"/>
        <w:rPr>
          <w:sz w:val="20"/>
          <w:szCs w:val="20"/>
          <w:color w:val="auto"/>
        </w:rPr>
      </w:pP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Thirteen Weeks Ended</w:t>
            </w:r>
          </w:p>
        </w:tc>
      </w:tr>
      <w:tr>
        <w:trPr>
          <w:trHeight w:val="237"/>
        </w:trPr>
        <w:tc>
          <w:tcPr>
            <w:tcW w:w="6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1, 2021</w:t>
            </w:r>
          </w:p>
        </w:tc>
        <w:tc>
          <w:tcPr>
            <w:tcW w:w="560" w:type="dxa"/>
            <w:vAlign w:val="bottom"/>
          </w:tcPr>
          <w:p>
            <w:pPr>
              <w:spacing w:after="0"/>
              <w:rPr>
                <w:sz w:val="20"/>
                <w:szCs w:val="20"/>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b w:val="1"/>
                <w:bCs w:val="1"/>
                <w:color w:val="auto"/>
              </w:rPr>
              <w:t>May 2, 2020</w:t>
            </w:r>
          </w:p>
        </w:tc>
      </w:tr>
      <w:tr>
        <w:trPr>
          <w:trHeight w:val="243"/>
        </w:trPr>
        <w:tc>
          <w:tcPr>
            <w:tcW w:w="6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(loss)</w:t>
            </w:r>
          </w:p>
        </w:tc>
        <w:tc>
          <w:tcPr>
            <w:tcW w:w="5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177,796</w:t>
            </w: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(10,020)</w:t>
            </w:r>
          </w:p>
        </w:tc>
      </w:tr>
      <w:tr>
        <w:trPr>
          <w:trHeight w:val="233"/>
        </w:trPr>
        <w:tc>
          <w:tcPr>
            <w:tcW w:w="6740" w:type="dxa"/>
            <w:vAlign w:val="bottom"/>
          </w:tcPr>
          <w:p>
            <w:pPr>
              <w:ind w:left="340"/>
              <w:spacing w:after="0"/>
              <w:rPr>
                <w:sz w:val="20"/>
                <w:szCs w:val="20"/>
                <w:color w:val="auto"/>
              </w:rPr>
            </w:pPr>
            <w:r>
              <w:rPr>
                <w:rFonts w:ascii="Arial" w:cs="Arial" w:eastAsia="Arial" w:hAnsi="Arial"/>
                <w:sz w:val="16"/>
                <w:szCs w:val="16"/>
                <w:color w:val="auto"/>
              </w:rPr>
              <w:t>Consulting fees (a)</w:t>
            </w:r>
          </w:p>
        </w:tc>
        <w:tc>
          <w:tcPr>
            <w:tcW w:w="58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53"/>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Private equity sponsor monitoring fee (b)</w:t>
            </w:r>
          </w:p>
        </w:tc>
        <w:tc>
          <w:tcPr>
            <w:tcW w:w="5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r>
      <w:tr>
        <w:trPr>
          <w:trHeight w:val="233"/>
        </w:trPr>
        <w:tc>
          <w:tcPr>
            <w:tcW w:w="6740" w:type="dxa"/>
            <w:vAlign w:val="bottom"/>
          </w:tcPr>
          <w:p>
            <w:pPr>
              <w:ind w:left="340"/>
              <w:spacing w:after="0"/>
              <w:rPr>
                <w:sz w:val="20"/>
                <w:szCs w:val="20"/>
                <w:color w:val="auto"/>
              </w:rPr>
            </w:pPr>
            <w:r>
              <w:rPr>
                <w:rFonts w:ascii="Arial" w:cs="Arial" w:eastAsia="Arial" w:hAnsi="Arial"/>
                <w:sz w:val="16"/>
                <w:szCs w:val="16"/>
                <w:color w:val="auto"/>
              </w:rPr>
              <w:t>Equity compensation (c)</w:t>
            </w:r>
          </w:p>
        </w:tc>
        <w:tc>
          <w:tcPr>
            <w:tcW w:w="5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5,874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2,109</w:t>
            </w:r>
          </w:p>
        </w:tc>
      </w:tr>
      <w:tr>
        <w:trPr>
          <w:trHeight w:val="253"/>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Severance and executive transition costs (d)</w:t>
            </w:r>
          </w:p>
        </w:tc>
        <w:tc>
          <w:tcPr>
            <w:tcW w:w="5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33"/>
        </w:trPr>
        <w:tc>
          <w:tcPr>
            <w:tcW w:w="6740" w:type="dxa"/>
            <w:vAlign w:val="bottom"/>
          </w:tcPr>
          <w:p>
            <w:pPr>
              <w:ind w:left="340"/>
              <w:spacing w:after="0"/>
              <w:rPr>
                <w:sz w:val="20"/>
                <w:szCs w:val="20"/>
                <w:color w:val="auto"/>
              </w:rPr>
            </w:pPr>
            <w:r>
              <w:rPr>
                <w:rFonts w:ascii="Arial" w:cs="Arial" w:eastAsia="Arial" w:hAnsi="Arial"/>
                <w:sz w:val="16"/>
                <w:szCs w:val="16"/>
                <w:color w:val="auto"/>
              </w:rPr>
              <w:t>Costs related to the COVID-19 pandemic (e)</w:t>
            </w:r>
          </w:p>
        </w:tc>
        <w:tc>
          <w:tcPr>
            <w:tcW w:w="58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6,645</w:t>
            </w:r>
          </w:p>
        </w:tc>
      </w:tr>
      <w:tr>
        <w:trPr>
          <w:trHeight w:val="253"/>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(f)</w:t>
            </w:r>
          </w:p>
        </w:tc>
        <w:tc>
          <w:tcPr>
            <w:tcW w:w="5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r>
      <w:tr>
        <w:trPr>
          <w:trHeight w:val="236"/>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Tax effects of these adjustments (g)</w:t>
            </w:r>
          </w:p>
        </w:tc>
        <w:tc>
          <w:tcPr>
            <w:tcW w:w="5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(1,489)</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43"/>
        </w:trPr>
        <w:tc>
          <w:tcPr>
            <w:tcW w:w="67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Adjusted Net Income</w:t>
            </w:r>
          </w:p>
        </w:tc>
        <w:tc>
          <w:tcPr>
            <w:tcW w:w="5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182,531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r>
      <w:tr>
        <w:trPr>
          <w:trHeight w:val="237"/>
        </w:trPr>
        <w:tc>
          <w:tcPr>
            <w:tcW w:w="6740" w:type="dxa"/>
            <w:vAlign w:val="bottom"/>
          </w:tcPr>
          <w:p>
            <w:pPr>
              <w:ind w:left="340"/>
              <w:spacing w:after="0"/>
              <w:rPr>
                <w:sz w:val="20"/>
                <w:szCs w:val="20"/>
                <w:color w:val="auto"/>
              </w:rPr>
            </w:pPr>
            <w:r>
              <w:rPr>
                <w:rFonts w:ascii="Arial" w:cs="Arial" w:eastAsia="Arial" w:hAnsi="Arial"/>
                <w:sz w:val="16"/>
                <w:szCs w:val="16"/>
                <w:color w:val="auto"/>
              </w:rPr>
              <w:t>Estimated tax effect of change to C-Corporation status (h)</w:t>
            </w:r>
          </w:p>
        </w:tc>
        <w:tc>
          <w:tcPr>
            <w:tcW w:w="58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68"/>
        </w:trPr>
        <w:tc>
          <w:tcPr>
            <w:tcW w:w="674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Pro Forma Adjusted Net Income</w:t>
            </w:r>
          </w:p>
        </w:tc>
        <w:tc>
          <w:tcPr>
            <w:tcW w:w="5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182,531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43"/>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 Forma Adjusted Earnings per Share</w:t>
            </w:r>
          </w:p>
        </w:tc>
        <w:tc>
          <w:tcPr>
            <w:tcW w:w="5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3"/>
        </w:trPr>
        <w:tc>
          <w:tcPr>
            <w:tcW w:w="6740" w:type="dxa"/>
            <w:vAlign w:val="bottom"/>
          </w:tcPr>
          <w:p>
            <w:pPr>
              <w:ind w:left="560"/>
              <w:spacing w:after="0"/>
              <w:rPr>
                <w:sz w:val="20"/>
                <w:szCs w:val="20"/>
                <w:color w:val="auto"/>
              </w:rPr>
            </w:pPr>
            <w:r>
              <w:rPr>
                <w:rFonts w:ascii="Arial" w:cs="Arial" w:eastAsia="Arial" w:hAnsi="Arial"/>
                <w:sz w:val="16"/>
                <w:szCs w:val="16"/>
                <w:color w:val="auto"/>
              </w:rPr>
              <w:t>Basic</w:t>
            </w:r>
          </w:p>
        </w:tc>
        <w:tc>
          <w:tcPr>
            <w:tcW w:w="5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1.98</w:t>
            </w:r>
          </w:p>
        </w:tc>
        <w:tc>
          <w:tcPr>
            <w:tcW w:w="10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53"/>
        </w:trPr>
        <w:tc>
          <w:tcPr>
            <w:tcW w:w="67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Diluted</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33"/>
        </w:trPr>
        <w:tc>
          <w:tcPr>
            <w:tcW w:w="6740" w:type="dxa"/>
            <w:vAlign w:val="bottom"/>
          </w:tcPr>
          <w:p>
            <w:pPr>
              <w:ind w:left="340"/>
              <w:spacing w:after="0"/>
              <w:rPr>
                <w:sz w:val="20"/>
                <w:szCs w:val="20"/>
                <w:color w:val="auto"/>
              </w:rPr>
            </w:pPr>
            <w:r>
              <w:rPr>
                <w:rFonts w:ascii="Arial" w:cs="Arial" w:eastAsia="Arial" w:hAnsi="Arial"/>
                <w:sz w:val="16"/>
                <w:szCs w:val="16"/>
                <w:color w:val="auto"/>
              </w:rPr>
              <w:t>Weighted average common shares outstanding</w:t>
            </w:r>
          </w:p>
        </w:tc>
        <w:tc>
          <w:tcPr>
            <w:tcW w:w="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3"/>
        </w:trPr>
        <w:tc>
          <w:tcPr>
            <w:tcW w:w="67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Basic </w:t>
            </w:r>
            <w:r>
              <w:rPr>
                <w:rFonts w:ascii="Arial" w:cs="Arial" w:eastAsia="Arial" w:hAnsi="Arial"/>
                <w:sz w:val="21"/>
                <w:szCs w:val="21"/>
                <w:color w:val="auto"/>
                <w:vertAlign w:val="superscript"/>
              </w:rPr>
              <w:t>(1)</w:t>
            </w:r>
          </w:p>
        </w:tc>
        <w:tc>
          <w:tcPr>
            <w:tcW w:w="5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92,088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72,474</w:t>
            </w:r>
          </w:p>
        </w:tc>
      </w:tr>
      <w:tr>
        <w:trPr>
          <w:trHeight w:val="269"/>
        </w:trPr>
        <w:tc>
          <w:tcPr>
            <w:tcW w:w="6740" w:type="dxa"/>
            <w:vAlign w:val="bottom"/>
          </w:tcPr>
          <w:p>
            <w:pPr>
              <w:ind w:left="560"/>
              <w:spacing w:after="0"/>
              <w:rPr>
                <w:sz w:val="20"/>
                <w:szCs w:val="20"/>
                <w:color w:val="auto"/>
              </w:rPr>
            </w:pPr>
            <w:r>
              <w:rPr>
                <w:rFonts w:ascii="Arial" w:cs="Arial" w:eastAsia="Arial" w:hAnsi="Arial"/>
                <w:sz w:val="16"/>
                <w:szCs w:val="16"/>
                <w:color w:val="auto"/>
              </w:rPr>
              <w:t xml:space="preserve">Diluted </w:t>
            </w:r>
            <w:r>
              <w:rPr>
                <w:rFonts w:ascii="Arial" w:cs="Arial" w:eastAsia="Arial" w:hAnsi="Arial"/>
                <w:sz w:val="21"/>
                <w:szCs w:val="21"/>
                <w:color w:val="auto"/>
                <w:vertAlign w:val="superscript"/>
              </w:rPr>
              <w:t>(1)</w:t>
            </w:r>
          </w:p>
        </w:tc>
        <w:tc>
          <w:tcPr>
            <w:tcW w:w="5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96,472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72,474</w:t>
            </w:r>
          </w:p>
        </w:tc>
      </w:tr>
    </w:tbl>
    <w:p>
      <w:pPr>
        <w:spacing w:after="0" w:line="10" w:lineRule="exact"/>
        <w:rPr>
          <w:sz w:val="20"/>
          <w:szCs w:val="20"/>
          <w:color w:val="auto"/>
        </w:rPr>
      </w:pPr>
    </w:p>
    <w:p>
      <w:pPr>
        <w:ind w:left="1240" w:hanging="487"/>
        <w:spacing w:after="0"/>
        <w:tabs>
          <w:tab w:leader="none" w:pos="1240" w:val="left"/>
        </w:tabs>
        <w:numPr>
          <w:ilvl w:val="1"/>
          <w:numId w:val="5"/>
        </w:numPr>
        <w:rPr>
          <w:rFonts w:ascii="Arial" w:cs="Arial" w:eastAsia="Arial" w:hAnsi="Arial"/>
          <w:sz w:val="21"/>
          <w:szCs w:val="21"/>
          <w:color w:val="auto"/>
          <w:vertAlign w:val="superscript"/>
        </w:rPr>
      </w:pPr>
      <w:r>
        <w:rPr>
          <w:rFonts w:ascii="Arial" w:cs="Arial" w:eastAsia="Arial" w:hAnsi="Arial"/>
          <w:sz w:val="16"/>
          <w:szCs w:val="16"/>
          <w:color w:val="auto"/>
        </w:rPr>
        <w:t>After effect of retrospective presentation of the Reorganization Transactions and Contribution Ratio</w:t>
      </w:r>
    </w:p>
    <w:p>
      <w:pPr>
        <w:spacing w:after="0" w:line="102" w:lineRule="exact"/>
        <w:rPr>
          <w:rFonts w:ascii="Arial" w:cs="Arial" w:eastAsia="Arial" w:hAnsi="Arial"/>
          <w:sz w:val="21"/>
          <w:szCs w:val="21"/>
          <w:color w:val="auto"/>
          <w:vertAlign w:val="superscript"/>
        </w:rPr>
      </w:pPr>
    </w:p>
    <w:p>
      <w:pPr>
        <w:ind w:left="1240" w:hanging="566"/>
        <w:spacing w:after="0"/>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outside consulting fees associated with our strategic cost savings and business optimization initiatives.</w:t>
      </w:r>
    </w:p>
    <w:p>
      <w:pPr>
        <w:spacing w:after="0" w:line="59" w:lineRule="exact"/>
        <w:rPr>
          <w:rFonts w:ascii="Arial" w:cs="Arial" w:eastAsia="Arial" w:hAnsi="Arial"/>
          <w:sz w:val="16"/>
          <w:szCs w:val="16"/>
          <w:color w:val="auto"/>
        </w:rPr>
      </w:pPr>
    </w:p>
    <w:p>
      <w:pPr>
        <w:ind w:left="1240" w:hanging="566"/>
        <w:spacing w:after="0"/>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our contractual payments under our Monitoring Agreement with our private equity sponsor Kohlberg Kravis Roberts &amp; Co. L.P.</w:t>
      </w:r>
    </w:p>
    <w:p>
      <w:pPr>
        <w:spacing w:after="0" w:line="59" w:lineRule="exact"/>
        <w:rPr>
          <w:rFonts w:ascii="Arial" w:cs="Arial" w:eastAsia="Arial" w:hAnsi="Arial"/>
          <w:sz w:val="16"/>
          <w:szCs w:val="16"/>
          <w:color w:val="auto"/>
        </w:rPr>
      </w:pPr>
    </w:p>
    <w:p>
      <w:pPr>
        <w:ind w:left="920" w:right="100" w:hanging="246"/>
        <w:spacing w:after="0" w:line="260" w:lineRule="auto"/>
        <w:tabs>
          <w:tab w:leader="none" w:pos="1244"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non-cash charges related to equity based compensation, which vary from period to period depending on certain factors such as timing and valuation of awards, achievement of performance targets and equity award forfeitures.</w:t>
      </w:r>
    </w:p>
    <w:p>
      <w:pPr>
        <w:spacing w:after="0" w:line="33" w:lineRule="exact"/>
        <w:rPr>
          <w:rFonts w:ascii="Arial" w:cs="Arial" w:eastAsia="Arial" w:hAnsi="Arial"/>
          <w:sz w:val="16"/>
          <w:szCs w:val="16"/>
          <w:color w:val="auto"/>
        </w:rPr>
      </w:pPr>
    </w:p>
    <w:p>
      <w:pPr>
        <w:ind w:left="1240" w:hanging="566"/>
        <w:spacing w:after="0"/>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severance costs associated with executive leadership changes and enterprise-wide organizational changes.</w:t>
      </w:r>
    </w:p>
    <w:p>
      <w:pPr>
        <w:spacing w:after="0" w:line="59" w:lineRule="exact"/>
        <w:rPr>
          <w:rFonts w:ascii="Arial" w:cs="Arial" w:eastAsia="Arial" w:hAnsi="Arial"/>
          <w:sz w:val="16"/>
          <w:szCs w:val="16"/>
          <w:color w:val="auto"/>
        </w:rPr>
      </w:pPr>
    </w:p>
    <w:p>
      <w:pPr>
        <w:jc w:val="both"/>
        <w:ind w:left="920" w:right="80" w:hanging="246"/>
        <w:spacing w:after="0" w:line="251" w:lineRule="auto"/>
        <w:tabs>
          <w:tab w:leader="none" w:pos="1244"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costs incurred during the 2020 first quarter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40" w:lineRule="exact"/>
        <w:rPr>
          <w:rFonts w:ascii="Arial" w:cs="Arial" w:eastAsia="Arial" w:hAnsi="Arial"/>
          <w:sz w:val="16"/>
          <w:szCs w:val="16"/>
          <w:color w:val="auto"/>
        </w:rPr>
      </w:pPr>
    </w:p>
    <w:p>
      <w:pPr>
        <w:jc w:val="both"/>
        <w:ind w:left="920" w:right="100" w:hanging="246"/>
        <w:spacing w:after="0" w:line="251" w:lineRule="auto"/>
        <w:tabs>
          <w:tab w:leader="none" w:pos="1244"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adjustments include (representing deductions or additions to Adjusted Net Income)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spacing w:after="0" w:line="40" w:lineRule="exact"/>
        <w:rPr>
          <w:rFonts w:ascii="Arial" w:cs="Arial" w:eastAsia="Arial" w:hAnsi="Arial"/>
          <w:sz w:val="16"/>
          <w:szCs w:val="16"/>
          <w:color w:val="auto"/>
        </w:rPr>
      </w:pPr>
    </w:p>
    <w:p>
      <w:pPr>
        <w:jc w:val="both"/>
        <w:ind w:left="920" w:right="100" w:hanging="246"/>
        <w:spacing w:after="0" w:line="253" w:lineRule="auto"/>
        <w:tabs>
          <w:tab w:leader="none" w:pos="1244"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thirteen weeks ended May 1, 2021, this represents the tax effect of the total adjustments made to arrive at Adjusted Net Income at the estimated effective tax rate for the fiscal year ended January 31, 2022. For the thirteen weeks ended May 2, 2020, this represents the tax effect of the total adjustments made to arrive at Adjusted Net Income at our historical tax rate.</w:t>
      </w:r>
    </w:p>
    <w:p>
      <w:pPr>
        <w:spacing w:after="0" w:line="39" w:lineRule="exact"/>
        <w:rPr>
          <w:rFonts w:ascii="Arial" w:cs="Arial" w:eastAsia="Arial" w:hAnsi="Arial"/>
          <w:sz w:val="16"/>
          <w:szCs w:val="16"/>
          <w:color w:val="auto"/>
        </w:rPr>
      </w:pPr>
    </w:p>
    <w:p>
      <w:pPr>
        <w:ind w:left="920" w:right="80" w:hanging="246"/>
        <w:spacing w:after="0" w:line="260" w:lineRule="auto"/>
        <w:tabs>
          <w:tab w:leader="none" w:pos="1244"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retrospective tax effect of Adjusted Net Income at our estimated effective tax rate of approximately 25% for periods prior to October 1, 2020, the effective date of our conversion to a C-Corporation, upon which we became subject to federal income taxes.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define “Adjusted Free Cash Flow” as net cash provided by (used in) operating activities less net cash provided by (used in) investing activities. We describe these adjustments reconciling net cash provided by operating activities to Adjusted Free Cash Flow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1, 2021</w:t>
            </w:r>
          </w:p>
        </w:tc>
        <w:tc>
          <w:tcPr>
            <w:tcW w:w="240" w:type="dxa"/>
            <w:vAlign w:val="bottom"/>
          </w:tcPr>
          <w:p>
            <w:pPr>
              <w:spacing w:after="0"/>
              <w:rPr>
                <w:sz w:val="20"/>
                <w:szCs w:val="20"/>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May 2, 2020</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219,228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90,756</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(16,808)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(9,926)</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Adjusted Free Cash Flow</w:t>
            </w:r>
          </w:p>
        </w:tc>
        <w:tc>
          <w:tcPr>
            <w:tcW w:w="3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202,420</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jc w:val="right"/>
              <w:ind w:right="1850"/>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44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lvl w:ilvl="1">
      <w:lvlJc w:val="left"/>
      <w:lvlText w:val="(%2)"/>
      <w:numFmt w:val="decimal"/>
      <w:start w:val="1"/>
    </w:lvl>
  </w:abstractNum>
  <w:abstractNum w:abstractNumId="5">
    <w:nsid w:val="507ED7AB"/>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2021-06-08T07:08:12Z</dcterms:created>
  <dcterms:modified xsi:type="dcterms:W3CDTF">2021-06-08T07:08:12Z</dcterms:modified>
</cp:coreProperties>
</file>