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1356995</wp:posOffset>
            </wp:positionH>
            <wp:positionV relativeFrom="paragraph">
              <wp:posOffset>49530</wp:posOffset>
            </wp:positionV>
            <wp:extent cx="41402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140200" cy="8255"/>
                    </a:xfrm>
                    <a:prstGeom prst="rect">
                      <a:avLst/>
                    </a:prstGeom>
                    <a:noFill/>
                  </pic:spPr>
                </pic:pic>
              </a:graphicData>
            </a:graphic>
          </wp:anchor>
        </w:drawing>
      </w:r>
    </w:p>
    <w:p>
      <w:pPr>
        <w:spacing w:after="0" w:line="1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1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31" w:lineRule="exact"/>
        <w:rPr>
          <w:sz w:val="24"/>
          <w:szCs w:val="24"/>
          <w:color w:val="auto"/>
        </w:rPr>
      </w:pPr>
    </w:p>
    <w:p>
      <w:pPr>
        <w:jc w:val="center"/>
        <w:ind w:left="3680" w:right="1180" w:hanging="2487"/>
        <w:spacing w:after="0" w:line="280" w:lineRule="auto"/>
        <w:tabs>
          <w:tab w:leader="none" w:pos="1381"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 For the Quarterly Period Ended October 28, 2023</w:t>
      </w: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32" w:lineRule="exact"/>
        <w:rPr>
          <w:sz w:val="24"/>
          <w:szCs w:val="24"/>
          <w:color w:val="auto"/>
        </w:rPr>
      </w:pPr>
    </w:p>
    <w:p>
      <w:pPr>
        <w:ind w:left="1380" w:hanging="193"/>
        <w:spacing w:after="0"/>
        <w:tabs>
          <w:tab w:leader="none" w:pos="138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81" w:lineRule="exact"/>
        <w:rPr>
          <w:sz w:val="24"/>
          <w:szCs w:val="24"/>
          <w:color w:val="auto"/>
        </w:rPr>
      </w:pPr>
    </w:p>
    <w:p>
      <w:pPr>
        <w:ind w:left="3320"/>
        <w:spacing w:after="0"/>
        <w:rPr>
          <w:sz w:val="20"/>
          <w:szCs w:val="20"/>
          <w:color w:val="auto"/>
        </w:rPr>
      </w:pPr>
      <w:r>
        <w:rPr>
          <w:rFonts w:ascii="Times New Roman" w:cs="Times New Roman" w:eastAsia="Times New Roman" w:hAnsi="Times New Roman"/>
          <w:sz w:val="16"/>
          <w:szCs w:val="16"/>
          <w:b w:val="1"/>
          <w:bCs w:val="1"/>
          <w:color w:val="auto"/>
        </w:rPr>
        <w:t>For the transition period from ___________ to ___________</w:t>
      </w:r>
      <w:r>
        <w:rPr>
          <w:rFonts w:ascii="Times New Roman" w:cs="Times New Roman" w:eastAsia="Times New Roman" w:hAnsi="Times New Roman"/>
          <w:sz w:val="16"/>
          <w:szCs w:val="16"/>
          <w:color w:val="auto"/>
        </w:rPr>
        <w:t>.</w:t>
      </w:r>
    </w:p>
    <w:p>
      <w:pPr>
        <w:spacing w:after="0" w:line="1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No. 001-39589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1356995</wp:posOffset>
            </wp:positionH>
            <wp:positionV relativeFrom="paragraph">
              <wp:posOffset>81915</wp:posOffset>
            </wp:positionV>
            <wp:extent cx="4140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140200" cy="8255"/>
                    </a:xfrm>
                    <a:prstGeom prst="rect">
                      <a:avLst/>
                    </a:prstGeom>
                    <a:noFill/>
                  </pic:spPr>
                </pic:pic>
              </a:graphicData>
            </a:graphic>
          </wp:anchor>
        </w:drawing>
        <w:drawing>
          <wp:anchor simplePos="0" relativeHeight="251657728" behindDoc="1" locked="0" layoutInCell="0" allowOverlap="1">
            <wp:simplePos x="0" y="0"/>
            <wp:positionH relativeFrom="column">
              <wp:posOffset>2745740</wp:posOffset>
            </wp:positionH>
            <wp:positionV relativeFrom="paragraph">
              <wp:posOffset>184785</wp:posOffset>
            </wp:positionV>
            <wp:extent cx="1371600" cy="419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1600" cy="4197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Academy Sports and Outdoors, Inc.</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08" w:lineRule="exact"/>
        <w:rPr>
          <w:sz w:val="24"/>
          <w:szCs w:val="24"/>
          <w:color w:val="auto"/>
        </w:rPr>
      </w:pPr>
    </w:p>
    <w:p>
      <w:pPr>
        <w:ind w:left="1820"/>
        <w:spacing w:after="0"/>
        <w:tabs>
          <w:tab w:leader="none" w:pos="8240" w:val="left"/>
        </w:tabs>
        <w:rPr>
          <w:sz w:val="20"/>
          <w:szCs w:val="20"/>
          <w:color w:val="auto"/>
        </w:rPr>
      </w:pPr>
      <w:r>
        <w:rPr>
          <w:rFonts w:ascii="Times New Roman" w:cs="Times New Roman" w:eastAsia="Times New Roman" w:hAnsi="Times New Roman"/>
          <w:sz w:val="16"/>
          <w:szCs w:val="16"/>
          <w:b w:val="1"/>
          <w:bCs w:val="1"/>
          <w:color w:val="auto"/>
        </w:rPr>
        <w:t>Delaware</w:t>
      </w:r>
      <w:r>
        <w:rPr>
          <w:sz w:val="20"/>
          <w:szCs w:val="20"/>
          <w:color w:val="auto"/>
        </w:rPr>
        <w:tab/>
      </w:r>
      <w:r>
        <w:rPr>
          <w:rFonts w:ascii="Times New Roman" w:cs="Times New Roman" w:eastAsia="Times New Roman" w:hAnsi="Times New Roman"/>
          <w:sz w:val="16"/>
          <w:szCs w:val="16"/>
          <w:b w:val="1"/>
          <w:bCs w:val="1"/>
          <w:color w:val="auto"/>
        </w:rPr>
        <w:t>85-1800912</w:t>
      </w:r>
    </w:p>
    <w:p>
      <w:pPr>
        <w:spacing w:after="0" w:line="127" w:lineRule="exact"/>
        <w:rPr>
          <w:sz w:val="24"/>
          <w:szCs w:val="24"/>
          <w:color w:val="auto"/>
        </w:rPr>
      </w:pPr>
    </w:p>
    <w:p>
      <w:pPr>
        <w:ind w:left="1200"/>
        <w:spacing w:after="0"/>
        <w:tabs>
          <w:tab w:leader="none" w:pos="8100" w:val="left"/>
        </w:tabs>
        <w:rPr>
          <w:sz w:val="20"/>
          <w:szCs w:val="20"/>
          <w:color w:val="auto"/>
        </w:rPr>
      </w:pPr>
      <w:r>
        <w:rPr>
          <w:rFonts w:ascii="Times New Roman" w:cs="Times New Roman" w:eastAsia="Times New Roman" w:hAnsi="Times New Roman"/>
          <w:sz w:val="16"/>
          <w:szCs w:val="16"/>
          <w:i w:val="1"/>
          <w:iCs w:val="1"/>
          <w:color w:val="auto"/>
        </w:rPr>
        <w:t>(State or other jurisdiction of</w:t>
      </w:r>
      <w:r>
        <w:rPr>
          <w:sz w:val="20"/>
          <w:szCs w:val="20"/>
          <w:color w:val="auto"/>
        </w:rPr>
        <w:tab/>
      </w:r>
      <w:r>
        <w:rPr>
          <w:rFonts w:ascii="Times New Roman" w:cs="Times New Roman" w:eastAsia="Times New Roman" w:hAnsi="Times New Roman"/>
          <w:sz w:val="16"/>
          <w:szCs w:val="16"/>
          <w:i w:val="1"/>
          <w:iCs w:val="1"/>
          <w:color w:val="auto"/>
        </w:rPr>
        <w:t>(I.R.S. Employer</w:t>
      </w:r>
    </w:p>
    <w:p>
      <w:pPr>
        <w:spacing w:after="0" w:line="86" w:lineRule="exact"/>
        <w:rPr>
          <w:sz w:val="24"/>
          <w:szCs w:val="24"/>
          <w:color w:val="auto"/>
        </w:rPr>
      </w:pPr>
    </w:p>
    <w:p>
      <w:pPr>
        <w:ind w:left="1140"/>
        <w:spacing w:after="0"/>
        <w:tabs>
          <w:tab w:leader="none" w:pos="8040" w:val="left"/>
        </w:tabs>
        <w:rPr>
          <w:sz w:val="20"/>
          <w:szCs w:val="20"/>
          <w:color w:val="auto"/>
        </w:rPr>
      </w:pPr>
      <w:r>
        <w:rPr>
          <w:rFonts w:ascii="Times New Roman" w:cs="Times New Roman" w:eastAsia="Times New Roman" w:hAnsi="Times New Roman"/>
          <w:sz w:val="16"/>
          <w:szCs w:val="16"/>
          <w:i w:val="1"/>
          <w:iCs w:val="1"/>
          <w:color w:val="auto"/>
        </w:rPr>
        <w:t>incorporation or organization)</w:t>
      </w:r>
      <w:r>
        <w:rPr>
          <w:sz w:val="20"/>
          <w:szCs w:val="20"/>
          <w:color w:val="auto"/>
        </w:rPr>
        <w:tab/>
      </w:r>
      <w:r>
        <w:rPr>
          <w:rFonts w:ascii="Times New Roman" w:cs="Times New Roman" w:eastAsia="Times New Roman" w:hAnsi="Times New Roman"/>
          <w:sz w:val="15"/>
          <w:szCs w:val="15"/>
          <w:i w:val="1"/>
          <w:iCs w:val="1"/>
          <w:color w:val="auto"/>
        </w:rPr>
        <w:t>Identification No.)</w:t>
      </w:r>
    </w:p>
    <w:p>
      <w:pPr>
        <w:spacing w:after="0" w:line="113" w:lineRule="exact"/>
        <w:rPr>
          <w:sz w:val="24"/>
          <w:szCs w:val="24"/>
          <w:color w:val="auto"/>
        </w:rPr>
      </w:pPr>
    </w:p>
    <w:p>
      <w:pPr>
        <w:ind w:left="4560"/>
        <w:spacing w:after="0"/>
        <w:rPr>
          <w:sz w:val="20"/>
          <w:szCs w:val="20"/>
          <w:color w:val="auto"/>
        </w:rPr>
      </w:pPr>
      <w:r>
        <w:rPr>
          <w:rFonts w:ascii="Times New Roman" w:cs="Times New Roman" w:eastAsia="Times New Roman" w:hAnsi="Times New Roman"/>
          <w:sz w:val="16"/>
          <w:szCs w:val="16"/>
          <w:b w:val="1"/>
          <w:bCs w:val="1"/>
          <w:color w:val="auto"/>
        </w:rPr>
        <w:t>1800 North Mason Road</w:t>
      </w:r>
    </w:p>
    <w:p>
      <w:pPr>
        <w:spacing w:after="0" w:line="46"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6"/>
          <w:szCs w:val="16"/>
          <w:b w:val="1"/>
          <w:bCs w:val="1"/>
          <w:color w:val="auto"/>
        </w:rPr>
        <w:t>Katy, Texas 77449</w:t>
      </w:r>
    </w:p>
    <w:p>
      <w:pPr>
        <w:spacing w:after="0" w:line="32"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6"/>
          <w:szCs w:val="16"/>
          <w:i w:val="1"/>
          <w:iCs w:val="1"/>
          <w:color w:val="auto"/>
        </w:rPr>
        <w:t>(Address of principal executive offices) (Zip Code)</w:t>
      </w:r>
    </w:p>
    <w:p>
      <w:pPr>
        <w:spacing w:after="0" w:line="127"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6"/>
          <w:szCs w:val="16"/>
          <w:b w:val="1"/>
          <w:bCs w:val="1"/>
          <w:color w:val="auto"/>
        </w:rPr>
        <w:t>(281) 646-5200</w:t>
      </w:r>
    </w:p>
    <w:p>
      <w:pPr>
        <w:spacing w:after="0" w:line="32"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16"/>
          <w:szCs w:val="16"/>
          <w:i w:val="1"/>
          <w:iCs w:val="1"/>
          <w:color w:val="auto"/>
        </w:rPr>
        <w:t>(Registrant’s Telephone Number, including Area Code)</w:t>
      </w:r>
    </w:p>
    <w:p>
      <w:pPr>
        <w:spacing w:after="0" w:line="127"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(Former name, former address and former fiscal year, if changed since last report)</w:t>
      </w:r>
    </w:p>
    <w:p>
      <w:pPr>
        <w:spacing w:after="0" w:line="1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26" w:lineRule="exact"/>
        <w:rPr>
          <w:sz w:val="24"/>
          <w:szCs w:val="24"/>
          <w:color w:val="auto"/>
        </w:rPr>
      </w:pPr>
    </w:p>
    <w:tbl>
      <w:tblPr>
        <w:tblLayout w:type="fixed"/>
        <w:tblInd w:w="780" w:type="dxa"/>
        <w:tblCellMar>
          <w:top w:w="0" w:type="dxa"/>
          <w:left w:w="0" w:type="dxa"/>
          <w:bottom w:w="0" w:type="dxa"/>
          <w:right w:w="0" w:type="dxa"/>
        </w:tblCellMar>
      </w:tblPr>
      <w:tr>
        <w:trPr>
          <w:trHeight w:val="184"/>
        </w:trPr>
        <w:tc>
          <w:tcPr>
            <w:tcW w:w="760" w:type="dxa"/>
            <w:vAlign w:val="bottom"/>
          </w:tcPr>
          <w:p>
            <w:pPr>
              <w:spacing w:after="0"/>
              <w:rPr>
                <w:sz w:val="16"/>
                <w:szCs w:val="16"/>
                <w:color w:val="auto"/>
              </w:rPr>
            </w:pPr>
          </w:p>
        </w:tc>
        <w:tc>
          <w:tcPr>
            <w:tcW w:w="3240" w:type="dxa"/>
            <w:vAlign w:val="bottom"/>
            <w:gridSpan w:val="2"/>
          </w:tcPr>
          <w:p>
            <w:pPr>
              <w:jc w:val="center"/>
              <w:ind w:right="2040"/>
              <w:spacing w:after="0"/>
              <w:rPr>
                <w:sz w:val="20"/>
                <w:szCs w:val="20"/>
                <w:color w:val="auto"/>
              </w:rPr>
            </w:pPr>
            <w:r>
              <w:rPr>
                <w:rFonts w:ascii="Times New Roman" w:cs="Times New Roman" w:eastAsia="Times New Roman" w:hAnsi="Times New Roman"/>
                <w:sz w:val="16"/>
                <w:szCs w:val="16"/>
                <w:b w:val="1"/>
                <w:bCs w:val="1"/>
                <w:i w:val="1"/>
                <w:iCs w:val="1"/>
                <w:color w:val="auto"/>
              </w:rPr>
              <w:t>Title of each class</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Trading Symbol(s)</w:t>
            </w:r>
          </w:p>
        </w:tc>
        <w:tc>
          <w:tcPr>
            <w:tcW w:w="1160" w:type="dxa"/>
            <w:vAlign w:val="bottom"/>
          </w:tcPr>
          <w:p>
            <w:pPr>
              <w:spacing w:after="0"/>
              <w:rPr>
                <w:sz w:val="16"/>
                <w:szCs w:val="16"/>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Name of each exchange on which registered</w:t>
            </w:r>
          </w:p>
        </w:tc>
      </w:tr>
      <w:tr>
        <w:trPr>
          <w:trHeight w:val="20"/>
        </w:trPr>
        <w:tc>
          <w:tcPr>
            <w:tcW w:w="7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960" w:type="dxa"/>
            <w:vAlign w:val="bottom"/>
            <w:shd w:val="clear" w:color="auto" w:fill="000000"/>
          </w:tcPr>
          <w:p>
            <w:pPr>
              <w:spacing w:after="0" w:line="20" w:lineRule="exact"/>
              <w:rPr>
                <w:sz w:val="1"/>
                <w:szCs w:val="1"/>
                <w:color w:val="auto"/>
              </w:rPr>
            </w:pPr>
          </w:p>
        </w:tc>
      </w:tr>
      <w:tr>
        <w:trPr>
          <w:trHeight w:val="230"/>
        </w:trPr>
        <w:tc>
          <w:tcPr>
            <w:tcW w:w="4000" w:type="dxa"/>
            <w:vAlign w:val="bottom"/>
            <w:gridSpan w:val="3"/>
          </w:tcPr>
          <w:p>
            <w:pPr>
              <w:jc w:val="center"/>
              <w:ind w:right="1280"/>
              <w:spacing w:after="0"/>
              <w:rPr>
                <w:sz w:val="20"/>
                <w:szCs w:val="20"/>
                <w:color w:val="auto"/>
              </w:rPr>
            </w:pPr>
            <w:r>
              <w:rPr>
                <w:rFonts w:ascii="Times New Roman" w:cs="Times New Roman" w:eastAsia="Times New Roman" w:hAnsi="Times New Roman"/>
                <w:sz w:val="16"/>
                <w:szCs w:val="16"/>
                <w:color w:val="auto"/>
              </w:rPr>
              <w:t>Common Stock, par value $0.01 per share</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ASO</w:t>
            </w:r>
          </w:p>
        </w:tc>
        <w:tc>
          <w:tcPr>
            <w:tcW w:w="1160" w:type="dxa"/>
            <w:vAlign w:val="bottom"/>
          </w:tcPr>
          <w:p>
            <w:pPr>
              <w:spacing w:after="0"/>
              <w:rPr>
                <w:sz w:val="20"/>
                <w:szCs w:val="20"/>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bl>
    <w:p>
      <w:pPr>
        <w:spacing w:after="0" w:line="181" w:lineRule="exact"/>
        <w:rPr>
          <w:sz w:val="24"/>
          <w:szCs w:val="24"/>
          <w:color w:val="auto"/>
        </w:rPr>
      </w:pPr>
    </w:p>
    <w:p>
      <w:pPr>
        <w:spacing w:after="0" w:line="223"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ind w:right="9940" w:firstLine="2"/>
        <w:spacing w:after="0" w:line="217" w:lineRule="exact"/>
        <w:tabs>
          <w:tab w:leader="none" w:pos="203"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91" w:lineRule="exact"/>
        <w:rPr>
          <w:sz w:val="24"/>
          <w:szCs w:val="24"/>
          <w:color w:val="auto"/>
        </w:rPr>
      </w:pPr>
    </w:p>
    <w:p>
      <w:pPr>
        <w:ind w:right="180"/>
        <w:spacing w:after="0" w:line="269" w:lineRule="auto"/>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86" w:lineRule="exact"/>
        <w:rPr>
          <w:sz w:val="24"/>
          <w:szCs w:val="24"/>
          <w:color w:val="auto"/>
        </w:rPr>
      </w:pPr>
    </w:p>
    <w:p>
      <w:pPr>
        <w:jc w:val="both"/>
        <w:spacing w:after="0" w:line="23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p>
      <w:pPr>
        <w:ind w:left="2140"/>
        <w:spacing w:after="0" w:line="184" w:lineRule="exact"/>
        <w:tabs>
          <w:tab w:leader="none" w:pos="6480" w:val="left"/>
        </w:tabs>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color w:val="auto"/>
        </w:rPr>
        <w:t xml:space="preserve">Accelerated filer </w:t>
      </w:r>
      <w:r>
        <w:rPr>
          <w:rFonts w:ascii="MS PGothic" w:cs="MS PGothic" w:eastAsia="MS PGothic" w:hAnsi="MS PGothic"/>
          <w:sz w:val="15"/>
          <w:szCs w:val="15"/>
          <w:color w:val="auto"/>
        </w:rPr>
        <w:t>☐</w:t>
      </w:r>
    </w:p>
    <w:p>
      <w:pPr>
        <w:spacing w:after="0" w:line="50" w:lineRule="exact"/>
        <w:rPr>
          <w:sz w:val="24"/>
          <w:szCs w:val="24"/>
          <w:color w:val="auto"/>
        </w:rPr>
      </w:pPr>
    </w:p>
    <w:p>
      <w:pPr>
        <w:ind w:left="2140"/>
        <w:spacing w:after="0" w:line="184" w:lineRule="exact"/>
        <w:tabs>
          <w:tab w:leader="none" w:pos="6480" w:val="left"/>
        </w:tabs>
        <w:rPr>
          <w:sz w:val="20"/>
          <w:szCs w:val="20"/>
          <w:color w:val="auto"/>
        </w:rPr>
      </w:pPr>
      <w:r>
        <w:rPr>
          <w:rFonts w:ascii="Times New Roman" w:cs="Times New Roman" w:eastAsia="Times New Roman" w:hAnsi="Times New Roman"/>
          <w:sz w:val="16"/>
          <w:szCs w:val="16"/>
          <w:color w:val="auto"/>
        </w:rPr>
        <w:t xml:space="preserve">Non-accelerated filer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 xml:space="preserve">Smaller reporting company </w:t>
      </w:r>
      <w:r>
        <w:rPr>
          <w:rFonts w:ascii="MS PGothic" w:cs="MS PGothic" w:eastAsia="MS PGothic" w:hAnsi="MS PGothic"/>
          <w:sz w:val="16"/>
          <w:szCs w:val="16"/>
          <w:color w:val="auto"/>
        </w:rPr>
        <w:t>☐</w:t>
      </w:r>
    </w:p>
    <w:p>
      <w:pPr>
        <w:spacing w:after="0" w:line="32" w:lineRule="exact"/>
        <w:rPr>
          <w:sz w:val="24"/>
          <w:szCs w:val="24"/>
          <w:color w:val="auto"/>
        </w:rPr>
      </w:pPr>
    </w:p>
    <w:p>
      <w:pPr>
        <w:ind w:left="6500"/>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42" w:lineRule="exact"/>
        <w:rPr>
          <w:sz w:val="24"/>
          <w:szCs w:val="24"/>
          <w:color w:val="auto"/>
        </w:rPr>
      </w:pPr>
    </w:p>
    <w:p>
      <w:pPr>
        <w:jc w:val="both"/>
        <w:spacing w:after="0" w:line="19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9"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6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As of November 22, 2023, Academy Sports and Outdoors, Inc. had 74,151,384 shares of common stock, par value $0.01 per share, outstanding.</w:t>
      </w:r>
    </w:p>
    <w:p>
      <w:pPr>
        <w:sectPr>
          <w:pgSz w:w="11900" w:h="16838" w:orient="portrait"/>
          <w:cols w:equalWidth="0" w:num="1">
            <w:col w:w="10800"/>
          </w:cols>
          <w:pgMar w:left="540" w:top="581" w:right="559" w:bottom="1440" w:gutter="0" w:footer="0" w:header="0"/>
        </w:sectPr>
      </w:pPr>
    </w:p>
    <w:p>
      <w:pPr>
        <w:spacing w:after="0" w:line="200" w:lineRule="exact"/>
        <w:rPr>
          <w:sz w:val="24"/>
          <w:szCs w:val="24"/>
          <w:color w:val="auto"/>
        </w:rPr>
      </w:pPr>
    </w:p>
    <w:p>
      <w:pPr>
        <w:spacing w:after="0" w:line="2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-146685</wp:posOffset>
            </wp:positionH>
            <wp:positionV relativeFrom="paragraph">
              <wp:posOffset>87630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540" w:top="581" w:right="5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ACADEMY SPORTS AND OUTDOORS,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540" w:type="dxa"/>
            <w:vAlign w:val="bottom"/>
            <w:tcBorders>
              <w:bottom w:val="single" w:sz="8" w:color="CCEEFF"/>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44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20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080" w:type="dxa"/>
            <w:vAlign w:val="bottom"/>
            <w:tcBorders>
              <w:bottom w:val="single" w:sz="8" w:color="CCEEFF"/>
            </w:tcBorders>
          </w:tcPr>
          <w:p>
            <w:pPr>
              <w:spacing w:after="0"/>
              <w:rPr>
                <w:sz w:val="20"/>
                <w:szCs w:val="20"/>
                <w:color w:val="auto"/>
              </w:rPr>
            </w:pPr>
          </w:p>
        </w:tc>
        <w:tc>
          <w:tcPr>
            <w:tcW w:w="316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89"/>
        </w:trPr>
        <w:tc>
          <w:tcPr>
            <w:tcW w:w="20" w:type="dxa"/>
            <w:vAlign w:val="bottom"/>
            <w:shd w:val="clear" w:color="auto" w:fill="CCEEFF"/>
          </w:tcPr>
          <w:p>
            <w:pPr>
              <w:spacing w:after="0"/>
              <w:rPr>
                <w:sz w:val="16"/>
                <w:szCs w:val="16"/>
                <w:color w:val="auto"/>
              </w:rPr>
            </w:pPr>
          </w:p>
        </w:tc>
        <w:tc>
          <w:tcPr>
            <w:tcW w:w="10380" w:type="dxa"/>
            <w:vAlign w:val="bottom"/>
            <w:gridSpan w:val="16"/>
            <w:shd w:val="clear" w:color="auto" w:fill="CCEEFF"/>
          </w:tcPr>
          <w:p>
            <w:pPr>
              <w:spacing w:after="0" w:line="149" w:lineRule="exact"/>
              <w:rPr>
                <w:sz w:val="20"/>
                <w:szCs w:val="20"/>
                <w:color w:val="auto"/>
              </w:rPr>
            </w:pPr>
            <w:r>
              <w:rPr>
                <w:rFonts w:ascii="Times New Roman" w:cs="Times New Roman" w:eastAsia="Times New Roman" w:hAnsi="Times New Roman"/>
                <w:sz w:val="17"/>
                <w:szCs w:val="17"/>
                <w:color w:val="0000FF"/>
              </w:rPr>
              <w:t>PART I. FINANCIAL INFORMATION</w:t>
            </w:r>
          </w:p>
        </w:tc>
        <w:tc>
          <w:tcPr>
            <w:tcW w:w="520" w:type="dxa"/>
            <w:vAlign w:val="bottom"/>
            <w:tcBorders>
              <w:right w:val="single" w:sz="8" w:color="CCEEFF"/>
            </w:tcBorders>
            <w:gridSpan w:val="2"/>
            <w:shd w:val="clear" w:color="auto" w:fill="CCEEFF"/>
          </w:tcPr>
          <w:p>
            <w:pPr>
              <w:jc w:val="center"/>
              <w:ind w:left="230"/>
              <w:spacing w:after="0" w:line="156" w:lineRule="exact"/>
              <w:rPr>
                <w:sz w:val="20"/>
                <w:szCs w:val="20"/>
                <w:color w:val="auto"/>
              </w:rPr>
            </w:pPr>
            <w:r>
              <w:rPr>
                <w:rFonts w:ascii="Times New Roman" w:cs="Times New Roman" w:eastAsia="Times New Roman" w:hAnsi="Times New Roman"/>
                <w:sz w:val="18"/>
                <w:szCs w:val="18"/>
                <w:color w:val="0000FF"/>
                <w:w w:val="88"/>
              </w:rPr>
              <w:t>3</w:t>
            </w:r>
          </w:p>
        </w:tc>
        <w:tc>
          <w:tcPr>
            <w:tcW w:w="3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60" w:type="dxa"/>
            <w:vAlign w:val="bottom"/>
            <w:gridSpan w:val="10"/>
          </w:tcPr>
          <w:p>
            <w:pPr>
              <w:spacing w:after="0" w:line="183" w:lineRule="exact"/>
              <w:rPr>
                <w:sz w:val="20"/>
                <w:szCs w:val="20"/>
                <w:color w:val="auto"/>
              </w:rPr>
            </w:pPr>
            <w:r>
              <w:rPr>
                <w:rFonts w:ascii="Times New Roman" w:cs="Times New Roman" w:eastAsia="Times New Roman" w:hAnsi="Times New Roman"/>
                <w:sz w:val="18"/>
                <w:szCs w:val="18"/>
                <w:color w:val="0000FF"/>
              </w:rPr>
              <w:t>Item 1. Financial Statements</w:t>
            </w:r>
          </w:p>
        </w:tc>
        <w:tc>
          <w:tcPr>
            <w:tcW w:w="7500" w:type="dxa"/>
            <w:vAlign w:val="bottom"/>
            <w:gridSpan w:val="5"/>
          </w:tcPr>
          <w:p>
            <w:pPr>
              <w:spacing w:after="0"/>
              <w:rPr>
                <w:sz w:val="15"/>
                <w:szCs w:val="15"/>
                <w:color w:val="auto"/>
              </w:rPr>
            </w:pPr>
          </w:p>
        </w:tc>
        <w:tc>
          <w:tcPr>
            <w:tcW w:w="520" w:type="dxa"/>
            <w:vAlign w:val="bottom"/>
            <w:gridSpan w:val="2"/>
          </w:tcPr>
          <w:p>
            <w:pPr>
              <w:jc w:val="center"/>
              <w:ind w:left="230"/>
              <w:spacing w:after="0" w:line="183" w:lineRule="exact"/>
              <w:rPr>
                <w:sz w:val="20"/>
                <w:szCs w:val="20"/>
                <w:color w:val="auto"/>
              </w:rPr>
            </w:pPr>
            <w:r>
              <w:rPr>
                <w:rFonts w:ascii="Times New Roman" w:cs="Times New Roman" w:eastAsia="Times New Roman" w:hAnsi="Times New Roman"/>
                <w:sz w:val="18"/>
                <w:szCs w:val="18"/>
                <w:color w:val="0000FF"/>
                <w:w w:val="88"/>
              </w:rPr>
              <w:t>3</w:t>
            </w:r>
          </w:p>
        </w:tc>
        <w:tc>
          <w:tcPr>
            <w:tcW w:w="32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0" w:type="dxa"/>
            <w:vAlign w:val="bottom"/>
            <w:gridSpan w:val="1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Item 2. Management's Discussion and Analysis of Financial Condition and Results of Operations</w:t>
            </w:r>
          </w:p>
        </w:tc>
        <w:tc>
          <w:tcPr>
            <w:tcW w:w="3160" w:type="dxa"/>
            <w:vAlign w:val="bottom"/>
            <w:shd w:val="clear" w:color="auto" w:fill="CCEEFF"/>
          </w:tcPr>
          <w:p>
            <w:pPr>
              <w:spacing w:after="0"/>
              <w:rPr>
                <w:sz w:val="16"/>
                <w:szCs w:val="16"/>
                <w:color w:val="auto"/>
              </w:rPr>
            </w:pPr>
          </w:p>
        </w:tc>
        <w:tc>
          <w:tcPr>
            <w:tcW w:w="840" w:type="dxa"/>
            <w:vAlign w:val="bottom"/>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20</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80" w:type="dxa"/>
            <w:vAlign w:val="bottom"/>
            <w:tcBorders>
              <w:top w:val="single" w:sz="8" w:color="0000FF"/>
            </w:tcBorders>
            <w:shd w:val="clear" w:color="auto" w:fill="CCEEFF"/>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0" w:type="dxa"/>
            <w:vAlign w:val="bottom"/>
            <w:gridSpan w:val="14"/>
          </w:tcPr>
          <w:p>
            <w:pPr>
              <w:spacing w:after="0" w:line="189" w:lineRule="exact"/>
              <w:rPr>
                <w:sz w:val="20"/>
                <w:szCs w:val="20"/>
                <w:color w:val="auto"/>
              </w:rPr>
            </w:pPr>
            <w:r>
              <w:rPr>
                <w:rFonts w:ascii="Times New Roman" w:cs="Times New Roman" w:eastAsia="Times New Roman" w:hAnsi="Times New Roman"/>
                <w:sz w:val="18"/>
                <w:szCs w:val="18"/>
                <w:color w:val="0000FF"/>
              </w:rPr>
              <w:t>Item 3. Quantitative and Qualitative Disclosures About Market Risk</w:t>
            </w:r>
          </w:p>
        </w:tc>
        <w:tc>
          <w:tcPr>
            <w:tcW w:w="3160" w:type="dxa"/>
            <w:vAlign w:val="bottom"/>
          </w:tcPr>
          <w:p>
            <w:pPr>
              <w:spacing w:after="0"/>
              <w:rPr>
                <w:sz w:val="16"/>
                <w:szCs w:val="16"/>
                <w:color w:val="auto"/>
              </w:rPr>
            </w:pPr>
          </w:p>
        </w:tc>
        <w:tc>
          <w:tcPr>
            <w:tcW w:w="840" w:type="dxa"/>
            <w:vAlign w:val="bottom"/>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36</w:t>
            </w:r>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160" w:type="dxa"/>
            <w:vAlign w:val="bottom"/>
            <w:gridSpan w:val="1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4. Controls and Procedures</w:t>
            </w:r>
          </w:p>
        </w:tc>
        <w:tc>
          <w:tcPr>
            <w:tcW w:w="840" w:type="dxa"/>
            <w:vAlign w:val="bottom"/>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36</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380" w:type="dxa"/>
            <w:vAlign w:val="bottom"/>
            <w:gridSpan w:val="16"/>
          </w:tcPr>
          <w:p>
            <w:pPr>
              <w:spacing w:after="0" w:line="189" w:lineRule="exact"/>
              <w:rPr>
                <w:sz w:val="20"/>
                <w:szCs w:val="20"/>
                <w:color w:val="auto"/>
              </w:rPr>
            </w:pPr>
            <w:r>
              <w:rPr>
                <w:rFonts w:ascii="Times New Roman" w:cs="Times New Roman" w:eastAsia="Times New Roman" w:hAnsi="Times New Roman"/>
                <w:sz w:val="18"/>
                <w:szCs w:val="18"/>
                <w:color w:val="0000FF"/>
              </w:rPr>
              <w:t>PART II. OTHER INFORMATION</w:t>
            </w:r>
          </w:p>
        </w:tc>
        <w:tc>
          <w:tcPr>
            <w:tcW w:w="840" w:type="dxa"/>
            <w:vAlign w:val="bottom"/>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37</w:t>
            </w:r>
          </w:p>
        </w:tc>
      </w:tr>
      <w:tr>
        <w:trPr>
          <w:trHeight w:val="20"/>
        </w:trPr>
        <w:tc>
          <w:tcPr>
            <w:tcW w:w="2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900" w:type="dxa"/>
            <w:vAlign w:val="bottom"/>
            <w:gridSpan w:val="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Item 1. Legal Proceedings</w:t>
            </w:r>
          </w:p>
        </w:tc>
        <w:tc>
          <w:tcPr>
            <w:tcW w:w="8260" w:type="dxa"/>
            <w:vAlign w:val="bottom"/>
            <w:gridSpan w:val="9"/>
            <w:shd w:val="clear" w:color="auto" w:fill="CCEEFF"/>
          </w:tcPr>
          <w:p>
            <w:pPr>
              <w:spacing w:after="0"/>
              <w:rPr>
                <w:sz w:val="16"/>
                <w:szCs w:val="16"/>
                <w:color w:val="auto"/>
              </w:rPr>
            </w:pPr>
          </w:p>
        </w:tc>
        <w:tc>
          <w:tcPr>
            <w:tcW w:w="840" w:type="dxa"/>
            <w:vAlign w:val="bottom"/>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37</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00" w:type="dxa"/>
            <w:vAlign w:val="bottom"/>
            <w:gridSpan w:val="6"/>
          </w:tcPr>
          <w:p>
            <w:pPr>
              <w:spacing w:after="0" w:line="189" w:lineRule="exact"/>
              <w:rPr>
                <w:sz w:val="20"/>
                <w:szCs w:val="20"/>
                <w:color w:val="auto"/>
              </w:rPr>
            </w:pPr>
            <w:r>
              <w:rPr>
                <w:rFonts w:ascii="Times New Roman" w:cs="Times New Roman" w:eastAsia="Times New Roman" w:hAnsi="Times New Roman"/>
                <w:sz w:val="18"/>
                <w:szCs w:val="18"/>
                <w:color w:val="0000FF"/>
              </w:rPr>
              <w:t>Item 1A. Risk Factors</w:t>
            </w:r>
          </w:p>
        </w:tc>
        <w:tc>
          <w:tcPr>
            <w:tcW w:w="8260" w:type="dxa"/>
            <w:vAlign w:val="bottom"/>
            <w:gridSpan w:val="9"/>
          </w:tcPr>
          <w:p>
            <w:pPr>
              <w:spacing w:after="0"/>
              <w:rPr>
                <w:sz w:val="16"/>
                <w:szCs w:val="16"/>
                <w:color w:val="auto"/>
              </w:rPr>
            </w:pPr>
          </w:p>
        </w:tc>
        <w:tc>
          <w:tcPr>
            <w:tcW w:w="840" w:type="dxa"/>
            <w:vAlign w:val="bottom"/>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37</w:t>
            </w: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160" w:type="dxa"/>
            <w:vAlign w:val="bottom"/>
            <w:gridSpan w:val="1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2. Unregistered Sales of Equity Securities and Use of Proceeds</w:t>
            </w:r>
          </w:p>
        </w:tc>
        <w:tc>
          <w:tcPr>
            <w:tcW w:w="840" w:type="dxa"/>
            <w:vAlign w:val="bottom"/>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38</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FF"/>
              </w:rPr>
              <w:t>Item 3.</w:t>
            </w:r>
          </w:p>
        </w:tc>
        <w:tc>
          <w:tcPr>
            <w:tcW w:w="4360" w:type="dxa"/>
            <w:vAlign w:val="bottom"/>
            <w:gridSpan w:val="11"/>
          </w:tcPr>
          <w:p>
            <w:pPr>
              <w:ind w:left="20"/>
              <w:spacing w:after="0" w:line="189"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5260" w:type="dxa"/>
            <w:vAlign w:val="bottom"/>
            <w:gridSpan w:val="3"/>
          </w:tcPr>
          <w:p>
            <w:pPr>
              <w:spacing w:after="0"/>
              <w:rPr>
                <w:sz w:val="16"/>
                <w:szCs w:val="16"/>
                <w:color w:val="auto"/>
              </w:rPr>
            </w:pPr>
          </w:p>
        </w:tc>
        <w:tc>
          <w:tcPr>
            <w:tcW w:w="840" w:type="dxa"/>
            <w:vAlign w:val="bottom"/>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38</w:t>
            </w:r>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4.</w:t>
            </w:r>
          </w:p>
        </w:tc>
        <w:tc>
          <w:tcPr>
            <w:tcW w:w="9620" w:type="dxa"/>
            <w:vAlign w:val="bottom"/>
            <w:gridSpan w:val="14"/>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Mine Safety Disclosures</w:t>
            </w:r>
          </w:p>
        </w:tc>
        <w:tc>
          <w:tcPr>
            <w:tcW w:w="840" w:type="dxa"/>
            <w:vAlign w:val="bottom"/>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38</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FF"/>
              </w:rPr>
              <w:t>Item 5.</w:t>
            </w:r>
          </w:p>
        </w:tc>
        <w:tc>
          <w:tcPr>
            <w:tcW w:w="1780" w:type="dxa"/>
            <w:vAlign w:val="bottom"/>
            <w:gridSpan w:val="7"/>
          </w:tcPr>
          <w:p>
            <w:pPr>
              <w:ind w:left="20"/>
              <w:spacing w:after="0" w:line="189" w:lineRule="exact"/>
              <w:rPr>
                <w:sz w:val="20"/>
                <w:szCs w:val="20"/>
                <w:color w:val="auto"/>
              </w:rPr>
            </w:pPr>
            <w:r>
              <w:rPr>
                <w:rFonts w:ascii="Times New Roman" w:cs="Times New Roman" w:eastAsia="Times New Roman" w:hAnsi="Times New Roman"/>
                <w:sz w:val="18"/>
                <w:szCs w:val="18"/>
                <w:color w:val="0000FF"/>
              </w:rPr>
              <w:t>Other Information</w:t>
            </w:r>
          </w:p>
        </w:tc>
        <w:tc>
          <w:tcPr>
            <w:tcW w:w="7840" w:type="dxa"/>
            <w:vAlign w:val="bottom"/>
            <w:gridSpan w:val="7"/>
          </w:tcPr>
          <w:p>
            <w:pPr>
              <w:spacing w:after="0"/>
              <w:rPr>
                <w:sz w:val="16"/>
                <w:szCs w:val="16"/>
                <w:color w:val="auto"/>
              </w:rPr>
            </w:pPr>
          </w:p>
        </w:tc>
        <w:tc>
          <w:tcPr>
            <w:tcW w:w="840" w:type="dxa"/>
            <w:vAlign w:val="bottom"/>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38</w:t>
            </w:r>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6.</w:t>
            </w:r>
          </w:p>
        </w:tc>
        <w:tc>
          <w:tcPr>
            <w:tcW w:w="62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w w:val="96"/>
              </w:rPr>
              <w:t>Exhibits</w:t>
            </w:r>
          </w:p>
        </w:tc>
        <w:tc>
          <w:tcPr>
            <w:tcW w:w="9000" w:type="dxa"/>
            <w:vAlign w:val="bottom"/>
            <w:gridSpan w:val="12"/>
            <w:shd w:val="clear" w:color="auto" w:fill="CCEEFF"/>
          </w:tcPr>
          <w:p>
            <w:pPr>
              <w:spacing w:after="0"/>
              <w:rPr>
                <w:sz w:val="16"/>
                <w:szCs w:val="16"/>
                <w:color w:val="auto"/>
              </w:rPr>
            </w:pPr>
          </w:p>
        </w:tc>
        <w:tc>
          <w:tcPr>
            <w:tcW w:w="840" w:type="dxa"/>
            <w:vAlign w:val="bottom"/>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39</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380" w:type="dxa"/>
            <w:vAlign w:val="bottom"/>
            <w:gridSpan w:val="16"/>
          </w:tcPr>
          <w:p>
            <w:pPr>
              <w:spacing w:after="0" w:line="189" w:lineRule="exact"/>
              <w:rPr>
                <w:sz w:val="20"/>
                <w:szCs w:val="20"/>
                <w:color w:val="auto"/>
              </w:rPr>
            </w:pPr>
            <w:r>
              <w:rPr>
                <w:rFonts w:ascii="Times New Roman" w:cs="Times New Roman" w:eastAsia="Times New Roman" w:hAnsi="Times New Roman"/>
                <w:sz w:val="18"/>
                <w:szCs w:val="18"/>
                <w:color w:val="0000FF"/>
              </w:rPr>
              <w:t>SIGNATURES</w:t>
            </w:r>
          </w:p>
        </w:tc>
        <w:tc>
          <w:tcPr>
            <w:tcW w:w="840" w:type="dxa"/>
            <w:vAlign w:val="bottom"/>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40</w:t>
            </w:r>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ACADEMY SPORTS AND OUTDOORS,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data)</w:t>
      </w:r>
    </w:p>
    <w:p>
      <w:pPr>
        <w:spacing w:after="0" w:line="267"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6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October 28, 2023</w:t>
            </w:r>
          </w:p>
        </w:tc>
        <w:tc>
          <w:tcPr>
            <w:tcW w:w="160" w:type="dxa"/>
            <w:vAlign w:val="bottom"/>
          </w:tcPr>
          <w:p>
            <w:pPr>
              <w:spacing w:after="0"/>
              <w:rPr>
                <w:sz w:val="20"/>
                <w:szCs w:val="20"/>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January 28, 2023</w:t>
            </w:r>
          </w:p>
        </w:tc>
        <w:tc>
          <w:tcPr>
            <w:tcW w:w="160" w:type="dxa"/>
            <w:vAlign w:val="bottom"/>
          </w:tcPr>
          <w:p>
            <w:pPr>
              <w:spacing w:after="0"/>
              <w:rPr>
                <w:sz w:val="20"/>
                <w:szCs w:val="20"/>
                <w:color w:val="auto"/>
              </w:rPr>
            </w:pPr>
          </w:p>
        </w:tc>
        <w:tc>
          <w:tcPr>
            <w:tcW w:w="1460" w:type="dxa"/>
            <w:vAlign w:val="bottom"/>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October 29, 2022</w:t>
            </w:r>
          </w:p>
        </w:tc>
        <w:tc>
          <w:tcPr>
            <w:tcW w:w="0" w:type="dxa"/>
            <w:vAlign w:val="bottom"/>
          </w:tcPr>
          <w:p>
            <w:pPr>
              <w:spacing w:after="0"/>
              <w:rPr>
                <w:sz w:val="1"/>
                <w:szCs w:val="1"/>
                <w:color w:val="auto"/>
              </w:rPr>
            </w:pPr>
          </w:p>
        </w:tc>
      </w:tr>
      <w:tr>
        <w:trPr>
          <w:trHeight w:val="216"/>
        </w:trPr>
        <w:tc>
          <w:tcPr>
            <w:tcW w:w="6180" w:type="dxa"/>
            <w:vAlign w:val="bottom"/>
            <w:tcBorders>
              <w:top w:val="single" w:sz="8" w:color="CCEEFF"/>
            </w:tcBorders>
            <w:shd w:val="clear" w:color="auto" w:fill="CCEEFF"/>
          </w:tcPr>
          <w:p>
            <w:pPr>
              <w:ind w:left="274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6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1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CURRENT ASSETS:</w:t>
            </w: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6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274,827</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337,145</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318,167</w:t>
            </w:r>
          </w:p>
        </w:tc>
        <w:tc>
          <w:tcPr>
            <w:tcW w:w="0" w:type="dxa"/>
            <w:vAlign w:val="bottom"/>
          </w:tcPr>
          <w:p>
            <w:pPr>
              <w:spacing w:after="0"/>
              <w:rPr>
                <w:sz w:val="1"/>
                <w:szCs w:val="1"/>
                <w:color w:val="auto"/>
              </w:rPr>
            </w:pPr>
          </w:p>
        </w:tc>
      </w:tr>
      <w:tr>
        <w:trPr>
          <w:trHeight w:val="167"/>
        </w:trPr>
        <w:tc>
          <w:tcPr>
            <w:tcW w:w="6180" w:type="dxa"/>
            <w:vAlign w:val="bottom"/>
          </w:tcPr>
          <w:p>
            <w:pPr>
              <w:ind w:left="240"/>
              <w:spacing w:after="0" w:line="167" w:lineRule="exact"/>
              <w:rPr>
                <w:sz w:val="20"/>
                <w:szCs w:val="20"/>
                <w:color w:val="auto"/>
              </w:rPr>
            </w:pPr>
            <w:r>
              <w:rPr>
                <w:rFonts w:ascii="Times New Roman" w:cs="Times New Roman" w:eastAsia="Times New Roman" w:hAnsi="Times New Roman"/>
                <w:sz w:val="17"/>
                <w:szCs w:val="17"/>
                <w:color w:val="auto"/>
              </w:rPr>
              <w:t>Accounts receivable - less allowance for doubtful accounts of $3,102, $2,004 and</w:t>
            </w:r>
          </w:p>
        </w:tc>
        <w:tc>
          <w:tcPr>
            <w:tcW w:w="160" w:type="dxa"/>
            <w:vAlign w:val="bottom"/>
          </w:tcPr>
          <w:p>
            <w:pPr>
              <w:spacing w:after="0"/>
              <w:rPr>
                <w:sz w:val="14"/>
                <w:szCs w:val="14"/>
                <w:color w:val="auto"/>
              </w:rPr>
            </w:pP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17,706</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16,503</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15,998</w:t>
            </w:r>
          </w:p>
        </w:tc>
        <w:tc>
          <w:tcPr>
            <w:tcW w:w="0" w:type="dxa"/>
            <w:vAlign w:val="bottom"/>
          </w:tcPr>
          <w:p>
            <w:pPr>
              <w:spacing w:after="0"/>
              <w:rPr>
                <w:sz w:val="1"/>
                <w:szCs w:val="1"/>
                <w:color w:val="auto"/>
              </w:rPr>
            </w:pPr>
          </w:p>
        </w:tc>
      </w:tr>
      <w:tr>
        <w:trPr>
          <w:trHeight w:val="223"/>
        </w:trPr>
        <w:tc>
          <w:tcPr>
            <w:tcW w:w="61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$1,449, respectively</w:t>
            </w:r>
          </w:p>
        </w:tc>
        <w:tc>
          <w:tcPr>
            <w:tcW w:w="160" w:type="dxa"/>
            <w:vAlign w:val="bottom"/>
          </w:tcPr>
          <w:p>
            <w:pPr>
              <w:spacing w:after="0"/>
              <w:rPr>
                <w:sz w:val="19"/>
                <w:szCs w:val="19"/>
                <w:color w:val="auto"/>
              </w:rPr>
            </w:pPr>
          </w:p>
        </w:tc>
        <w:tc>
          <w:tcPr>
            <w:tcW w:w="14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6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Merchandise inventories, net</w:t>
            </w:r>
          </w:p>
        </w:tc>
        <w:tc>
          <w:tcPr>
            <w:tcW w:w="16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1,492,219</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1,283,517</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1,495,464</w:t>
            </w:r>
          </w:p>
        </w:tc>
        <w:tc>
          <w:tcPr>
            <w:tcW w:w="0" w:type="dxa"/>
            <w:vAlign w:val="bottom"/>
          </w:tcPr>
          <w:p>
            <w:pPr>
              <w:spacing w:after="0"/>
              <w:rPr>
                <w:sz w:val="1"/>
                <w:szCs w:val="1"/>
                <w:color w:val="auto"/>
              </w:rPr>
            </w:pPr>
          </w:p>
        </w:tc>
      </w:tr>
      <w:tr>
        <w:trPr>
          <w:trHeight w:val="228"/>
        </w:trPr>
        <w:tc>
          <w:tcPr>
            <w:tcW w:w="61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110,823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47,747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44,241</w:t>
            </w:r>
          </w:p>
        </w:tc>
        <w:tc>
          <w:tcPr>
            <w:tcW w:w="0" w:type="dxa"/>
            <w:vAlign w:val="bottom"/>
          </w:tcPr>
          <w:p>
            <w:pPr>
              <w:spacing w:after="0"/>
              <w:rPr>
                <w:sz w:val="1"/>
                <w:szCs w:val="1"/>
                <w:color w:val="auto"/>
              </w:rPr>
            </w:pPr>
          </w:p>
        </w:tc>
      </w:tr>
      <w:tr>
        <w:trPr>
          <w:trHeight w:val="231"/>
        </w:trPr>
        <w:tc>
          <w:tcPr>
            <w:tcW w:w="6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Assets held for sale</w:t>
            </w:r>
          </w:p>
        </w:tc>
        <w:tc>
          <w:tcPr>
            <w:tcW w:w="16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w:t>
            </w:r>
          </w:p>
        </w:tc>
        <w:tc>
          <w:tcPr>
            <w:tcW w:w="16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1,763</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1,763</w:t>
            </w:r>
          </w:p>
        </w:tc>
        <w:tc>
          <w:tcPr>
            <w:tcW w:w="0" w:type="dxa"/>
            <w:vAlign w:val="bottom"/>
          </w:tcPr>
          <w:p>
            <w:pPr>
              <w:spacing w:after="0"/>
              <w:rPr>
                <w:sz w:val="1"/>
                <w:szCs w:val="1"/>
                <w:color w:val="auto"/>
              </w:rPr>
            </w:pPr>
          </w:p>
        </w:tc>
      </w:tr>
      <w:tr>
        <w:trPr>
          <w:trHeight w:val="221"/>
        </w:trPr>
        <w:tc>
          <w:tcPr>
            <w:tcW w:w="6180" w:type="dxa"/>
            <w:vAlign w:val="bottom"/>
          </w:tcPr>
          <w:p>
            <w:pPr>
              <w:ind w:left="460"/>
              <w:spacing w:after="0"/>
              <w:rPr>
                <w:sz w:val="20"/>
                <w:szCs w:val="20"/>
                <w:color w:val="auto"/>
              </w:rPr>
            </w:pPr>
            <w:r>
              <w:rPr>
                <w:rFonts w:ascii="Times New Roman" w:cs="Times New Roman" w:eastAsia="Times New Roman" w:hAnsi="Times New Roman"/>
                <w:sz w:val="17"/>
                <w:szCs w:val="17"/>
                <w:b w:val="1"/>
                <w:bCs w:val="1"/>
                <w:color w:val="auto"/>
              </w:rPr>
              <w:t>Total current assets</w:t>
            </w:r>
          </w:p>
        </w:tc>
        <w:tc>
          <w:tcPr>
            <w:tcW w:w="16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1,895,575</w:t>
            </w: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1,686,675</w:t>
            </w: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1,875,633</w:t>
            </w:r>
          </w:p>
        </w:tc>
        <w:tc>
          <w:tcPr>
            <w:tcW w:w="0" w:type="dxa"/>
            <w:vAlign w:val="bottom"/>
          </w:tcPr>
          <w:p>
            <w:pPr>
              <w:spacing w:after="0"/>
              <w:rPr>
                <w:sz w:val="1"/>
                <w:szCs w:val="1"/>
                <w:color w:val="auto"/>
              </w:rPr>
            </w:pPr>
          </w:p>
        </w:tc>
      </w:tr>
      <w:tr>
        <w:trPr>
          <w:trHeight w:val="96"/>
        </w:trPr>
        <w:tc>
          <w:tcPr>
            <w:tcW w:w="61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4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4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4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28"/>
        </w:trPr>
        <w:tc>
          <w:tcPr>
            <w:tcW w:w="61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PROPERTY AND EQUIPMENT, NET</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429,648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351,424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354,014</w:t>
            </w:r>
          </w:p>
        </w:tc>
        <w:tc>
          <w:tcPr>
            <w:tcW w:w="0" w:type="dxa"/>
            <w:vAlign w:val="bottom"/>
          </w:tcPr>
          <w:p>
            <w:pPr>
              <w:spacing w:after="0"/>
              <w:rPr>
                <w:sz w:val="1"/>
                <w:szCs w:val="1"/>
                <w:color w:val="auto"/>
              </w:rPr>
            </w:pPr>
          </w:p>
        </w:tc>
      </w:tr>
      <w:tr>
        <w:trPr>
          <w:trHeight w:val="231"/>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RIGHT-OF-USE ASSETS</w:t>
            </w:r>
          </w:p>
        </w:tc>
        <w:tc>
          <w:tcPr>
            <w:tcW w:w="16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1,126,825</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1,100,085</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1,100,522</w:t>
            </w:r>
          </w:p>
        </w:tc>
        <w:tc>
          <w:tcPr>
            <w:tcW w:w="0" w:type="dxa"/>
            <w:vAlign w:val="bottom"/>
          </w:tcPr>
          <w:p>
            <w:pPr>
              <w:spacing w:after="0"/>
              <w:rPr>
                <w:sz w:val="1"/>
                <w:szCs w:val="1"/>
                <w:color w:val="auto"/>
              </w:rPr>
            </w:pPr>
          </w:p>
        </w:tc>
      </w:tr>
      <w:tr>
        <w:trPr>
          <w:trHeight w:val="228"/>
        </w:trPr>
        <w:tc>
          <w:tcPr>
            <w:tcW w:w="61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TRADE NAME</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578,071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577,716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577,571</w:t>
            </w:r>
          </w:p>
        </w:tc>
        <w:tc>
          <w:tcPr>
            <w:tcW w:w="0" w:type="dxa"/>
            <w:vAlign w:val="bottom"/>
          </w:tcPr>
          <w:p>
            <w:pPr>
              <w:spacing w:after="0"/>
              <w:rPr>
                <w:sz w:val="1"/>
                <w:szCs w:val="1"/>
                <w:color w:val="auto"/>
              </w:rPr>
            </w:pPr>
          </w:p>
        </w:tc>
      </w:tr>
      <w:tr>
        <w:trPr>
          <w:trHeight w:val="231"/>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GOODWILL</w:t>
            </w:r>
          </w:p>
        </w:tc>
        <w:tc>
          <w:tcPr>
            <w:tcW w:w="16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861,920</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861,920</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861,920</w:t>
            </w:r>
          </w:p>
        </w:tc>
        <w:tc>
          <w:tcPr>
            <w:tcW w:w="0" w:type="dxa"/>
            <w:vAlign w:val="bottom"/>
          </w:tcPr>
          <w:p>
            <w:pPr>
              <w:spacing w:after="0"/>
              <w:rPr>
                <w:sz w:val="1"/>
                <w:szCs w:val="1"/>
                <w:color w:val="auto"/>
              </w:rPr>
            </w:pPr>
          </w:p>
        </w:tc>
      </w:tr>
      <w:tr>
        <w:trPr>
          <w:trHeight w:val="228"/>
        </w:trPr>
        <w:tc>
          <w:tcPr>
            <w:tcW w:w="6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OTHER NONCURRENT ASSETS</w:t>
            </w: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29,231</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17,619</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12,804</w:t>
            </w:r>
          </w:p>
        </w:tc>
        <w:tc>
          <w:tcPr>
            <w:tcW w:w="0" w:type="dxa"/>
            <w:vAlign w:val="bottom"/>
          </w:tcPr>
          <w:p>
            <w:pPr>
              <w:spacing w:after="0"/>
              <w:rPr>
                <w:sz w:val="1"/>
                <w:szCs w:val="1"/>
                <w:color w:val="auto"/>
              </w:rPr>
            </w:pPr>
          </w:p>
        </w:tc>
      </w:tr>
      <w:tr>
        <w:trPr>
          <w:trHeight w:val="250"/>
        </w:trPr>
        <w:tc>
          <w:tcPr>
            <w:tcW w:w="61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7"/>
                <w:szCs w:val="17"/>
                <w:b w:val="1"/>
                <w:bCs w:val="1"/>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4,921,270</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4,595,439</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4,782,464</w:t>
            </w:r>
          </w:p>
        </w:tc>
        <w:tc>
          <w:tcPr>
            <w:tcW w:w="0" w:type="dxa"/>
            <w:vAlign w:val="bottom"/>
          </w:tcPr>
          <w:p>
            <w:pPr>
              <w:spacing w:after="0"/>
              <w:rPr>
                <w:sz w:val="1"/>
                <w:szCs w:val="1"/>
                <w:color w:val="auto"/>
              </w:rPr>
            </w:pP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
        </w:trPr>
        <w:tc>
          <w:tcPr>
            <w:tcW w:w="6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6180" w:type="dxa"/>
            <w:vAlign w:val="bottom"/>
            <w:shd w:val="clear" w:color="auto" w:fill="CCEEFF"/>
          </w:tcPr>
          <w:p>
            <w:pPr>
              <w:ind w:left="1240"/>
              <w:spacing w:after="0"/>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1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CURRENT LIABILITIES:</w:t>
            </w: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6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Accounts payable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820,428</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686,472</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840,585</w:t>
            </w:r>
          </w:p>
        </w:tc>
        <w:tc>
          <w:tcPr>
            <w:tcW w:w="0" w:type="dxa"/>
            <w:vAlign w:val="bottom"/>
          </w:tcPr>
          <w:p>
            <w:pPr>
              <w:spacing w:after="0"/>
              <w:rPr>
                <w:sz w:val="1"/>
                <w:szCs w:val="1"/>
                <w:color w:val="auto"/>
              </w:rPr>
            </w:pPr>
          </w:p>
        </w:tc>
      </w:tr>
      <w:tr>
        <w:trPr>
          <w:trHeight w:val="228"/>
        </w:trPr>
        <w:tc>
          <w:tcPr>
            <w:tcW w:w="61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Accrued expenses and other current liabilities</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232,046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240,169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259,179</w:t>
            </w:r>
          </w:p>
        </w:tc>
        <w:tc>
          <w:tcPr>
            <w:tcW w:w="0" w:type="dxa"/>
            <w:vAlign w:val="bottom"/>
          </w:tcPr>
          <w:p>
            <w:pPr>
              <w:spacing w:after="0"/>
              <w:rPr>
                <w:sz w:val="1"/>
                <w:szCs w:val="1"/>
                <w:color w:val="auto"/>
              </w:rPr>
            </w:pPr>
          </w:p>
        </w:tc>
      </w:tr>
      <w:tr>
        <w:trPr>
          <w:trHeight w:val="231"/>
        </w:trPr>
        <w:tc>
          <w:tcPr>
            <w:tcW w:w="6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Current lease liabilities</w:t>
            </w:r>
          </w:p>
        </w:tc>
        <w:tc>
          <w:tcPr>
            <w:tcW w:w="16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117,141</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109,075</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88,447</w:t>
            </w:r>
          </w:p>
        </w:tc>
        <w:tc>
          <w:tcPr>
            <w:tcW w:w="0" w:type="dxa"/>
            <w:vAlign w:val="bottom"/>
          </w:tcPr>
          <w:p>
            <w:pPr>
              <w:spacing w:after="0"/>
              <w:rPr>
                <w:sz w:val="1"/>
                <w:szCs w:val="1"/>
                <w:color w:val="auto"/>
              </w:rPr>
            </w:pPr>
          </w:p>
        </w:tc>
      </w:tr>
      <w:tr>
        <w:trPr>
          <w:trHeight w:val="228"/>
        </w:trPr>
        <w:tc>
          <w:tcPr>
            <w:tcW w:w="6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7"/>
                <w:szCs w:val="17"/>
                <w:color w:val="auto"/>
              </w:rPr>
              <w:t>Current maturities of long-term debt</w:t>
            </w: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3,000</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3,000</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3,000</w:t>
            </w:r>
          </w:p>
        </w:tc>
        <w:tc>
          <w:tcPr>
            <w:tcW w:w="0" w:type="dxa"/>
            <w:vAlign w:val="bottom"/>
          </w:tcPr>
          <w:p>
            <w:pPr>
              <w:spacing w:after="0"/>
              <w:rPr>
                <w:sz w:val="1"/>
                <w:szCs w:val="1"/>
                <w:color w:val="auto"/>
              </w:rPr>
            </w:pPr>
          </w:p>
        </w:tc>
      </w:tr>
      <w:tr>
        <w:trPr>
          <w:trHeight w:val="225"/>
        </w:trPr>
        <w:tc>
          <w:tcPr>
            <w:tcW w:w="6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b w:val="1"/>
                <w:bCs w:val="1"/>
                <w:color w:val="auto"/>
              </w:rPr>
              <w:t>Total current liabilities</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1,172,615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1,038,716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1,191,211</w:t>
            </w:r>
          </w:p>
        </w:tc>
        <w:tc>
          <w:tcPr>
            <w:tcW w:w="0" w:type="dxa"/>
            <w:vAlign w:val="bottom"/>
          </w:tcPr>
          <w:p>
            <w:pPr>
              <w:spacing w:after="0"/>
              <w:rPr>
                <w:sz w:val="1"/>
                <w:szCs w:val="1"/>
                <w:color w:val="auto"/>
              </w:rPr>
            </w:pPr>
          </w:p>
        </w:tc>
      </w:tr>
      <w:tr>
        <w:trPr>
          <w:trHeight w:val="95"/>
        </w:trPr>
        <w:tc>
          <w:tcPr>
            <w:tcW w:w="6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6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6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LONG-TERM DEBT, NET</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583,364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584,456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682,803</w:t>
            </w:r>
          </w:p>
        </w:tc>
        <w:tc>
          <w:tcPr>
            <w:tcW w:w="0" w:type="dxa"/>
            <w:vAlign w:val="bottom"/>
          </w:tcPr>
          <w:p>
            <w:pPr>
              <w:spacing w:after="0"/>
              <w:rPr>
                <w:sz w:val="1"/>
                <w:szCs w:val="1"/>
                <w:color w:val="auto"/>
              </w:rPr>
            </w:pPr>
          </w:p>
        </w:tc>
      </w:tr>
      <w:tr>
        <w:trPr>
          <w:trHeight w:val="228"/>
        </w:trPr>
        <w:tc>
          <w:tcPr>
            <w:tcW w:w="61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LONG-TERM LEASE LIABILITIES</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1,095,812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1,072,192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1,093,909</w:t>
            </w:r>
          </w:p>
        </w:tc>
        <w:tc>
          <w:tcPr>
            <w:tcW w:w="0" w:type="dxa"/>
            <w:vAlign w:val="bottom"/>
          </w:tcPr>
          <w:p>
            <w:pPr>
              <w:spacing w:after="0"/>
              <w:rPr>
                <w:sz w:val="1"/>
                <w:szCs w:val="1"/>
                <w:color w:val="auto"/>
              </w:rPr>
            </w:pPr>
          </w:p>
        </w:tc>
      </w:tr>
      <w:tr>
        <w:trPr>
          <w:trHeight w:val="231"/>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DEFERRED TAX LIABILITIES, NET</w:t>
            </w:r>
          </w:p>
        </w:tc>
        <w:tc>
          <w:tcPr>
            <w:tcW w:w="16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264,565</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259,043</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242,843</w:t>
            </w:r>
          </w:p>
        </w:tc>
        <w:tc>
          <w:tcPr>
            <w:tcW w:w="0" w:type="dxa"/>
            <w:vAlign w:val="bottom"/>
          </w:tcPr>
          <w:p>
            <w:pPr>
              <w:spacing w:after="0"/>
              <w:rPr>
                <w:sz w:val="1"/>
                <w:szCs w:val="1"/>
                <w:color w:val="auto"/>
              </w:rPr>
            </w:pPr>
          </w:p>
        </w:tc>
      </w:tr>
      <w:tr>
        <w:trPr>
          <w:trHeight w:val="228"/>
        </w:trPr>
        <w:tc>
          <w:tcPr>
            <w:tcW w:w="6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OTHER LONG-TERM LIABILITIES</w:t>
            </w: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11,827</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12,726</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12,779</w:t>
            </w:r>
          </w:p>
        </w:tc>
        <w:tc>
          <w:tcPr>
            <w:tcW w:w="0" w:type="dxa"/>
            <w:vAlign w:val="bottom"/>
          </w:tcPr>
          <w:p>
            <w:pPr>
              <w:spacing w:after="0"/>
              <w:rPr>
                <w:sz w:val="1"/>
                <w:szCs w:val="1"/>
                <w:color w:val="auto"/>
              </w:rPr>
            </w:pPr>
          </w:p>
        </w:tc>
      </w:tr>
      <w:tr>
        <w:trPr>
          <w:trHeight w:val="223"/>
        </w:trPr>
        <w:tc>
          <w:tcPr>
            <w:tcW w:w="6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b w:val="1"/>
                <w:bCs w:val="1"/>
                <w:color w:val="auto"/>
              </w:rPr>
              <w:t>Total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3,128,183</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2,967,133</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3,223,545</w:t>
            </w:r>
          </w:p>
        </w:tc>
        <w:tc>
          <w:tcPr>
            <w:tcW w:w="0" w:type="dxa"/>
            <w:vAlign w:val="bottom"/>
          </w:tcPr>
          <w:p>
            <w:pPr>
              <w:spacing w:after="0"/>
              <w:rPr>
                <w:sz w:val="1"/>
                <w:szCs w:val="1"/>
                <w:color w:val="auto"/>
              </w:rPr>
            </w:pPr>
          </w:p>
        </w:tc>
      </w:tr>
      <w:tr>
        <w:trPr>
          <w:trHeight w:val="76"/>
        </w:trPr>
        <w:tc>
          <w:tcPr>
            <w:tcW w:w="61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6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6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COMMITMENTS AND CONTINGENCIES (NOTE 10)</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95"/>
        </w:trPr>
        <w:tc>
          <w:tcPr>
            <w:tcW w:w="6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6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6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STOCKHOLDERS' EQUITY:</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6180" w:type="dxa"/>
            <w:vAlign w:val="bottom"/>
          </w:tcPr>
          <w:p>
            <w:pPr>
              <w:ind w:left="240"/>
              <w:spacing w:after="0" w:line="167" w:lineRule="exact"/>
              <w:rPr>
                <w:sz w:val="20"/>
                <w:szCs w:val="20"/>
                <w:color w:val="auto"/>
              </w:rPr>
            </w:pPr>
            <w:r>
              <w:rPr>
                <w:rFonts w:ascii="Times New Roman" w:cs="Times New Roman" w:eastAsia="Times New Roman" w:hAnsi="Times New Roman"/>
                <w:sz w:val="17"/>
                <w:szCs w:val="17"/>
                <w:color w:val="auto"/>
              </w:rPr>
              <w:t>Preferred stock, $0.01 par value, authorized 50,000,000 shares; none issued and</w:t>
            </w:r>
          </w:p>
        </w:tc>
        <w:tc>
          <w:tcPr>
            <w:tcW w:w="160" w:type="dxa"/>
            <w:vAlign w:val="bottom"/>
          </w:tcPr>
          <w:p>
            <w:pPr>
              <w:spacing w:after="0"/>
              <w:rPr>
                <w:sz w:val="14"/>
                <w:szCs w:val="14"/>
                <w:color w:val="auto"/>
              </w:rPr>
            </w:pPr>
          </w:p>
        </w:tc>
        <w:tc>
          <w:tcPr>
            <w:tcW w:w="15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w:t>
            </w:r>
          </w:p>
        </w:tc>
        <w:tc>
          <w:tcPr>
            <w:tcW w:w="160" w:type="dxa"/>
            <w:vAlign w:val="bottom"/>
          </w:tcPr>
          <w:p>
            <w:pPr>
              <w:spacing w:after="0"/>
              <w:rPr>
                <w:sz w:val="14"/>
                <w:szCs w:val="14"/>
                <w:color w:val="auto"/>
              </w:rPr>
            </w:pPr>
          </w:p>
        </w:tc>
        <w:tc>
          <w:tcPr>
            <w:tcW w:w="15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4"/>
                <w:szCs w:val="14"/>
                <w:color w:val="auto"/>
              </w:rPr>
            </w:pP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61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outstanding</w:t>
            </w:r>
          </w:p>
        </w:tc>
        <w:tc>
          <w:tcPr>
            <w:tcW w:w="160" w:type="dxa"/>
            <w:vAlign w:val="bottom"/>
          </w:tcPr>
          <w:p>
            <w:pPr>
              <w:spacing w:after="0"/>
              <w:rPr>
                <w:sz w:val="19"/>
                <w:szCs w:val="19"/>
                <w:color w:val="auto"/>
              </w:rPr>
            </w:pPr>
          </w:p>
        </w:tc>
        <w:tc>
          <w:tcPr>
            <w:tcW w:w="15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6180" w:type="dxa"/>
            <w:vAlign w:val="bottom"/>
            <w:shd w:val="clear" w:color="auto" w:fill="CCEEFF"/>
          </w:tcPr>
          <w:p>
            <w:pPr>
              <w:ind w:left="240"/>
              <w:spacing w:after="0" w:line="168" w:lineRule="exact"/>
              <w:rPr>
                <w:sz w:val="20"/>
                <w:szCs w:val="20"/>
                <w:color w:val="auto"/>
              </w:rPr>
            </w:pPr>
            <w:r>
              <w:rPr>
                <w:rFonts w:ascii="Times New Roman" w:cs="Times New Roman" w:eastAsia="Times New Roman" w:hAnsi="Times New Roman"/>
                <w:sz w:val="17"/>
                <w:szCs w:val="17"/>
                <w:color w:val="auto"/>
              </w:rPr>
              <w:t>Common stock, $0.01 par value, authorized 300,000,000 shares; 74,143,759;</w:t>
            </w:r>
          </w:p>
        </w:tc>
        <w:tc>
          <w:tcPr>
            <w:tcW w:w="16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180" w:type="dxa"/>
            <w:vAlign w:val="bottom"/>
            <w:shd w:val="clear" w:color="auto" w:fill="CCEEFF"/>
          </w:tcPr>
          <w:p>
            <w:pPr>
              <w:ind w:left="240"/>
              <w:spacing w:after="0" w:line="171" w:lineRule="exact"/>
              <w:rPr>
                <w:sz w:val="20"/>
                <w:szCs w:val="20"/>
                <w:color w:val="auto"/>
              </w:rPr>
            </w:pPr>
            <w:r>
              <w:rPr>
                <w:rFonts w:ascii="Times New Roman" w:cs="Times New Roman" w:eastAsia="Times New Roman" w:hAnsi="Times New Roman"/>
                <w:sz w:val="17"/>
                <w:szCs w:val="17"/>
                <w:color w:val="auto"/>
              </w:rPr>
              <w:t>76,711,720 and 77,959,530 issued and outstanding as of October 28, 2023, January</w:t>
            </w:r>
          </w:p>
        </w:tc>
        <w:tc>
          <w:tcPr>
            <w:tcW w:w="160" w:type="dxa"/>
            <w:vAlign w:val="bottom"/>
            <w:shd w:val="clear" w:color="auto" w:fill="CCEEFF"/>
          </w:tcPr>
          <w:p>
            <w:pPr>
              <w:spacing w:after="0"/>
              <w:rPr>
                <w:sz w:val="14"/>
                <w:szCs w:val="14"/>
                <w:color w:val="auto"/>
              </w:rPr>
            </w:pPr>
          </w:p>
        </w:tc>
        <w:tc>
          <w:tcPr>
            <w:tcW w:w="1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741</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767</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779</w:t>
            </w:r>
          </w:p>
        </w:tc>
        <w:tc>
          <w:tcPr>
            <w:tcW w:w="0" w:type="dxa"/>
            <w:vAlign w:val="bottom"/>
          </w:tcPr>
          <w:p>
            <w:pPr>
              <w:spacing w:after="0"/>
              <w:rPr>
                <w:sz w:val="1"/>
                <w:szCs w:val="1"/>
                <w:color w:val="auto"/>
              </w:rPr>
            </w:pPr>
          </w:p>
        </w:tc>
      </w:tr>
      <w:tr>
        <w:trPr>
          <w:trHeight w:val="230"/>
        </w:trPr>
        <w:tc>
          <w:tcPr>
            <w:tcW w:w="6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28, 2023 and October 29, 2022, respectively.</w:t>
            </w:r>
          </w:p>
        </w:tc>
        <w:tc>
          <w:tcPr>
            <w:tcW w:w="160" w:type="dxa"/>
            <w:vAlign w:val="bottom"/>
            <w:shd w:val="clear" w:color="auto" w:fill="CCEEFF"/>
          </w:tcPr>
          <w:p>
            <w:pPr>
              <w:spacing w:after="0"/>
              <w:rPr>
                <w:sz w:val="19"/>
                <w:szCs w:val="19"/>
                <w:color w:val="auto"/>
              </w:rPr>
            </w:pPr>
          </w:p>
        </w:tc>
        <w:tc>
          <w:tcPr>
            <w:tcW w:w="14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1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239,447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216,209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203,734</w:t>
            </w:r>
          </w:p>
        </w:tc>
        <w:tc>
          <w:tcPr>
            <w:tcW w:w="0" w:type="dxa"/>
            <w:vAlign w:val="bottom"/>
          </w:tcPr>
          <w:p>
            <w:pPr>
              <w:spacing w:after="0"/>
              <w:rPr>
                <w:sz w:val="1"/>
                <w:szCs w:val="1"/>
                <w:color w:val="auto"/>
              </w:rPr>
            </w:pPr>
          </w:p>
        </w:tc>
      </w:tr>
      <w:tr>
        <w:trPr>
          <w:trHeight w:val="231"/>
        </w:trPr>
        <w:tc>
          <w:tcPr>
            <w:tcW w:w="6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Retained earnings</w:t>
            </w:r>
          </w:p>
        </w:tc>
        <w:tc>
          <w:tcPr>
            <w:tcW w:w="16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1,552,899</w:t>
            </w:r>
          </w:p>
        </w:tc>
        <w:tc>
          <w:tcPr>
            <w:tcW w:w="8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1,411,330</w:t>
            </w:r>
          </w:p>
        </w:tc>
        <w:tc>
          <w:tcPr>
            <w:tcW w:w="8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1,354,406</w:t>
            </w:r>
          </w:p>
        </w:tc>
        <w:tc>
          <w:tcPr>
            <w:tcW w:w="0" w:type="dxa"/>
            <w:vAlign w:val="bottom"/>
          </w:tcPr>
          <w:p>
            <w:pPr>
              <w:spacing w:after="0"/>
              <w:rPr>
                <w:sz w:val="1"/>
                <w:szCs w:val="1"/>
                <w:color w:val="auto"/>
              </w:rPr>
            </w:pPr>
          </w:p>
        </w:tc>
      </w:tr>
      <w:tr>
        <w:trPr>
          <w:trHeight w:val="221"/>
        </w:trPr>
        <w:tc>
          <w:tcPr>
            <w:tcW w:w="61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7"/>
                <w:szCs w:val="17"/>
                <w:b w:val="1"/>
                <w:bCs w:val="1"/>
                <w:color w:val="auto"/>
              </w:rPr>
              <w:t>Stockholders' equity</w:t>
            </w: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1,793,087</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1,628,306</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1,558,919</w:t>
            </w:r>
          </w:p>
        </w:tc>
        <w:tc>
          <w:tcPr>
            <w:tcW w:w="0" w:type="dxa"/>
            <w:vAlign w:val="bottom"/>
          </w:tcPr>
          <w:p>
            <w:pPr>
              <w:spacing w:after="0"/>
              <w:rPr>
                <w:sz w:val="1"/>
                <w:szCs w:val="1"/>
                <w:color w:val="auto"/>
              </w:rPr>
            </w:pPr>
          </w:p>
        </w:tc>
      </w:tr>
      <w:tr>
        <w:trPr>
          <w:trHeight w:val="250"/>
        </w:trPr>
        <w:tc>
          <w:tcPr>
            <w:tcW w:w="61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7"/>
                <w:szCs w:val="17"/>
                <w:b w:val="1"/>
                <w:bCs w:val="1"/>
                <w:color w:val="auto"/>
              </w:rPr>
              <w:t>Total liabilities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4,921,270</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4,595,439</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4,782,464</w:t>
            </w:r>
          </w:p>
        </w:tc>
        <w:tc>
          <w:tcPr>
            <w:tcW w:w="0" w:type="dxa"/>
            <w:vAlign w:val="bottom"/>
          </w:tcPr>
          <w:p>
            <w:pPr>
              <w:spacing w:after="0"/>
              <w:rPr>
                <w:sz w:val="1"/>
                <w:szCs w:val="1"/>
                <w:color w:val="auto"/>
              </w:rPr>
            </w:pP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Condensed Notes to Consolidated Financial Statements</w:t>
      </w:r>
    </w:p>
    <w:p>
      <w:pPr>
        <w:spacing w:after="0" w:line="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ACADEMY SPORTS AND OUTDOORS,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data)</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80" w:type="dxa"/>
            <w:vAlign w:val="bottom"/>
            <w:gridSpan w:val="5"/>
          </w:tcPr>
          <w:p>
            <w:pPr>
              <w:ind w:left="60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120" w:type="dxa"/>
            <w:vAlign w:val="bottom"/>
          </w:tcPr>
          <w:p>
            <w:pPr>
              <w:spacing w:after="0"/>
              <w:rPr>
                <w:sz w:val="20"/>
                <w:szCs w:val="20"/>
                <w:color w:val="auto"/>
              </w:rPr>
            </w:pPr>
          </w:p>
        </w:tc>
        <w:tc>
          <w:tcPr>
            <w:tcW w:w="318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Thirty-Nine Weeks Ended</w:t>
            </w:r>
          </w:p>
        </w:tc>
        <w:tc>
          <w:tcPr>
            <w:tcW w:w="0" w:type="dxa"/>
            <w:vAlign w:val="bottom"/>
          </w:tcPr>
          <w:p>
            <w:pPr>
              <w:spacing w:after="0"/>
              <w:rPr>
                <w:sz w:val="1"/>
                <w:szCs w:val="1"/>
                <w:color w:val="auto"/>
              </w:rPr>
            </w:pPr>
          </w:p>
        </w:tc>
      </w:tr>
      <w:tr>
        <w:trPr>
          <w:trHeight w:val="223"/>
        </w:trPr>
        <w:tc>
          <w:tcPr>
            <w:tcW w:w="4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October 28, 2023</w:t>
            </w:r>
          </w:p>
        </w:tc>
        <w:tc>
          <w:tcPr>
            <w:tcW w:w="12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October 29, 2022</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October 28, 2023</w:t>
            </w:r>
          </w:p>
        </w:tc>
        <w:tc>
          <w:tcPr>
            <w:tcW w:w="12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October 29, 2022</w:t>
            </w:r>
          </w:p>
        </w:tc>
        <w:tc>
          <w:tcPr>
            <w:tcW w:w="0" w:type="dxa"/>
            <w:vAlign w:val="bottom"/>
          </w:tcPr>
          <w:p>
            <w:pPr>
              <w:spacing w:after="0"/>
              <w:rPr>
                <w:sz w:val="1"/>
                <w:szCs w:val="1"/>
                <w:color w:val="auto"/>
              </w:rPr>
            </w:pPr>
          </w:p>
        </w:tc>
      </w:tr>
      <w:tr>
        <w:trPr>
          <w:trHeight w:val="223"/>
        </w:trPr>
        <w:tc>
          <w:tcPr>
            <w:tcW w:w="4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1,397,777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1,493,925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4,364,463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4,648,570</w:t>
            </w:r>
          </w:p>
        </w:tc>
        <w:tc>
          <w:tcPr>
            <w:tcW w:w="0" w:type="dxa"/>
            <w:vAlign w:val="bottom"/>
          </w:tcPr>
          <w:p>
            <w:pPr>
              <w:spacing w:after="0"/>
              <w:rPr>
                <w:sz w:val="1"/>
                <w:szCs w:val="1"/>
                <w:color w:val="auto"/>
              </w:rPr>
            </w:pPr>
          </w:p>
        </w:tc>
      </w:tr>
      <w:tr>
        <w:trPr>
          <w:trHeight w:val="230"/>
        </w:trPr>
        <w:tc>
          <w:tcPr>
            <w:tcW w:w="4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915,136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971,454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2,851,261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3,008,612</w:t>
            </w:r>
          </w:p>
        </w:tc>
        <w:tc>
          <w:tcPr>
            <w:tcW w:w="0" w:type="dxa"/>
            <w:vAlign w:val="bottom"/>
          </w:tcPr>
          <w:p>
            <w:pPr>
              <w:spacing w:after="0"/>
              <w:rPr>
                <w:sz w:val="1"/>
                <w:szCs w:val="1"/>
                <w:color w:val="auto"/>
              </w:rPr>
            </w:pPr>
          </w:p>
        </w:tc>
      </w:tr>
      <w:tr>
        <w:trPr>
          <w:trHeight w:val="223"/>
        </w:trPr>
        <w:tc>
          <w:tcPr>
            <w:tcW w:w="4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MARGIN</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482,641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522,471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1,513,202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1,639,958</w:t>
            </w:r>
          </w:p>
        </w:tc>
        <w:tc>
          <w:tcPr>
            <w:tcW w:w="0" w:type="dxa"/>
            <w:vAlign w:val="bottom"/>
          </w:tcPr>
          <w:p>
            <w:pPr>
              <w:spacing w:after="0"/>
              <w:rPr>
                <w:sz w:val="1"/>
                <w:szCs w:val="1"/>
                <w:color w:val="auto"/>
              </w:rPr>
            </w:pPr>
          </w:p>
        </w:tc>
      </w:tr>
      <w:tr>
        <w:trPr>
          <w:trHeight w:val="270"/>
        </w:trPr>
        <w:tc>
          <w:tcPr>
            <w:tcW w:w="4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46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SELLING, GENERAL AND ADMINISTRATIVE</w:t>
            </w:r>
          </w:p>
        </w:tc>
        <w:tc>
          <w:tcPr>
            <w:tcW w:w="100" w:type="dxa"/>
            <w:vAlign w:val="bottom"/>
            <w:shd w:val="clear" w:color="auto" w:fill="CCEEFF"/>
          </w:tcPr>
          <w:p>
            <w:pPr>
              <w:spacing w:after="0"/>
              <w:rPr>
                <w:sz w:val="15"/>
                <w:szCs w:val="15"/>
                <w:color w:val="auto"/>
              </w:rPr>
            </w:pP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345,910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1,039,312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10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342,949</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998,209</w:t>
            </w:r>
          </w:p>
        </w:tc>
        <w:tc>
          <w:tcPr>
            <w:tcW w:w="0" w:type="dxa"/>
            <w:vAlign w:val="bottom"/>
          </w:tcPr>
          <w:p>
            <w:pPr>
              <w:spacing w:after="0"/>
              <w:rPr>
                <w:sz w:val="1"/>
                <w:szCs w:val="1"/>
                <w:color w:val="auto"/>
              </w:rPr>
            </w:pPr>
          </w:p>
        </w:tc>
      </w:tr>
      <w:tr>
        <w:trPr>
          <w:trHeight w:val="223"/>
        </w:trPr>
        <w:tc>
          <w:tcPr>
            <w:tcW w:w="4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INCOME</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136,731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179,522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473,890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641,749</w:t>
            </w:r>
          </w:p>
        </w:tc>
        <w:tc>
          <w:tcPr>
            <w:tcW w:w="0" w:type="dxa"/>
            <w:vAlign w:val="bottom"/>
          </w:tcPr>
          <w:p>
            <w:pPr>
              <w:spacing w:after="0"/>
              <w:rPr>
                <w:sz w:val="1"/>
                <w:szCs w:val="1"/>
                <w:color w:val="auto"/>
              </w:rPr>
            </w:pPr>
          </w:p>
        </w:tc>
      </w:tr>
      <w:tr>
        <w:trPr>
          <w:trHeight w:val="270"/>
        </w:trPr>
        <w:tc>
          <w:tcPr>
            <w:tcW w:w="4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10,930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33,473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34,240</w:t>
            </w: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(4,146)</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(11,482)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(4,676)</w:t>
            </w:r>
          </w:p>
        </w:tc>
        <w:tc>
          <w:tcPr>
            <w:tcW w:w="0" w:type="dxa"/>
            <w:vAlign w:val="bottom"/>
          </w:tcPr>
          <w:p>
            <w:pPr>
              <w:spacing w:after="0"/>
              <w:rPr>
                <w:sz w:val="1"/>
                <w:szCs w:val="1"/>
                <w:color w:val="auto"/>
              </w:rPr>
            </w:pPr>
          </w:p>
        </w:tc>
      </w:tr>
      <w:tr>
        <w:trPr>
          <w:trHeight w:val="223"/>
        </w:trPr>
        <w:tc>
          <w:tcPr>
            <w:tcW w:w="4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129,947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169,897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451,899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612,185</w:t>
            </w:r>
          </w:p>
        </w:tc>
        <w:tc>
          <w:tcPr>
            <w:tcW w:w="0" w:type="dxa"/>
            <w:vAlign w:val="bottom"/>
          </w:tcPr>
          <w:p>
            <w:pPr>
              <w:spacing w:after="0"/>
              <w:rPr>
                <w:sz w:val="1"/>
                <w:szCs w:val="1"/>
                <w:color w:val="auto"/>
              </w:rPr>
            </w:pPr>
          </w:p>
        </w:tc>
      </w:tr>
      <w:tr>
        <w:trPr>
          <w:trHeight w:val="270"/>
        </w:trPr>
        <w:tc>
          <w:tcPr>
            <w:tcW w:w="4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29,969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38,156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100,876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141,837</w:t>
            </w:r>
          </w:p>
        </w:tc>
        <w:tc>
          <w:tcPr>
            <w:tcW w:w="0" w:type="dxa"/>
            <w:vAlign w:val="bottom"/>
          </w:tcPr>
          <w:p>
            <w:pPr>
              <w:spacing w:after="0"/>
              <w:rPr>
                <w:sz w:val="1"/>
                <w:szCs w:val="1"/>
                <w:color w:val="auto"/>
              </w:rPr>
            </w:pPr>
          </w:p>
        </w:tc>
      </w:tr>
      <w:tr>
        <w:trPr>
          <w:trHeight w:val="248"/>
        </w:trPr>
        <w:tc>
          <w:tcPr>
            <w:tcW w:w="46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99,978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131,741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351,023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470,348</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COMMON SHARE:</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1.34</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4.63</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0" w:type="dxa"/>
            <w:vAlign w:val="bottom"/>
          </w:tcPr>
          <w:p>
            <w:pPr>
              <w:spacing w:after="0"/>
              <w:rPr>
                <w:sz w:val="1"/>
                <w:szCs w:val="1"/>
                <w:color w:val="auto"/>
              </w:rPr>
            </w:pPr>
          </w:p>
        </w:tc>
      </w:tr>
      <w:tr>
        <w:trPr>
          <w:trHeight w:val="176"/>
        </w:trPr>
        <w:tc>
          <w:tcPr>
            <w:tcW w:w="46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WEIGHTED AVERAGE COMMON SHARES</w:t>
            </w: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w:t>
            </w: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74,461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79,085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75,809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82,901</w:t>
            </w:r>
          </w:p>
        </w:tc>
        <w:tc>
          <w:tcPr>
            <w:tcW w:w="0" w:type="dxa"/>
            <w:vAlign w:val="bottom"/>
          </w:tcPr>
          <w:p>
            <w:pPr>
              <w:spacing w:after="0"/>
              <w:rPr>
                <w:sz w:val="1"/>
                <w:szCs w:val="1"/>
                <w:color w:val="auto"/>
              </w:rPr>
            </w:pPr>
          </w:p>
        </w:tc>
      </w:tr>
      <w:tr>
        <w:trPr>
          <w:trHeight w:val="238"/>
        </w:trPr>
        <w:tc>
          <w:tcPr>
            <w:tcW w:w="4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76,057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81,379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77,893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84,910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Condensed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4" w:name="page5"/>
    <w:bookmarkEnd w:id="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ACADEMY SPORTS AND OUTDOORS,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80" w:type="dxa"/>
            <w:vAlign w:val="bottom"/>
          </w:tcPr>
          <w:p>
            <w:pPr>
              <w:spacing w:after="0"/>
              <w:rPr>
                <w:sz w:val="17"/>
                <w:szCs w:val="17"/>
                <w:color w:val="auto"/>
              </w:rPr>
            </w:pPr>
          </w:p>
        </w:tc>
        <w:tc>
          <w:tcPr>
            <w:tcW w:w="1980" w:type="dxa"/>
            <w:vAlign w:val="bottom"/>
            <w:gridSpan w:val="4"/>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80" w:type="dxa"/>
            <w:vAlign w:val="bottom"/>
          </w:tcPr>
          <w:p>
            <w:pPr>
              <w:spacing w:after="0"/>
              <w:rPr>
                <w:sz w:val="17"/>
                <w:szCs w:val="17"/>
                <w:color w:val="auto"/>
              </w:rPr>
            </w:pP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0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200" w:type="dxa"/>
            <w:vAlign w:val="bottom"/>
          </w:tcPr>
          <w:p>
            <w:pPr>
              <w:spacing w:after="0"/>
              <w:rPr>
                <w:sz w:val="17"/>
                <w:szCs w:val="17"/>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62"/>
        </w:trPr>
        <w:tc>
          <w:tcPr>
            <w:tcW w:w="6080" w:type="dxa"/>
            <w:vAlign w:val="bottom"/>
          </w:tcPr>
          <w:p>
            <w:pPr>
              <w:spacing w:after="0"/>
              <w:rPr>
                <w:sz w:val="13"/>
                <w:szCs w:val="13"/>
                <w:color w:val="auto"/>
              </w:rPr>
            </w:pPr>
          </w:p>
        </w:tc>
        <w:tc>
          <w:tcPr>
            <w:tcW w:w="1980" w:type="dxa"/>
            <w:vAlign w:val="bottom"/>
            <w:tcBorders>
              <w:bottom w:val="single" w:sz="8" w:color="auto"/>
            </w:tcBorders>
            <w:gridSpan w:val="4"/>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ind w:left="20"/>
              <w:spacing w:after="0" w:line="157" w:lineRule="exact"/>
              <w:rPr>
                <w:sz w:val="20"/>
                <w:szCs w:val="20"/>
                <w:color w:val="auto"/>
              </w:rPr>
            </w:pPr>
            <w:r>
              <w:rPr>
                <w:rFonts w:ascii="Times New Roman" w:cs="Times New Roman" w:eastAsia="Times New Roman" w:hAnsi="Times New Roman"/>
                <w:sz w:val="18"/>
                <w:szCs w:val="18"/>
                <w:b w:val="1"/>
                <w:bCs w:val="1"/>
                <w:color w:val="auto"/>
              </w:rPr>
              <w:t>Paid-In</w:t>
            </w:r>
          </w:p>
        </w:tc>
        <w:tc>
          <w:tcPr>
            <w:tcW w:w="1040" w:type="dxa"/>
            <w:vAlign w:val="bottom"/>
            <w:gridSpan w:val="2"/>
            <w:vMerge w:val="continue"/>
          </w:tcPr>
          <w:p>
            <w:pPr>
              <w:spacing w:after="0"/>
              <w:rPr>
                <w:sz w:val="13"/>
                <w:szCs w:val="13"/>
                <w:color w:val="auto"/>
              </w:rPr>
            </w:pPr>
          </w:p>
        </w:tc>
        <w:tc>
          <w:tcPr>
            <w:tcW w:w="1100" w:type="dxa"/>
            <w:vAlign w:val="bottom"/>
            <w:gridSpan w:val="2"/>
          </w:tcPr>
          <w:p>
            <w:pPr>
              <w:ind w:left="20"/>
              <w:spacing w:after="0" w:line="157" w:lineRule="exact"/>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37"/>
        </w:trPr>
        <w:tc>
          <w:tcPr>
            <w:tcW w:w="6080" w:type="dxa"/>
            <w:vAlign w:val="bottom"/>
          </w:tcPr>
          <w:p>
            <w:pPr>
              <w:spacing w:after="0"/>
              <w:rPr>
                <w:sz w:val="20"/>
                <w:szCs w:val="20"/>
                <w:color w:val="auto"/>
              </w:rPr>
            </w:pPr>
          </w:p>
        </w:tc>
        <w:tc>
          <w:tcPr>
            <w:tcW w:w="10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20"/>
                <w:szCs w:val="20"/>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0"/>
                <w:szCs w:val="20"/>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200" w:type="dxa"/>
            <w:vAlign w:val="bottom"/>
          </w:tcPr>
          <w:p>
            <w:pPr>
              <w:spacing w:after="0"/>
              <w:rPr>
                <w:sz w:val="20"/>
                <w:szCs w:val="20"/>
                <w:color w:val="auto"/>
              </w:rPr>
            </w:pPr>
          </w:p>
        </w:tc>
        <w:tc>
          <w:tcPr>
            <w:tcW w:w="9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0" w:type="dxa"/>
            <w:vAlign w:val="bottom"/>
          </w:tcPr>
          <w:p>
            <w:pPr>
              <w:spacing w:after="0"/>
              <w:rPr>
                <w:sz w:val="1"/>
                <w:szCs w:val="1"/>
                <w:color w:val="auto"/>
              </w:rPr>
            </w:pPr>
          </w:p>
        </w:tc>
      </w:tr>
      <w:tr>
        <w:trPr>
          <w:trHeight w:val="223"/>
        </w:trPr>
        <w:tc>
          <w:tcPr>
            <w:tcW w:w="6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as of January 28, 2023</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76,712</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216,209</w:t>
            </w:r>
          </w:p>
        </w:tc>
        <w:tc>
          <w:tcPr>
            <w:tcW w:w="8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$ 1,411,330</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1,628,306</w:t>
            </w:r>
          </w:p>
        </w:tc>
        <w:tc>
          <w:tcPr>
            <w:tcW w:w="0" w:type="dxa"/>
            <w:vAlign w:val="bottom"/>
          </w:tcPr>
          <w:p>
            <w:pPr>
              <w:spacing w:after="0"/>
              <w:rPr>
                <w:sz w:val="1"/>
                <w:szCs w:val="1"/>
                <w:color w:val="auto"/>
              </w:rPr>
            </w:pPr>
          </w:p>
        </w:tc>
      </w:tr>
      <w:tr>
        <w:trPr>
          <w:trHeight w:val="223"/>
        </w:trPr>
        <w:tc>
          <w:tcPr>
            <w:tcW w:w="6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93,970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93,970</w:t>
            </w:r>
          </w:p>
        </w:tc>
        <w:tc>
          <w:tcPr>
            <w:tcW w:w="0" w:type="dxa"/>
            <w:vAlign w:val="bottom"/>
          </w:tcPr>
          <w:p>
            <w:pPr>
              <w:spacing w:after="0"/>
              <w:rPr>
                <w:sz w:val="1"/>
                <w:szCs w:val="1"/>
                <w:color w:val="auto"/>
              </w:rPr>
            </w:pPr>
          </w:p>
        </w:tc>
      </w:tr>
      <w:tr>
        <w:trPr>
          <w:trHeight w:val="230"/>
        </w:trPr>
        <w:tc>
          <w:tcPr>
            <w:tcW w:w="6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Equity compensation</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11,382</w:t>
            </w: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11,382</w:t>
            </w:r>
          </w:p>
        </w:tc>
        <w:tc>
          <w:tcPr>
            <w:tcW w:w="0" w:type="dxa"/>
            <w:vAlign w:val="bottom"/>
          </w:tcPr>
          <w:p>
            <w:pPr>
              <w:spacing w:after="0"/>
              <w:rPr>
                <w:sz w:val="1"/>
                <w:szCs w:val="1"/>
                <w:color w:val="auto"/>
              </w:rPr>
            </w:pPr>
          </w:p>
        </w:tc>
      </w:tr>
      <w:tr>
        <w:trPr>
          <w:trHeight w:val="229"/>
        </w:trPr>
        <w:tc>
          <w:tcPr>
            <w:tcW w:w="6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Repurchase of common stock for retirement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(2,450)</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(47,806)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(50,264)</w:t>
            </w:r>
          </w:p>
        </w:tc>
        <w:tc>
          <w:tcPr>
            <w:tcW w:w="0" w:type="dxa"/>
            <w:vAlign w:val="bottom"/>
          </w:tcPr>
          <w:p>
            <w:pPr>
              <w:spacing w:after="0"/>
              <w:rPr>
                <w:sz w:val="1"/>
                <w:szCs w:val="1"/>
                <w:color w:val="auto"/>
              </w:rPr>
            </w:pPr>
          </w:p>
        </w:tc>
      </w:tr>
      <w:tr>
        <w:trPr>
          <w:trHeight w:val="229"/>
        </w:trPr>
        <w:tc>
          <w:tcPr>
            <w:tcW w:w="6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Settlement of vested Restricted Stock Units, net of shares withheld</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w:t>
            </w: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w:t>
            </w:r>
          </w:p>
        </w:tc>
        <w:tc>
          <w:tcPr>
            <w:tcW w:w="0" w:type="dxa"/>
            <w:vAlign w:val="bottom"/>
          </w:tcPr>
          <w:p>
            <w:pPr>
              <w:spacing w:after="0"/>
              <w:rPr>
                <w:sz w:val="1"/>
                <w:szCs w:val="1"/>
                <w:color w:val="auto"/>
              </w:rPr>
            </w:pPr>
          </w:p>
        </w:tc>
      </w:tr>
      <w:tr>
        <w:trPr>
          <w:trHeight w:val="230"/>
        </w:trPr>
        <w:tc>
          <w:tcPr>
            <w:tcW w:w="6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 option exercises, net of shares withheld</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6,962</w:t>
            </w:r>
          </w:p>
        </w:tc>
        <w:tc>
          <w:tcPr>
            <w:tcW w:w="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6,966</w:t>
            </w:r>
          </w:p>
        </w:tc>
        <w:tc>
          <w:tcPr>
            <w:tcW w:w="0" w:type="dxa"/>
            <w:vAlign w:val="bottom"/>
          </w:tcPr>
          <w:p>
            <w:pPr>
              <w:spacing w:after="0"/>
              <w:rPr>
                <w:sz w:val="1"/>
                <w:szCs w:val="1"/>
                <w:color w:val="auto"/>
              </w:rPr>
            </w:pPr>
          </w:p>
        </w:tc>
      </w:tr>
      <w:tr>
        <w:trPr>
          <w:trHeight w:val="229"/>
        </w:trPr>
        <w:tc>
          <w:tcPr>
            <w:tcW w:w="6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dividends declared, $0.09 per share</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(6,929)</w:t>
            </w:r>
          </w:p>
        </w:tc>
        <w:tc>
          <w:tcPr>
            <w:tcW w:w="0" w:type="dxa"/>
            <w:vAlign w:val="bottom"/>
          </w:tcPr>
          <w:p>
            <w:pPr>
              <w:spacing w:after="0"/>
              <w:rPr>
                <w:sz w:val="1"/>
                <w:szCs w:val="1"/>
                <w:color w:val="auto"/>
              </w:rPr>
            </w:pPr>
          </w:p>
        </w:tc>
      </w:tr>
      <w:tr>
        <w:trPr>
          <w:trHeight w:val="223"/>
        </w:trPr>
        <w:tc>
          <w:tcPr>
            <w:tcW w:w="6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as of April 29, 2023</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76,440</w:t>
            </w:r>
          </w:p>
        </w:tc>
        <w:tc>
          <w:tcPr>
            <w:tcW w:w="8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8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229,633</w:t>
            </w:r>
          </w:p>
        </w:tc>
        <w:tc>
          <w:tcPr>
            <w:tcW w:w="80" w:type="dxa"/>
            <w:vAlign w:val="bottom"/>
            <w:tcBorders>
              <w:bottom w:val="single" w:sz="8" w:color="CCEEFF"/>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$ 1,450,565</w:t>
            </w:r>
          </w:p>
        </w:tc>
        <w:tc>
          <w:tcPr>
            <w:tcW w:w="8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1,680,962</w:t>
            </w:r>
          </w:p>
        </w:tc>
        <w:tc>
          <w:tcPr>
            <w:tcW w:w="0" w:type="dxa"/>
            <w:vAlign w:val="bottom"/>
          </w:tcPr>
          <w:p>
            <w:pPr>
              <w:spacing w:after="0"/>
              <w:rPr>
                <w:sz w:val="1"/>
                <w:szCs w:val="1"/>
                <w:color w:val="auto"/>
              </w:rPr>
            </w:pPr>
          </w:p>
        </w:tc>
      </w:tr>
      <w:tr>
        <w:trPr>
          <w:trHeight w:val="223"/>
        </w:trPr>
        <w:tc>
          <w:tcPr>
            <w:tcW w:w="6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157,075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157,075</w:t>
            </w:r>
          </w:p>
        </w:tc>
        <w:tc>
          <w:tcPr>
            <w:tcW w:w="0" w:type="dxa"/>
            <w:vAlign w:val="bottom"/>
          </w:tcPr>
          <w:p>
            <w:pPr>
              <w:spacing w:after="0"/>
              <w:rPr>
                <w:sz w:val="1"/>
                <w:szCs w:val="1"/>
                <w:color w:val="auto"/>
              </w:rPr>
            </w:pPr>
          </w:p>
        </w:tc>
      </w:tr>
      <w:tr>
        <w:trPr>
          <w:trHeight w:val="230"/>
        </w:trPr>
        <w:tc>
          <w:tcPr>
            <w:tcW w:w="6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Equity compensation</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8,501</w:t>
            </w:r>
          </w:p>
        </w:tc>
        <w:tc>
          <w:tcPr>
            <w:tcW w:w="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8,501</w:t>
            </w:r>
          </w:p>
        </w:tc>
        <w:tc>
          <w:tcPr>
            <w:tcW w:w="0" w:type="dxa"/>
            <w:vAlign w:val="bottom"/>
          </w:tcPr>
          <w:p>
            <w:pPr>
              <w:spacing w:after="0"/>
              <w:rPr>
                <w:sz w:val="1"/>
                <w:szCs w:val="1"/>
                <w:color w:val="auto"/>
              </w:rPr>
            </w:pPr>
          </w:p>
        </w:tc>
      </w:tr>
      <w:tr>
        <w:trPr>
          <w:trHeight w:val="229"/>
        </w:trPr>
        <w:tc>
          <w:tcPr>
            <w:tcW w:w="6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Repurchase of common stock for retirement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(7,087)</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(100,242)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(107,349)</w:t>
            </w:r>
          </w:p>
        </w:tc>
        <w:tc>
          <w:tcPr>
            <w:tcW w:w="0" w:type="dxa"/>
            <w:vAlign w:val="bottom"/>
          </w:tcPr>
          <w:p>
            <w:pPr>
              <w:spacing w:after="0"/>
              <w:rPr>
                <w:sz w:val="1"/>
                <w:szCs w:val="1"/>
                <w:color w:val="auto"/>
              </w:rPr>
            </w:pPr>
          </w:p>
        </w:tc>
      </w:tr>
      <w:tr>
        <w:trPr>
          <w:trHeight w:val="230"/>
        </w:trPr>
        <w:tc>
          <w:tcPr>
            <w:tcW w:w="6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Settlement of vested Restricted Stock Units, net of shares withheld</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0" w:type="dxa"/>
            <w:vAlign w:val="bottom"/>
          </w:tcPr>
          <w:p>
            <w:pPr>
              <w:spacing w:after="0"/>
              <w:rPr>
                <w:sz w:val="1"/>
                <w:szCs w:val="1"/>
                <w:color w:val="auto"/>
              </w:rPr>
            </w:pPr>
          </w:p>
        </w:tc>
      </w:tr>
      <w:tr>
        <w:trPr>
          <w:trHeight w:val="229"/>
        </w:trPr>
        <w:tc>
          <w:tcPr>
            <w:tcW w:w="6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Issuance of common stock under employee stock purchase plan</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2,886</w:t>
            </w: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2,887</w:t>
            </w:r>
          </w:p>
        </w:tc>
        <w:tc>
          <w:tcPr>
            <w:tcW w:w="0" w:type="dxa"/>
            <w:vAlign w:val="bottom"/>
          </w:tcPr>
          <w:p>
            <w:pPr>
              <w:spacing w:after="0"/>
              <w:rPr>
                <w:sz w:val="1"/>
                <w:szCs w:val="1"/>
                <w:color w:val="auto"/>
              </w:rPr>
            </w:pPr>
          </w:p>
        </w:tc>
      </w:tr>
      <w:tr>
        <w:trPr>
          <w:trHeight w:val="229"/>
        </w:trPr>
        <w:tc>
          <w:tcPr>
            <w:tcW w:w="6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 option exercises, net of shares withheld</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3,124</w:t>
            </w:r>
          </w:p>
        </w:tc>
        <w:tc>
          <w:tcPr>
            <w:tcW w:w="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3,127</w:t>
            </w:r>
          </w:p>
        </w:tc>
        <w:tc>
          <w:tcPr>
            <w:tcW w:w="0" w:type="dxa"/>
            <w:vAlign w:val="bottom"/>
          </w:tcPr>
          <w:p>
            <w:pPr>
              <w:spacing w:after="0"/>
              <w:rPr>
                <w:sz w:val="1"/>
                <w:szCs w:val="1"/>
                <w:color w:val="auto"/>
              </w:rPr>
            </w:pPr>
          </w:p>
        </w:tc>
      </w:tr>
      <w:tr>
        <w:trPr>
          <w:trHeight w:val="230"/>
        </w:trPr>
        <w:tc>
          <w:tcPr>
            <w:tcW w:w="6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dividends declared, $0.09 per share</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(6,896)</w:t>
            </w:r>
          </w:p>
        </w:tc>
        <w:tc>
          <w:tcPr>
            <w:tcW w:w="0" w:type="dxa"/>
            <w:vAlign w:val="bottom"/>
          </w:tcPr>
          <w:p>
            <w:pPr>
              <w:spacing w:after="0"/>
              <w:rPr>
                <w:sz w:val="1"/>
                <w:szCs w:val="1"/>
                <w:color w:val="auto"/>
              </w:rPr>
            </w:pPr>
          </w:p>
        </w:tc>
      </w:tr>
      <w:tr>
        <w:trPr>
          <w:trHeight w:val="223"/>
        </w:trPr>
        <w:tc>
          <w:tcPr>
            <w:tcW w:w="6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as of July 29, 2023</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74,846</w:t>
            </w:r>
          </w:p>
        </w:tc>
        <w:tc>
          <w:tcPr>
            <w:tcW w:w="8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8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236,789</w:t>
            </w:r>
          </w:p>
        </w:tc>
        <w:tc>
          <w:tcPr>
            <w:tcW w:w="80" w:type="dxa"/>
            <w:vAlign w:val="bottom"/>
            <w:tcBorders>
              <w:bottom w:val="single" w:sz="8" w:color="CCEEFF"/>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$ 1,500,502</w:t>
            </w:r>
          </w:p>
        </w:tc>
        <w:tc>
          <w:tcPr>
            <w:tcW w:w="8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1,738,039</w:t>
            </w:r>
          </w:p>
        </w:tc>
        <w:tc>
          <w:tcPr>
            <w:tcW w:w="0" w:type="dxa"/>
            <w:vAlign w:val="bottom"/>
          </w:tcPr>
          <w:p>
            <w:pPr>
              <w:spacing w:after="0"/>
              <w:rPr>
                <w:sz w:val="1"/>
                <w:szCs w:val="1"/>
                <w:color w:val="auto"/>
              </w:rPr>
            </w:pPr>
          </w:p>
        </w:tc>
      </w:tr>
      <w:tr>
        <w:trPr>
          <w:trHeight w:val="223"/>
        </w:trPr>
        <w:tc>
          <w:tcPr>
            <w:tcW w:w="6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99,978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99,978</w:t>
            </w:r>
          </w:p>
        </w:tc>
        <w:tc>
          <w:tcPr>
            <w:tcW w:w="0" w:type="dxa"/>
            <w:vAlign w:val="bottom"/>
          </w:tcPr>
          <w:p>
            <w:pPr>
              <w:spacing w:after="0"/>
              <w:rPr>
                <w:sz w:val="1"/>
                <w:szCs w:val="1"/>
                <w:color w:val="auto"/>
              </w:rPr>
            </w:pPr>
          </w:p>
        </w:tc>
      </w:tr>
      <w:tr>
        <w:trPr>
          <w:trHeight w:val="229"/>
        </w:trPr>
        <w:tc>
          <w:tcPr>
            <w:tcW w:w="6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Equity compensation</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6,245</w:t>
            </w:r>
          </w:p>
        </w:tc>
        <w:tc>
          <w:tcPr>
            <w:tcW w:w="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6,245</w:t>
            </w:r>
          </w:p>
        </w:tc>
        <w:tc>
          <w:tcPr>
            <w:tcW w:w="0" w:type="dxa"/>
            <w:vAlign w:val="bottom"/>
          </w:tcPr>
          <w:p>
            <w:pPr>
              <w:spacing w:after="0"/>
              <w:rPr>
                <w:sz w:val="1"/>
                <w:szCs w:val="1"/>
                <w:color w:val="auto"/>
              </w:rPr>
            </w:pPr>
          </w:p>
        </w:tc>
      </w:tr>
      <w:tr>
        <w:trPr>
          <w:trHeight w:val="230"/>
        </w:trPr>
        <w:tc>
          <w:tcPr>
            <w:tcW w:w="6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Repurchase of common stock for retirement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(3,038)</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(40,863)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(43,910)</w:t>
            </w:r>
          </w:p>
        </w:tc>
        <w:tc>
          <w:tcPr>
            <w:tcW w:w="0" w:type="dxa"/>
            <w:vAlign w:val="bottom"/>
          </w:tcPr>
          <w:p>
            <w:pPr>
              <w:spacing w:after="0"/>
              <w:rPr>
                <w:sz w:val="1"/>
                <w:szCs w:val="1"/>
                <w:color w:val="auto"/>
              </w:rPr>
            </w:pPr>
          </w:p>
        </w:tc>
      </w:tr>
      <w:tr>
        <w:trPr>
          <w:trHeight w:val="230"/>
        </w:trPr>
        <w:tc>
          <w:tcPr>
            <w:tcW w:w="6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Settlement of vested Restricted Stock Units, net of shares withheld</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(1,606)</w:t>
            </w:r>
          </w:p>
        </w:tc>
        <w:tc>
          <w:tcPr>
            <w:tcW w:w="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(1,605)</w:t>
            </w:r>
          </w:p>
        </w:tc>
        <w:tc>
          <w:tcPr>
            <w:tcW w:w="0" w:type="dxa"/>
            <w:vAlign w:val="bottom"/>
          </w:tcPr>
          <w:p>
            <w:pPr>
              <w:spacing w:after="0"/>
              <w:rPr>
                <w:sz w:val="1"/>
                <w:szCs w:val="1"/>
                <w:color w:val="auto"/>
              </w:rPr>
            </w:pPr>
          </w:p>
        </w:tc>
      </w:tr>
      <w:tr>
        <w:trPr>
          <w:trHeight w:val="230"/>
        </w:trPr>
        <w:tc>
          <w:tcPr>
            <w:tcW w:w="6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 option exercises, net of shares withheld</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1,057</w:t>
            </w: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1,058</w:t>
            </w:r>
          </w:p>
        </w:tc>
        <w:tc>
          <w:tcPr>
            <w:tcW w:w="0" w:type="dxa"/>
            <w:vAlign w:val="bottom"/>
          </w:tcPr>
          <w:p>
            <w:pPr>
              <w:spacing w:after="0"/>
              <w:rPr>
                <w:sz w:val="1"/>
                <w:szCs w:val="1"/>
                <w:color w:val="auto"/>
              </w:rPr>
            </w:pPr>
          </w:p>
        </w:tc>
      </w:tr>
      <w:tr>
        <w:trPr>
          <w:trHeight w:val="229"/>
        </w:trPr>
        <w:tc>
          <w:tcPr>
            <w:tcW w:w="6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dividends declared, $0.09 per share</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(6,718)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(6,718)</w:t>
            </w:r>
          </w:p>
        </w:tc>
        <w:tc>
          <w:tcPr>
            <w:tcW w:w="0" w:type="dxa"/>
            <w:vAlign w:val="bottom"/>
          </w:tcPr>
          <w:p>
            <w:pPr>
              <w:spacing w:after="0"/>
              <w:rPr>
                <w:sz w:val="1"/>
                <w:szCs w:val="1"/>
                <w:color w:val="auto"/>
              </w:rPr>
            </w:pPr>
          </w:p>
        </w:tc>
      </w:tr>
      <w:tr>
        <w:trPr>
          <w:trHeight w:val="248"/>
        </w:trPr>
        <w:tc>
          <w:tcPr>
            <w:tcW w:w="6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as of October 28, 2023</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74,144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239,447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$ 1,552,899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1,793,087</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617" w:right="339" w:bottom="1440" w:gutter="0" w:footer="0" w:header="0"/>
        </w:sectPr>
      </w:pPr>
    </w:p>
    <w:bookmarkStart w:id="5" w:name="page6"/>
    <w:bookmarkEnd w:id="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ACADEMY SPORTS AND OUTDOORS,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data)</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80" w:type="dxa"/>
            <w:vAlign w:val="bottom"/>
          </w:tcPr>
          <w:p>
            <w:pPr>
              <w:spacing w:after="0"/>
              <w:rPr>
                <w:sz w:val="17"/>
                <w:szCs w:val="17"/>
                <w:color w:val="auto"/>
              </w:rPr>
            </w:pPr>
          </w:p>
        </w:tc>
        <w:tc>
          <w:tcPr>
            <w:tcW w:w="1980" w:type="dxa"/>
            <w:vAlign w:val="bottom"/>
            <w:gridSpan w:val="4"/>
            <w:vMerge w:val="restart"/>
          </w:tcPr>
          <w:p>
            <w:pPr>
              <w:ind w:left="40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80" w:type="dxa"/>
            <w:vAlign w:val="bottom"/>
            <w:vMerge w:val="restart"/>
          </w:tcPr>
          <w:p>
            <w:pPr>
              <w:spacing w:after="0"/>
              <w:rPr>
                <w:sz w:val="17"/>
                <w:szCs w:val="17"/>
                <w:color w:val="auto"/>
              </w:rPr>
            </w:pP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0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200" w:type="dxa"/>
            <w:vAlign w:val="bottom"/>
          </w:tcPr>
          <w:p>
            <w:pPr>
              <w:spacing w:after="0"/>
              <w:rPr>
                <w:sz w:val="17"/>
                <w:szCs w:val="17"/>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62"/>
        </w:trPr>
        <w:tc>
          <w:tcPr>
            <w:tcW w:w="6080" w:type="dxa"/>
            <w:vAlign w:val="bottom"/>
          </w:tcPr>
          <w:p>
            <w:pPr>
              <w:spacing w:after="0"/>
              <w:rPr>
                <w:sz w:val="13"/>
                <w:szCs w:val="13"/>
                <w:color w:val="auto"/>
              </w:rPr>
            </w:pPr>
          </w:p>
        </w:tc>
        <w:tc>
          <w:tcPr>
            <w:tcW w:w="1980" w:type="dxa"/>
            <w:vAlign w:val="bottom"/>
            <w:tcBorders>
              <w:bottom w:val="single" w:sz="8" w:color="auto"/>
            </w:tcBorders>
            <w:gridSpan w:val="4"/>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ind w:left="20"/>
              <w:spacing w:after="0" w:line="157" w:lineRule="exact"/>
              <w:rPr>
                <w:sz w:val="20"/>
                <w:szCs w:val="20"/>
                <w:color w:val="auto"/>
              </w:rPr>
            </w:pPr>
            <w:r>
              <w:rPr>
                <w:rFonts w:ascii="Times New Roman" w:cs="Times New Roman" w:eastAsia="Times New Roman" w:hAnsi="Times New Roman"/>
                <w:sz w:val="18"/>
                <w:szCs w:val="18"/>
                <w:b w:val="1"/>
                <w:bCs w:val="1"/>
                <w:color w:val="auto"/>
              </w:rPr>
              <w:t>Paid-In</w:t>
            </w:r>
          </w:p>
        </w:tc>
        <w:tc>
          <w:tcPr>
            <w:tcW w:w="1040" w:type="dxa"/>
            <w:vAlign w:val="bottom"/>
            <w:gridSpan w:val="2"/>
            <w:vMerge w:val="continue"/>
          </w:tcPr>
          <w:p>
            <w:pPr>
              <w:spacing w:after="0"/>
              <w:rPr>
                <w:sz w:val="13"/>
                <w:szCs w:val="13"/>
                <w:color w:val="auto"/>
              </w:rPr>
            </w:pPr>
          </w:p>
        </w:tc>
        <w:tc>
          <w:tcPr>
            <w:tcW w:w="1100" w:type="dxa"/>
            <w:vAlign w:val="bottom"/>
            <w:gridSpan w:val="2"/>
          </w:tcPr>
          <w:p>
            <w:pPr>
              <w:ind w:left="20"/>
              <w:spacing w:after="0" w:line="157" w:lineRule="exact"/>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37"/>
        </w:trPr>
        <w:tc>
          <w:tcPr>
            <w:tcW w:w="6080" w:type="dxa"/>
            <w:vAlign w:val="bottom"/>
          </w:tcPr>
          <w:p>
            <w:pPr>
              <w:spacing w:after="0"/>
              <w:rPr>
                <w:sz w:val="20"/>
                <w:szCs w:val="20"/>
                <w:color w:val="auto"/>
              </w:rPr>
            </w:pPr>
          </w:p>
        </w:tc>
        <w:tc>
          <w:tcPr>
            <w:tcW w:w="10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20"/>
                <w:szCs w:val="20"/>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0"/>
                <w:szCs w:val="20"/>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200" w:type="dxa"/>
            <w:vAlign w:val="bottom"/>
          </w:tcPr>
          <w:p>
            <w:pPr>
              <w:spacing w:after="0"/>
              <w:rPr>
                <w:sz w:val="20"/>
                <w:szCs w:val="20"/>
                <w:color w:val="auto"/>
              </w:rPr>
            </w:pPr>
          </w:p>
        </w:tc>
        <w:tc>
          <w:tcPr>
            <w:tcW w:w="9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0" w:type="dxa"/>
            <w:vAlign w:val="bottom"/>
          </w:tcPr>
          <w:p>
            <w:pPr>
              <w:spacing w:after="0"/>
              <w:rPr>
                <w:sz w:val="1"/>
                <w:szCs w:val="1"/>
                <w:color w:val="auto"/>
              </w:rPr>
            </w:pPr>
          </w:p>
        </w:tc>
      </w:tr>
      <w:tr>
        <w:trPr>
          <w:trHeight w:val="223"/>
        </w:trPr>
        <w:tc>
          <w:tcPr>
            <w:tcW w:w="6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as of January 29, 2022</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87,079</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198,016</w:t>
            </w:r>
          </w:p>
        </w:tc>
        <w:tc>
          <w:tcPr>
            <w:tcW w:w="8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$ 1,268,060</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1,466,946</w:t>
            </w:r>
          </w:p>
        </w:tc>
        <w:tc>
          <w:tcPr>
            <w:tcW w:w="0" w:type="dxa"/>
            <w:vAlign w:val="bottom"/>
          </w:tcPr>
          <w:p>
            <w:pPr>
              <w:spacing w:after="0"/>
              <w:rPr>
                <w:sz w:val="1"/>
                <w:szCs w:val="1"/>
                <w:color w:val="auto"/>
              </w:rPr>
            </w:pPr>
          </w:p>
        </w:tc>
      </w:tr>
      <w:tr>
        <w:trPr>
          <w:trHeight w:val="223"/>
        </w:trPr>
        <w:tc>
          <w:tcPr>
            <w:tcW w:w="6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149,806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149,806</w:t>
            </w:r>
          </w:p>
        </w:tc>
        <w:tc>
          <w:tcPr>
            <w:tcW w:w="0" w:type="dxa"/>
            <w:vAlign w:val="bottom"/>
          </w:tcPr>
          <w:p>
            <w:pPr>
              <w:spacing w:after="0"/>
              <w:rPr>
                <w:sz w:val="1"/>
                <w:szCs w:val="1"/>
                <w:color w:val="auto"/>
              </w:rPr>
            </w:pPr>
          </w:p>
        </w:tc>
      </w:tr>
      <w:tr>
        <w:trPr>
          <w:trHeight w:val="229"/>
        </w:trPr>
        <w:tc>
          <w:tcPr>
            <w:tcW w:w="6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Equity compensation</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3,499</w:t>
            </w: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3,499</w:t>
            </w:r>
          </w:p>
        </w:tc>
        <w:tc>
          <w:tcPr>
            <w:tcW w:w="0" w:type="dxa"/>
            <w:vAlign w:val="bottom"/>
          </w:tcPr>
          <w:p>
            <w:pPr>
              <w:spacing w:after="0"/>
              <w:rPr>
                <w:sz w:val="1"/>
                <w:szCs w:val="1"/>
                <w:color w:val="auto"/>
              </w:rPr>
            </w:pPr>
          </w:p>
        </w:tc>
      </w:tr>
      <w:tr>
        <w:trPr>
          <w:trHeight w:val="230"/>
        </w:trPr>
        <w:tc>
          <w:tcPr>
            <w:tcW w:w="6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Repurchase of common stock for retirement</w:t>
            </w:r>
          </w:p>
        </w:tc>
        <w:tc>
          <w:tcPr>
            <w:tcW w:w="9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(2,272)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(5,247)</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(83,231)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(88,501)</w:t>
            </w:r>
          </w:p>
        </w:tc>
        <w:tc>
          <w:tcPr>
            <w:tcW w:w="0" w:type="dxa"/>
            <w:vAlign w:val="bottom"/>
          </w:tcPr>
          <w:p>
            <w:pPr>
              <w:spacing w:after="0"/>
              <w:rPr>
                <w:sz w:val="1"/>
                <w:szCs w:val="1"/>
                <w:color w:val="auto"/>
              </w:rPr>
            </w:pPr>
          </w:p>
        </w:tc>
      </w:tr>
      <w:tr>
        <w:trPr>
          <w:trHeight w:val="229"/>
        </w:trPr>
        <w:tc>
          <w:tcPr>
            <w:tcW w:w="6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Settlement of vested Restricted Stock Units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 option exercises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3,292</w:t>
            </w:r>
          </w:p>
        </w:tc>
        <w:tc>
          <w:tcPr>
            <w:tcW w:w="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3,294</w:t>
            </w:r>
          </w:p>
        </w:tc>
        <w:tc>
          <w:tcPr>
            <w:tcW w:w="0" w:type="dxa"/>
            <w:vAlign w:val="bottom"/>
          </w:tcPr>
          <w:p>
            <w:pPr>
              <w:spacing w:after="0"/>
              <w:rPr>
                <w:sz w:val="1"/>
                <w:szCs w:val="1"/>
                <w:color w:val="auto"/>
              </w:rPr>
            </w:pPr>
          </w:p>
        </w:tc>
      </w:tr>
      <w:tr>
        <w:trPr>
          <w:trHeight w:val="230"/>
        </w:trPr>
        <w:tc>
          <w:tcPr>
            <w:tcW w:w="6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dividends declared, $0.075 per share</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(6,536)</w:t>
            </w:r>
          </w:p>
        </w:tc>
        <w:tc>
          <w:tcPr>
            <w:tcW w:w="0" w:type="dxa"/>
            <w:vAlign w:val="bottom"/>
          </w:tcPr>
          <w:p>
            <w:pPr>
              <w:spacing w:after="0"/>
              <w:rPr>
                <w:sz w:val="1"/>
                <w:szCs w:val="1"/>
                <w:color w:val="auto"/>
              </w:rPr>
            </w:pPr>
          </w:p>
        </w:tc>
      </w:tr>
      <w:tr>
        <w:trPr>
          <w:trHeight w:val="223"/>
        </w:trPr>
        <w:tc>
          <w:tcPr>
            <w:tcW w:w="6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as of April 30, 2022</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85,071</w:t>
            </w:r>
          </w:p>
        </w:tc>
        <w:tc>
          <w:tcPr>
            <w:tcW w:w="8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8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199,559</w:t>
            </w:r>
          </w:p>
        </w:tc>
        <w:tc>
          <w:tcPr>
            <w:tcW w:w="80" w:type="dxa"/>
            <w:vAlign w:val="bottom"/>
            <w:tcBorders>
              <w:bottom w:val="single" w:sz="8" w:color="CCEEFF"/>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$ 1,328,099</w:t>
            </w:r>
          </w:p>
        </w:tc>
        <w:tc>
          <w:tcPr>
            <w:tcW w:w="8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1,528,508</w:t>
            </w:r>
          </w:p>
        </w:tc>
        <w:tc>
          <w:tcPr>
            <w:tcW w:w="0" w:type="dxa"/>
            <w:vAlign w:val="bottom"/>
          </w:tcPr>
          <w:p>
            <w:pPr>
              <w:spacing w:after="0"/>
              <w:rPr>
                <w:sz w:val="1"/>
                <w:szCs w:val="1"/>
                <w:color w:val="auto"/>
              </w:rPr>
            </w:pPr>
          </w:p>
        </w:tc>
      </w:tr>
      <w:tr>
        <w:trPr>
          <w:trHeight w:val="223"/>
        </w:trPr>
        <w:tc>
          <w:tcPr>
            <w:tcW w:w="6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188,801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188,801</w:t>
            </w:r>
          </w:p>
        </w:tc>
        <w:tc>
          <w:tcPr>
            <w:tcW w:w="0" w:type="dxa"/>
            <w:vAlign w:val="bottom"/>
          </w:tcPr>
          <w:p>
            <w:pPr>
              <w:spacing w:after="0"/>
              <w:rPr>
                <w:sz w:val="1"/>
                <w:szCs w:val="1"/>
                <w:color w:val="auto"/>
              </w:rPr>
            </w:pPr>
          </w:p>
        </w:tc>
      </w:tr>
      <w:tr>
        <w:trPr>
          <w:trHeight w:val="229"/>
        </w:trPr>
        <w:tc>
          <w:tcPr>
            <w:tcW w:w="6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Equity compensation</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6,158</w:t>
            </w:r>
          </w:p>
        </w:tc>
        <w:tc>
          <w:tcPr>
            <w:tcW w:w="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6,158</w:t>
            </w:r>
          </w:p>
        </w:tc>
        <w:tc>
          <w:tcPr>
            <w:tcW w:w="0" w:type="dxa"/>
            <w:vAlign w:val="bottom"/>
          </w:tcPr>
          <w:p>
            <w:pPr>
              <w:spacing w:after="0"/>
              <w:rPr>
                <w:sz w:val="1"/>
                <w:szCs w:val="1"/>
                <w:color w:val="auto"/>
              </w:rPr>
            </w:pPr>
          </w:p>
        </w:tc>
      </w:tr>
      <w:tr>
        <w:trPr>
          <w:trHeight w:val="230"/>
        </w:trPr>
        <w:tc>
          <w:tcPr>
            <w:tcW w:w="6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Repurchase of common stock for retirement</w:t>
            </w:r>
          </w:p>
        </w:tc>
        <w:tc>
          <w:tcPr>
            <w:tcW w:w="9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(5,551)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(13,391)</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(186,665)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(200,111)</w:t>
            </w:r>
          </w:p>
        </w:tc>
        <w:tc>
          <w:tcPr>
            <w:tcW w:w="0" w:type="dxa"/>
            <w:vAlign w:val="bottom"/>
          </w:tcPr>
          <w:p>
            <w:pPr>
              <w:spacing w:after="0"/>
              <w:rPr>
                <w:sz w:val="1"/>
                <w:szCs w:val="1"/>
                <w:color w:val="auto"/>
              </w:rPr>
            </w:pPr>
          </w:p>
        </w:tc>
      </w:tr>
      <w:tr>
        <w:trPr>
          <w:trHeight w:val="229"/>
        </w:trPr>
        <w:tc>
          <w:tcPr>
            <w:tcW w:w="6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Settlement of vested Restricted Stock Units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Issuance of common stock under employee stock purchase plan</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2,796</w:t>
            </w: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2,797</w:t>
            </w:r>
          </w:p>
        </w:tc>
        <w:tc>
          <w:tcPr>
            <w:tcW w:w="0" w:type="dxa"/>
            <w:vAlign w:val="bottom"/>
          </w:tcPr>
          <w:p>
            <w:pPr>
              <w:spacing w:after="0"/>
              <w:rPr>
                <w:sz w:val="1"/>
                <w:szCs w:val="1"/>
                <w:color w:val="auto"/>
              </w:rPr>
            </w:pPr>
          </w:p>
        </w:tc>
      </w:tr>
      <w:tr>
        <w:trPr>
          <w:trHeight w:val="230"/>
        </w:trPr>
        <w:tc>
          <w:tcPr>
            <w:tcW w:w="6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 option exercises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w:t>
            </w:r>
          </w:p>
        </w:tc>
        <w:tc>
          <w:tcPr>
            <w:tcW w:w="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0" w:type="dxa"/>
            <w:vAlign w:val="bottom"/>
          </w:tcPr>
          <w:p>
            <w:pPr>
              <w:spacing w:after="0"/>
              <w:rPr>
                <w:sz w:val="1"/>
                <w:szCs w:val="1"/>
                <w:color w:val="auto"/>
              </w:rPr>
            </w:pPr>
          </w:p>
        </w:tc>
      </w:tr>
      <w:tr>
        <w:trPr>
          <w:trHeight w:val="229"/>
        </w:trPr>
        <w:tc>
          <w:tcPr>
            <w:tcW w:w="6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dividends declared, $0.075 per share</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(6,271)</w:t>
            </w:r>
          </w:p>
        </w:tc>
        <w:tc>
          <w:tcPr>
            <w:tcW w:w="0" w:type="dxa"/>
            <w:vAlign w:val="bottom"/>
          </w:tcPr>
          <w:p>
            <w:pPr>
              <w:spacing w:after="0"/>
              <w:rPr>
                <w:sz w:val="1"/>
                <w:szCs w:val="1"/>
                <w:color w:val="auto"/>
              </w:rPr>
            </w:pPr>
          </w:p>
        </w:tc>
      </w:tr>
      <w:tr>
        <w:trPr>
          <w:trHeight w:val="223"/>
        </w:trPr>
        <w:tc>
          <w:tcPr>
            <w:tcW w:w="6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as of July 30, 2022</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79,725</w:t>
            </w:r>
          </w:p>
        </w:tc>
        <w:tc>
          <w:tcPr>
            <w:tcW w:w="8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8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196,510</w:t>
            </w:r>
          </w:p>
        </w:tc>
        <w:tc>
          <w:tcPr>
            <w:tcW w:w="80" w:type="dxa"/>
            <w:vAlign w:val="bottom"/>
            <w:tcBorders>
              <w:bottom w:val="single" w:sz="8" w:color="CCEEFF"/>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$ 1,323,964</w:t>
            </w:r>
          </w:p>
        </w:tc>
        <w:tc>
          <w:tcPr>
            <w:tcW w:w="8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1,521,271</w:t>
            </w:r>
          </w:p>
        </w:tc>
        <w:tc>
          <w:tcPr>
            <w:tcW w:w="0" w:type="dxa"/>
            <w:vAlign w:val="bottom"/>
          </w:tcPr>
          <w:p>
            <w:pPr>
              <w:spacing w:after="0"/>
              <w:rPr>
                <w:sz w:val="1"/>
                <w:szCs w:val="1"/>
                <w:color w:val="auto"/>
              </w:rPr>
            </w:pPr>
          </w:p>
        </w:tc>
      </w:tr>
      <w:tr>
        <w:trPr>
          <w:trHeight w:val="223"/>
        </w:trPr>
        <w:tc>
          <w:tcPr>
            <w:tcW w:w="6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131,741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131,741</w:t>
            </w:r>
          </w:p>
        </w:tc>
        <w:tc>
          <w:tcPr>
            <w:tcW w:w="0" w:type="dxa"/>
            <w:vAlign w:val="bottom"/>
          </w:tcPr>
          <w:p>
            <w:pPr>
              <w:spacing w:after="0"/>
              <w:rPr>
                <w:sz w:val="1"/>
                <w:szCs w:val="1"/>
                <w:color w:val="auto"/>
              </w:rPr>
            </w:pPr>
          </w:p>
        </w:tc>
      </w:tr>
      <w:tr>
        <w:trPr>
          <w:trHeight w:val="230"/>
        </w:trPr>
        <w:tc>
          <w:tcPr>
            <w:tcW w:w="6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Equity compensation</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5,829</w:t>
            </w:r>
          </w:p>
        </w:tc>
        <w:tc>
          <w:tcPr>
            <w:tcW w:w="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5,829</w:t>
            </w:r>
          </w:p>
        </w:tc>
        <w:tc>
          <w:tcPr>
            <w:tcW w:w="0" w:type="dxa"/>
            <w:vAlign w:val="bottom"/>
          </w:tcPr>
          <w:p>
            <w:pPr>
              <w:spacing w:after="0"/>
              <w:rPr>
                <w:sz w:val="1"/>
                <w:szCs w:val="1"/>
                <w:color w:val="auto"/>
              </w:rPr>
            </w:pPr>
          </w:p>
        </w:tc>
      </w:tr>
      <w:tr>
        <w:trPr>
          <w:trHeight w:val="230"/>
        </w:trPr>
        <w:tc>
          <w:tcPr>
            <w:tcW w:w="6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Repurchase of common stock for retirement</w:t>
            </w:r>
          </w:p>
        </w:tc>
        <w:tc>
          <w:tcPr>
            <w:tcW w:w="9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(2,176)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(5,477)</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(95,325)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(100,824)</w:t>
            </w:r>
          </w:p>
        </w:tc>
        <w:tc>
          <w:tcPr>
            <w:tcW w:w="0" w:type="dxa"/>
            <w:vAlign w:val="bottom"/>
          </w:tcPr>
          <w:p>
            <w:pPr>
              <w:spacing w:after="0"/>
              <w:rPr>
                <w:sz w:val="1"/>
                <w:szCs w:val="1"/>
                <w:color w:val="auto"/>
              </w:rPr>
            </w:pPr>
          </w:p>
        </w:tc>
      </w:tr>
      <w:tr>
        <w:trPr>
          <w:trHeight w:val="230"/>
        </w:trPr>
        <w:tc>
          <w:tcPr>
            <w:tcW w:w="6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Settlement of vested Restricted Stock Units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 option exercises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6,872</w:t>
            </w: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6,876</w:t>
            </w:r>
          </w:p>
        </w:tc>
        <w:tc>
          <w:tcPr>
            <w:tcW w:w="0" w:type="dxa"/>
            <w:vAlign w:val="bottom"/>
          </w:tcPr>
          <w:p>
            <w:pPr>
              <w:spacing w:after="0"/>
              <w:rPr>
                <w:sz w:val="1"/>
                <w:szCs w:val="1"/>
                <w:color w:val="auto"/>
              </w:rPr>
            </w:pPr>
          </w:p>
        </w:tc>
      </w:tr>
      <w:tr>
        <w:trPr>
          <w:trHeight w:val="229"/>
        </w:trPr>
        <w:tc>
          <w:tcPr>
            <w:tcW w:w="6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dividends declared, $0.075 per share</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(5,974)</w:t>
            </w:r>
          </w:p>
        </w:tc>
        <w:tc>
          <w:tcPr>
            <w:tcW w:w="0" w:type="dxa"/>
            <w:vAlign w:val="bottom"/>
          </w:tcPr>
          <w:p>
            <w:pPr>
              <w:spacing w:after="0"/>
              <w:rPr>
                <w:sz w:val="1"/>
                <w:szCs w:val="1"/>
                <w:color w:val="auto"/>
              </w:rPr>
            </w:pPr>
          </w:p>
        </w:tc>
      </w:tr>
      <w:tr>
        <w:trPr>
          <w:trHeight w:val="248"/>
        </w:trPr>
        <w:tc>
          <w:tcPr>
            <w:tcW w:w="6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as of October 29, 2022</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77,960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203,734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$ 1,354,406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1,558,919</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Condensed Notes to Consolidated Financial Statements</w:t>
      </w:r>
    </w:p>
    <w:p>
      <w:pPr>
        <w:spacing w:after="0" w:line="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617"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ACADEMY SPORTS AND OUTDOORS,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gridSpan w:val="4"/>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Thirty-Nine Weeks Ended</w:t>
            </w:r>
          </w:p>
        </w:tc>
      </w:tr>
      <w:tr>
        <w:trPr>
          <w:trHeight w:val="223"/>
        </w:trPr>
        <w:tc>
          <w:tcPr>
            <w:tcW w:w="7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October 28, 2023</w:t>
            </w:r>
          </w:p>
        </w:tc>
        <w:tc>
          <w:tcPr>
            <w:tcW w:w="160" w:type="dxa"/>
            <w:vAlign w:val="bottom"/>
          </w:tcPr>
          <w:p>
            <w:pPr>
              <w:spacing w:after="0"/>
              <w:rPr>
                <w:sz w:val="19"/>
                <w:szCs w:val="19"/>
                <w:color w:val="auto"/>
              </w:rPr>
            </w:pPr>
          </w:p>
        </w:tc>
        <w:tc>
          <w:tcPr>
            <w:tcW w:w="15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October 29, 2022</w:t>
            </w:r>
          </w:p>
        </w:tc>
      </w:tr>
      <w:tr>
        <w:trPr>
          <w:trHeight w:val="210"/>
        </w:trPr>
        <w:tc>
          <w:tcPr>
            <w:tcW w:w="7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6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r>
      <w:tr>
        <w:trPr>
          <w:trHeight w:val="229"/>
        </w:trPr>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351,023</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470,348</w:t>
            </w:r>
          </w:p>
        </w:tc>
      </w:tr>
      <w:tr>
        <w:trPr>
          <w:trHeight w:val="229"/>
        </w:trPr>
        <w:tc>
          <w:tcPr>
            <w:tcW w:w="7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30"/>
        </w:trPr>
        <w:tc>
          <w:tcPr>
            <w:tcW w:w="7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79,394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78,852</w:t>
            </w:r>
          </w:p>
        </w:tc>
      </w:tr>
      <w:tr>
        <w:trPr>
          <w:trHeight w:val="229"/>
        </w:trPr>
        <w:tc>
          <w:tcPr>
            <w:tcW w:w="7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Non-cash lease expense</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4,945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r>
      <w:tr>
        <w:trPr>
          <w:trHeight w:val="229"/>
        </w:trPr>
        <w:tc>
          <w:tcPr>
            <w:tcW w:w="7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Equity compensation</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26,128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15,486</w:t>
            </w:r>
          </w:p>
        </w:tc>
      </w:tr>
      <w:tr>
        <w:trPr>
          <w:trHeight w:val="230"/>
        </w:trPr>
        <w:tc>
          <w:tcPr>
            <w:tcW w:w="7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Amortization of deferred loan and other costs</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2,328</w:t>
            </w:r>
          </w:p>
        </w:tc>
      </w:tr>
      <w:tr>
        <w:trPr>
          <w:trHeight w:val="229"/>
        </w:trPr>
        <w:tc>
          <w:tcPr>
            <w:tcW w:w="7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Deferred income taxes</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5,522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25,631</w:t>
            </w:r>
          </w:p>
        </w:tc>
      </w:tr>
      <w:tr>
        <w:trPr>
          <w:trHeight w:val="230"/>
        </w:trPr>
        <w:tc>
          <w:tcPr>
            <w:tcW w:w="7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Gain on disposal of property and equipment</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29"/>
        </w:trPr>
        <w:tc>
          <w:tcPr>
            <w:tcW w:w="76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3,720</w:t>
            </w:r>
          </w:p>
        </w:tc>
      </w:tr>
      <w:tr>
        <w:trPr>
          <w:trHeight w:val="230"/>
        </w:trPr>
        <w:tc>
          <w:tcPr>
            <w:tcW w:w="76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Merchandise inventories, net</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(208,702)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(323,656)</w:t>
            </w:r>
          </w:p>
        </w:tc>
      </w:tr>
      <w:tr>
        <w:trPr>
          <w:trHeight w:val="229"/>
        </w:trPr>
        <w:tc>
          <w:tcPr>
            <w:tcW w:w="76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(59,234)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w:t>
            </w:r>
          </w:p>
        </w:tc>
      </w:tr>
      <w:tr>
        <w:trPr>
          <w:trHeight w:val="229"/>
        </w:trPr>
        <w:tc>
          <w:tcPr>
            <w:tcW w:w="76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Other noncurrent assets</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(12,471)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(8,987)</w:t>
            </w:r>
          </w:p>
        </w:tc>
      </w:tr>
      <w:tr>
        <w:trPr>
          <w:trHeight w:val="230"/>
        </w:trPr>
        <w:tc>
          <w:tcPr>
            <w:tcW w:w="76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128,301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95,183</w:t>
            </w:r>
          </w:p>
        </w:tc>
      </w:tr>
      <w:tr>
        <w:trPr>
          <w:trHeight w:val="229"/>
        </w:trPr>
        <w:tc>
          <w:tcPr>
            <w:tcW w:w="76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(5,508)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(39,196)</w:t>
            </w:r>
          </w:p>
        </w:tc>
      </w:tr>
      <w:tr>
        <w:trPr>
          <w:trHeight w:val="230"/>
        </w:trPr>
        <w:tc>
          <w:tcPr>
            <w:tcW w:w="76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Income taxes payable</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(7,910)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(12,332)</w:t>
            </w:r>
          </w:p>
        </w:tc>
      </w:tr>
      <w:tr>
        <w:trPr>
          <w:trHeight w:val="229"/>
        </w:trPr>
        <w:tc>
          <w:tcPr>
            <w:tcW w:w="768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(899)</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w:t>
            </w:r>
          </w:p>
        </w:tc>
      </w:tr>
      <w:tr>
        <w:trPr>
          <w:trHeight w:val="223"/>
        </w:trPr>
        <w:tc>
          <w:tcPr>
            <w:tcW w:w="768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301,042</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309,169</w:t>
            </w:r>
          </w:p>
        </w:tc>
      </w:tr>
      <w:tr>
        <w:trPr>
          <w:trHeight w:val="88"/>
        </w:trPr>
        <w:tc>
          <w:tcPr>
            <w:tcW w:w="7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580" w:type="dxa"/>
            <w:vAlign w:val="bottom"/>
          </w:tcPr>
          <w:p>
            <w:pPr>
              <w:spacing w:after="0"/>
              <w:rPr>
                <w:sz w:val="7"/>
                <w:szCs w:val="7"/>
                <w:color w:val="auto"/>
              </w:rPr>
            </w:pPr>
          </w:p>
        </w:tc>
      </w:tr>
      <w:tr>
        <w:trPr>
          <w:trHeight w:val="23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30"/>
        </w:trPr>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Capital expenditures</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(151,963)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(79,454)</w:t>
            </w:r>
          </w:p>
        </w:tc>
      </w:tr>
      <w:tr>
        <w:trPr>
          <w:trHeight w:val="229"/>
        </w:trPr>
        <w:tc>
          <w:tcPr>
            <w:tcW w:w="7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Purchases of intangible assets</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r>
      <w:tr>
        <w:trPr>
          <w:trHeight w:val="230"/>
        </w:trPr>
        <w:tc>
          <w:tcPr>
            <w:tcW w:w="76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Proceeds from the sale of property and equipment</w:t>
            </w: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2,126</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68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(150,191)</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(79,811)</w:t>
            </w:r>
          </w:p>
        </w:tc>
      </w:tr>
      <w:tr>
        <w:trPr>
          <w:trHeight w:val="34"/>
        </w:trPr>
        <w:tc>
          <w:tcPr>
            <w:tcW w:w="7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3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30"/>
        </w:trPr>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Repayment of Term Loan</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(2,250)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w:t>
            </w:r>
          </w:p>
        </w:tc>
      </w:tr>
      <w:tr>
        <w:trPr>
          <w:trHeight w:val="229"/>
        </w:trPr>
        <w:tc>
          <w:tcPr>
            <w:tcW w:w="7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13,444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11,559</w:t>
            </w:r>
          </w:p>
        </w:tc>
      </w:tr>
      <w:tr>
        <w:trPr>
          <w:trHeight w:val="230"/>
        </w:trPr>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Proceeds from issuance of common stock under employee stock purchase program</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2,887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2,797</w:t>
            </w:r>
          </w:p>
        </w:tc>
      </w:tr>
      <w:tr>
        <w:trPr>
          <w:trHeight w:val="230"/>
        </w:trPr>
        <w:tc>
          <w:tcPr>
            <w:tcW w:w="7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Taxes paid related to net share settlement of equity awards</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(6,635)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w:t>
            </w:r>
          </w:p>
        </w:tc>
      </w:tr>
      <w:tr>
        <w:trPr>
          <w:trHeight w:val="230"/>
        </w:trPr>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Repurchase of common stock for retirement</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(200,072)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(389,436)</w:t>
            </w:r>
          </w:p>
        </w:tc>
      </w:tr>
      <w:tr>
        <w:trPr>
          <w:trHeight w:val="229"/>
        </w:trPr>
        <w:tc>
          <w:tcPr>
            <w:tcW w:w="7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Dividends paid</w:t>
            </w: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(20,543)</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(18,781)</w:t>
            </w:r>
          </w:p>
        </w:tc>
      </w:tr>
      <w:tr>
        <w:trPr>
          <w:trHeight w:val="262"/>
        </w:trPr>
        <w:tc>
          <w:tcPr>
            <w:tcW w:w="7680" w:type="dxa"/>
            <w:vAlign w:val="bottom"/>
            <w:tcBorders>
              <w:bottom w:val="single" w:sz="8" w:color="CCEEFF"/>
            </w:tcBorders>
          </w:tcPr>
          <w:p>
            <w:pPr>
              <w:ind w:left="90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6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(213,169)</w:t>
            </w:r>
          </w:p>
        </w:tc>
        <w:tc>
          <w:tcPr>
            <w:tcW w:w="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(397,189)</w:t>
            </w:r>
          </w:p>
        </w:tc>
      </w:tr>
      <w:tr>
        <w:trPr>
          <w:trHeight w:val="230"/>
        </w:trPr>
        <w:tc>
          <w:tcPr>
            <w:tcW w:w="768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160" w:type="dxa"/>
            <w:vAlign w:val="bottom"/>
            <w:tcBorders>
              <w:top w:val="single" w:sz="8" w:color="CCEEFF"/>
            </w:tcBorders>
          </w:tcPr>
          <w:p>
            <w:pPr>
              <w:spacing w:after="0"/>
              <w:rPr>
                <w:sz w:val="19"/>
                <w:szCs w:val="19"/>
                <w:color w:val="auto"/>
              </w:rPr>
            </w:pPr>
          </w:p>
        </w:tc>
        <w:tc>
          <w:tcPr>
            <w:tcW w:w="15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(62,318)</w:t>
            </w:r>
          </w:p>
        </w:tc>
        <w:tc>
          <w:tcPr>
            <w:tcW w:w="8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5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(167,831)</w:t>
            </w:r>
          </w:p>
        </w:tc>
      </w:tr>
      <w:tr>
        <w:trPr>
          <w:trHeight w:val="23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337,145</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485,998</w:t>
            </w:r>
          </w:p>
        </w:tc>
      </w:tr>
      <w:tr>
        <w:trPr>
          <w:trHeight w:val="223"/>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274,827</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318,167</w:t>
            </w:r>
          </w:p>
        </w:tc>
      </w:tr>
      <w:tr>
        <w:trPr>
          <w:trHeight w:val="20"/>
        </w:trPr>
        <w:tc>
          <w:tcPr>
            <w:tcW w:w="7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20"/>
        </w:trPr>
        <w:tc>
          <w:tcPr>
            <w:tcW w:w="7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3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30"/>
        </w:trPr>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Cash paid for interest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26,785</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25,362</w:t>
            </w:r>
          </w:p>
        </w:tc>
      </w:tr>
      <w:tr>
        <w:trPr>
          <w:trHeight w:val="229"/>
        </w:trPr>
        <w:tc>
          <w:tcPr>
            <w:tcW w:w="7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105,833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129,588</w:t>
            </w:r>
          </w:p>
        </w:tc>
      </w:tr>
      <w:tr>
        <w:trPr>
          <w:trHeight w:val="54"/>
        </w:trPr>
        <w:tc>
          <w:tcPr>
            <w:tcW w:w="76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80" w:type="dxa"/>
            <w:vAlign w:val="bottom"/>
          </w:tcPr>
          <w:p>
            <w:pPr>
              <w:spacing w:after="0"/>
              <w:rPr>
                <w:sz w:val="4"/>
                <w:szCs w:val="4"/>
                <w:color w:val="auto"/>
              </w:rPr>
            </w:pPr>
          </w:p>
        </w:tc>
      </w:tr>
      <w:tr>
        <w:trPr>
          <w:trHeight w:val="23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SUPPLEMENTAL DISCLOSURES OF NON-CASH ACTIVITIES:</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29"/>
        </w:trPr>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Non-cash capital expenditures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15,391</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7,576</w:t>
            </w:r>
          </w:p>
        </w:tc>
      </w:tr>
      <w:tr>
        <w:trPr>
          <w:trHeight w:val="230"/>
        </w:trPr>
        <w:tc>
          <w:tcPr>
            <w:tcW w:w="7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110,450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94,845</w:t>
            </w:r>
          </w:p>
        </w:tc>
      </w:tr>
    </w:tbl>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Condensed Notes to Consolidated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7" w:name="page8"/>
    <w:bookmarkEnd w:id="7"/>
    <w:p>
      <w:pPr>
        <w:jc w:val="center"/>
        <w:ind w:right="80"/>
        <w:spacing w:after="0" w:line="278" w:lineRule="auto"/>
        <w:rPr>
          <w:sz w:val="20"/>
          <w:szCs w:val="20"/>
          <w:color w:val="auto"/>
        </w:rPr>
      </w:pPr>
      <w:r>
        <w:rPr>
          <w:rFonts w:ascii="Times New Roman" w:cs="Times New Roman" w:eastAsia="Times New Roman" w:hAnsi="Times New Roman"/>
          <w:sz w:val="18"/>
          <w:szCs w:val="18"/>
          <w:b w:val="1"/>
          <w:bCs w:val="1"/>
          <w:color w:val="auto"/>
        </w:rPr>
        <w:t>ACADEMY SPORTS AND OUTDOORS, INC. CONDENSED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Operations</w:t>
      </w:r>
    </w:p>
    <w:p>
      <w:pPr>
        <w:spacing w:after="0" w:line="25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The Company</w:t>
      </w:r>
    </w:p>
    <w:p>
      <w:pPr>
        <w:spacing w:after="0" w:line="175" w:lineRule="exact"/>
        <w:rPr>
          <w:sz w:val="20"/>
          <w:szCs w:val="20"/>
          <w:color w:val="auto"/>
        </w:rPr>
      </w:pPr>
    </w:p>
    <w:p>
      <w:pPr>
        <w:jc w:val="both"/>
        <w:ind w:left="260" w:firstLine="324"/>
        <w:spacing w:after="0" w:line="256" w:lineRule="auto"/>
        <w:rPr>
          <w:sz w:val="20"/>
          <w:szCs w:val="20"/>
          <w:color w:val="auto"/>
        </w:rPr>
      </w:pPr>
      <w:r>
        <w:rPr>
          <w:rFonts w:ascii="Times New Roman" w:cs="Times New Roman" w:eastAsia="Times New Roman" w:hAnsi="Times New Roman"/>
          <w:sz w:val="18"/>
          <w:szCs w:val="18"/>
          <w:color w:val="auto"/>
        </w:rPr>
        <w:t>All references to "we," "us," "our" or the "Company" in the financial statements refer to Academy Sports and Outdoors, Inc., a Delaware corporation ("ASO, Inc.") and the current parent holding company of our operations, and its consolidated subsidiaries. We conduct our operations primarily through our parent holding company's indirect subsidiary, Academy, Ltd., a Texas limited partnership doing business as "Academy Sports + Outdoors", or Academy, Ltd. All of the Company's sales and business operations occur at Academy, Ltd., and Academy, Ltd. is also the borrower and/or issuer of the Company's long-term debt and lessee of facilities. Our fiscal year represents the 52 or 53 weeks ending on the Saturday closest to January 31.</w:t>
      </w:r>
    </w:p>
    <w:p>
      <w:pPr>
        <w:spacing w:after="0" w:line="133" w:lineRule="exact"/>
        <w:rPr>
          <w:sz w:val="20"/>
          <w:szCs w:val="20"/>
          <w:color w:val="auto"/>
        </w:rPr>
      </w:pPr>
    </w:p>
    <w:p>
      <w:pPr>
        <w:jc w:val="both"/>
        <w:ind w:left="260"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Company is a leading full-line sporting goods and outdoor recreational products retailer in the United States in terms of net sales. As of October 28, 2023, we operated 275 "Academy Sports + Outdoors" retail locations in 18 states and three distribution centers located in Katy, Texas, Twiggs County, Georgia and Cookeville, Tennessee. We also sell merchandise to customers across most of the United States via our </w:t>
      </w:r>
      <w:r>
        <w:rPr>
          <w:rFonts w:ascii="Times New Roman" w:cs="Times New Roman" w:eastAsia="Times New Roman" w:hAnsi="Times New Roman"/>
          <w:sz w:val="18"/>
          <w:szCs w:val="18"/>
          <w:i w:val="1"/>
          <w:iCs w:val="1"/>
          <w:color w:val="auto"/>
        </w:rPr>
        <w:t>academy.com</w:t>
      </w:r>
      <w:r>
        <w:rPr>
          <w:rFonts w:ascii="Times New Roman" w:cs="Times New Roman" w:eastAsia="Times New Roman" w:hAnsi="Times New Roman"/>
          <w:sz w:val="18"/>
          <w:szCs w:val="18"/>
          <w:color w:val="auto"/>
        </w:rPr>
        <w:t xml:space="preserve"> website.</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75" w:lineRule="exact"/>
        <w:rPr>
          <w:sz w:val="20"/>
          <w:szCs w:val="20"/>
          <w:color w:val="auto"/>
        </w:rPr>
      </w:pPr>
    </w:p>
    <w:p>
      <w:pPr>
        <w:jc w:val="both"/>
        <w:ind w:left="260" w:firstLine="324"/>
        <w:spacing w:after="0" w:line="253" w:lineRule="auto"/>
        <w:rPr>
          <w:sz w:val="20"/>
          <w:szCs w:val="20"/>
          <w:color w:val="auto"/>
        </w:rPr>
      </w:pPr>
      <w:r>
        <w:rPr>
          <w:rFonts w:ascii="Times New Roman" w:cs="Times New Roman" w:eastAsia="Times New Roman" w:hAnsi="Times New Roman"/>
          <w:sz w:val="18"/>
          <w:szCs w:val="18"/>
          <w:color w:val="auto"/>
        </w:rPr>
        <w:t>The accompanying unaudited financial statements of the Company have been prepared as though they were required to be in accordance with Rule 10-01 of Regulation S-X for interim financial statements, however, they do not include all information and footnotes required by United States generally accepted accounting principles ("GAAP") for complete financial statements. Certain information and footnote disclosures normally included in our annual consolidated financial statements prepared in accordance with GAAP have been condensed or omitted. However, we believe that the disclosures included herein are adequate to make the information presented not misleading. These condensed consolidated financial statements should be read in conjunction with our audited consolidated financial statements and the notes thereto included in the Company's Annual Report on Form 10-K for the fiscal year ended January 28, 2023, as filed with the Securities and Exchange Commission on March 16, 2023 (the "Annual Report"). The information furnished herein reflects all normal recurring adjustments which are, in the opinion of management, necessary for a fair presentation of the results for the interim periods presented. The results of operations for the thirteen and thirty-nine weeks ended October 28, 2023 are not necessarily indicative of the results that will be realized for the fiscal year ending February 3, 2024 or any other period. The balance sheet as of January 28, 2023 has been derived from our audited financial statements as of that date. For further information, refer to our audited financial statements and notes thereto included in the Annual Report.</w:t>
      </w:r>
    </w:p>
    <w:p>
      <w:pPr>
        <w:spacing w:after="0" w:line="21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175" w:lineRule="exact"/>
        <w:rPr>
          <w:sz w:val="20"/>
          <w:szCs w:val="20"/>
          <w:color w:val="auto"/>
        </w:rPr>
      </w:pPr>
    </w:p>
    <w:p>
      <w:pPr>
        <w:jc w:val="both"/>
        <w:ind w:left="260" w:firstLine="324"/>
        <w:spacing w:after="0" w:line="261"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include the accounts of ASO, Inc. and its subsidiaries, New Academy Holding Company, LLC ("NAHC"), Academy Managing Co., LLC, Associated Investors, LLC, Academy, Ltd., the Company's operating company, and Academy International Limited. NAHC, Academy Managing Co., LLC, and Associated Investors, LLC are intermediate holding companies. All intercompany balances and transactions have been eliminated in consolidation.</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089" w:right="339" w:bottom="1440" w:gutter="0" w:footer="0" w:header="0"/>
        </w:sectPr>
      </w:pPr>
    </w:p>
    <w:bookmarkStart w:id="8" w:name="page9"/>
    <w:bookmarkEnd w:id="8"/>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 in the Preparation of Financial Statements</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our management to make estimates and assumptions that affect the reported amounts of assets and liabilities and the disclosure of contingent assets and liabilities as of the date of the financial statements, as well as the reported amounts of revenues and expenses during the reporting period. Our management bases its estimates on historical experience and other assumptions it believes to be reasonable under the circumstances. Actual results could differ significantly from those estimates. Our most significant estimates and assumptions that materially affect the financial statements involve difficult, subjective or complex judgments by management, including the valuation of merchandise inventories and performing goodwill, intangible and long-lived asset impairment analyses. Given the global economic climate, these estimates remain challenging, and actual results could differ materially from our estimates.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Within the merchandise division sales table presented in Note 3, certain products and categories were recategorized amongst various categories and divisions, respectively, to better align with our current merchandising strategy and view of the business. As a result, we have reclassified sales between divisions in the thirteen and thirty-nine weeks ended October 29, 2022 for comparability purposes. This reclassification is in divisional presentation only and did not impact the overall net sales balances previously disclosed.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Accounting Principle</w:t>
      </w:r>
    </w:p>
    <w:p>
      <w:pPr>
        <w:spacing w:after="0" w:line="121"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Effective January 29, 2023, the Company changed the method of accounting for its inventories from the last-in-first-out (“LIFO”) method to the weighted average cost method. The Company believes that this inventory method change is preferable because we believe it improves comparability with industry peers and is a more accurate representation of merchandise inventories, net and cost of goods sold. Due to historical price deflation on the Company’s merchandise purchases, the Company was in a position where the LIFO merchandise inventories value exceeded the cost of its inventory for all periods presented in the consolidated financial statements. In considering the lower of cost or market principle, merchandise inventories valued at LIFO, including necessary valuation adjustments, approximated the cost of such inventories using the weighted average inventory method. As such, there is no impact to the prior periods from the retrospective presentation of the change.</w:t>
      </w:r>
    </w:p>
    <w:p>
      <w:pPr>
        <w:spacing w:after="0" w:line="13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tables show the pro forma effect to our consolidated financial statements as if the Company had remained on LIFO (amounts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60" w:type="dxa"/>
            <w:vAlign w:val="bottom"/>
            <w:gridSpan w:val="8"/>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Thirteen Weeks Ended October 28, 2023</w:t>
            </w:r>
          </w:p>
        </w:tc>
        <w:tc>
          <w:tcPr>
            <w:tcW w:w="140" w:type="dxa"/>
            <w:vAlign w:val="bottom"/>
          </w:tcPr>
          <w:p>
            <w:pPr>
              <w:spacing w:after="0"/>
              <w:rPr>
                <w:sz w:val="20"/>
                <w:szCs w:val="20"/>
                <w:color w:val="auto"/>
              </w:rPr>
            </w:pPr>
          </w:p>
        </w:tc>
        <w:tc>
          <w:tcPr>
            <w:tcW w:w="4120" w:type="dxa"/>
            <w:vAlign w:val="bottom"/>
            <w:gridSpan w:val="7"/>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Thirty-Nine Weeks Ended October 28, 2023</w:t>
            </w:r>
          </w:p>
        </w:tc>
      </w:tr>
      <w:tr>
        <w:trPr>
          <w:trHeight w:val="223"/>
        </w:trPr>
        <w:tc>
          <w:tcPr>
            <w:tcW w:w="10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1500" w:type="dxa"/>
            <w:vAlign w:val="bottom"/>
            <w:tcBorders>
              <w:top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Effect of Change</w:t>
            </w:r>
          </w:p>
        </w:tc>
        <w:tc>
          <w:tcPr>
            <w:tcW w:w="13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Pro Forma LIFO</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144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Effect of Change</w:t>
            </w:r>
          </w:p>
        </w:tc>
        <w:tc>
          <w:tcPr>
            <w:tcW w:w="13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Pro Forma LIFO</w:t>
            </w:r>
          </w:p>
        </w:tc>
      </w:tr>
      <w:tr>
        <w:trPr>
          <w:trHeight w:val="169"/>
        </w:trPr>
        <w:tc>
          <w:tcPr>
            <w:tcW w:w="1840" w:type="dxa"/>
            <w:vAlign w:val="bottom"/>
            <w:tcBorders>
              <w:top w:val="single" w:sz="8" w:color="CCEEFF"/>
            </w:tcBorders>
            <w:gridSpan w:val="3"/>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rPr>
              <w:t>Consolidated</w:t>
            </w:r>
          </w:p>
        </w:tc>
        <w:tc>
          <w:tcPr>
            <w:tcW w:w="16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r>
      <w:tr>
        <w:trPr>
          <w:trHeight w:val="190"/>
        </w:trPr>
        <w:tc>
          <w:tcPr>
            <w:tcW w:w="1020" w:type="dxa"/>
            <w:vAlign w:val="bottom"/>
            <w:tcBorders>
              <w:top w:val="single" w:sz="8" w:color="auto"/>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w w:val="93"/>
              </w:rPr>
              <w:t>Statements of</w:t>
            </w:r>
          </w:p>
        </w:tc>
        <w:tc>
          <w:tcPr>
            <w:tcW w:w="820" w:type="dxa"/>
            <w:vAlign w:val="bottom"/>
            <w:tcBorders>
              <w:top w:val="single" w:sz="8" w:color="CCEEFF"/>
            </w:tcBorders>
            <w:gridSpan w:val="2"/>
            <w:shd w:val="clear" w:color="auto" w:fill="CCEEFF"/>
          </w:tcPr>
          <w:p>
            <w:pPr>
              <w:ind w:left="80"/>
              <w:spacing w:after="0" w:line="156" w:lineRule="exact"/>
              <w:rPr>
                <w:sz w:val="20"/>
                <w:szCs w:val="20"/>
                <w:color w:val="auto"/>
              </w:rPr>
            </w:pPr>
            <w:r>
              <w:rPr>
                <w:rFonts w:ascii="Times New Roman" w:cs="Times New Roman" w:eastAsia="Times New Roman" w:hAnsi="Times New Roman"/>
                <w:sz w:val="18"/>
                <w:szCs w:val="18"/>
                <w:b w:val="1"/>
                <w:bCs w:val="1"/>
                <w:color w:val="auto"/>
              </w:rPr>
              <w:t>Income:</w:t>
            </w:r>
          </w:p>
        </w:tc>
        <w:tc>
          <w:tcPr>
            <w:tcW w:w="16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CCEEFF"/>
            </w:tcBorders>
            <w:shd w:val="clear" w:color="auto" w:fill="CCEEFF"/>
          </w:tcPr>
          <w:p>
            <w:pPr>
              <w:spacing w:after="0"/>
              <w:rPr>
                <w:sz w:val="16"/>
                <w:szCs w:val="16"/>
                <w:color w:val="auto"/>
              </w:rPr>
            </w:pPr>
          </w:p>
        </w:tc>
      </w:tr>
      <w:tr>
        <w:trPr>
          <w:trHeight w:val="229"/>
        </w:trPr>
        <w:tc>
          <w:tcPr>
            <w:tcW w:w="172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Cost of goods sold</w:t>
            </w:r>
          </w:p>
        </w:tc>
        <w:tc>
          <w:tcPr>
            <w:tcW w:w="1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915,136</w:t>
            </w:r>
          </w:p>
        </w:tc>
        <w:tc>
          <w:tcPr>
            <w:tcW w:w="100" w:type="dxa"/>
            <w:vAlign w:val="bottom"/>
            <w:tcBorders>
              <w:top w:val="single" w:sz="8" w:color="CCEEFF"/>
            </w:tcBorders>
          </w:tcPr>
          <w:p>
            <w:pPr>
              <w:spacing w:after="0"/>
              <w:rPr>
                <w:sz w:val="19"/>
                <w:szCs w:val="19"/>
                <w:color w:val="auto"/>
              </w:rPr>
            </w:pPr>
          </w:p>
        </w:tc>
        <w:tc>
          <w:tcPr>
            <w:tcW w:w="520" w:type="dxa"/>
            <w:vAlign w:val="bottom"/>
            <w:tcBorders>
              <w:top w:val="single" w:sz="8" w:color="CCEEFF"/>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915,519</w:t>
            </w:r>
          </w:p>
        </w:tc>
        <w:tc>
          <w:tcPr>
            <w:tcW w:w="10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2,851,261</w:t>
            </w:r>
          </w:p>
        </w:tc>
        <w:tc>
          <w:tcPr>
            <w:tcW w:w="10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4,443</w:t>
            </w:r>
          </w:p>
        </w:tc>
        <w:tc>
          <w:tcPr>
            <w:tcW w:w="10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2,855,704</w:t>
            </w:r>
          </w:p>
        </w:tc>
      </w:tr>
      <w:tr>
        <w:trPr>
          <w:trHeight w:val="230"/>
        </w:trPr>
        <w:tc>
          <w:tcPr>
            <w:tcW w:w="18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Gross margin</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482,641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482,258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1,513,202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1,508,759</w:t>
            </w:r>
          </w:p>
        </w:tc>
      </w:tr>
      <w:tr>
        <w:trPr>
          <w:trHeight w:val="230"/>
        </w:trPr>
        <w:tc>
          <w:tcPr>
            <w:tcW w:w="18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Operating income</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136,731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136,348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473,890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469,447</w:t>
            </w:r>
          </w:p>
        </w:tc>
      </w:tr>
      <w:tr>
        <w:trPr>
          <w:trHeight w:val="175"/>
        </w:trPr>
        <w:tc>
          <w:tcPr>
            <w:tcW w:w="1840" w:type="dxa"/>
            <w:vAlign w:val="bottom"/>
            <w:gridSpan w:val="3"/>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Income before</w:t>
            </w: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243"/>
        </w:trPr>
        <w:tc>
          <w:tcPr>
            <w:tcW w:w="18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taxes</w:t>
            </w: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129,947</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129,564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451,899</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447,456</w:t>
            </w:r>
          </w:p>
        </w:tc>
      </w:tr>
      <w:tr>
        <w:trPr>
          <w:trHeight w:val="230"/>
        </w:trPr>
        <w:tc>
          <w:tcPr>
            <w:tcW w:w="18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Income tax expense</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29,969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29,871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100,876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99,943</w:t>
            </w:r>
          </w:p>
        </w:tc>
      </w:tr>
      <w:tr>
        <w:trPr>
          <w:trHeight w:val="230"/>
        </w:trPr>
        <w:tc>
          <w:tcPr>
            <w:tcW w:w="18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99,978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99,693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351,023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347,513</w:t>
            </w:r>
          </w:p>
        </w:tc>
      </w:tr>
      <w:tr>
        <w:trPr>
          <w:trHeight w:val="108"/>
        </w:trPr>
        <w:tc>
          <w:tcPr>
            <w:tcW w:w="10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20" w:type="dxa"/>
            <w:vAlign w:val="bottom"/>
          </w:tcPr>
          <w:p>
            <w:pPr>
              <w:spacing w:after="0"/>
              <w:rPr>
                <w:sz w:val="9"/>
                <w:szCs w:val="9"/>
                <w:color w:val="auto"/>
              </w:rPr>
            </w:pPr>
          </w:p>
        </w:tc>
      </w:tr>
      <w:tr>
        <w:trPr>
          <w:trHeight w:val="175"/>
        </w:trPr>
        <w:tc>
          <w:tcPr>
            <w:tcW w:w="1840" w:type="dxa"/>
            <w:vAlign w:val="bottom"/>
            <w:gridSpan w:val="3"/>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Earnings per common</w:t>
            </w: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243"/>
        </w:trPr>
        <w:tc>
          <w:tcPr>
            <w:tcW w:w="18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share:</w:t>
            </w: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r>
      <w:tr>
        <w:trPr>
          <w:trHeight w:val="230"/>
        </w:trPr>
        <w:tc>
          <w:tcPr>
            <w:tcW w:w="18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tcPr>
          <w:p>
            <w:pPr>
              <w:spacing w:after="0"/>
              <w:rPr>
                <w:sz w:val="19"/>
                <w:szCs w:val="19"/>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00" w:type="dxa"/>
            <w:vAlign w:val="bottom"/>
          </w:tcPr>
          <w:p>
            <w:pPr>
              <w:spacing w:after="0"/>
              <w:rPr>
                <w:sz w:val="19"/>
                <w:szCs w:val="19"/>
                <w:color w:val="auto"/>
              </w:rPr>
            </w:pPr>
          </w:p>
        </w:tc>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Pr>
          <w:p>
            <w:pPr>
              <w:spacing w:after="0"/>
              <w:rPr>
                <w:sz w:val="19"/>
                <w:szCs w:val="19"/>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w:t>
            </w:r>
          </w:p>
        </w:tc>
      </w:tr>
      <w:tr>
        <w:trPr>
          <w:trHeight w:val="230"/>
        </w:trPr>
        <w:tc>
          <w:tcPr>
            <w:tcW w:w="18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1440"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8"/>
        </w:trPr>
        <w:tc>
          <w:tcPr>
            <w:tcW w:w="220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October 28, 2023</w:t>
            </w: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r>
      <w:tr>
        <w:trPr>
          <w:trHeight w:val="223"/>
        </w:trPr>
        <w:tc>
          <w:tcPr>
            <w:tcW w:w="220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14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Effect of Change</w:t>
            </w: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Pro Forma LIFO</w:t>
            </w:r>
          </w:p>
        </w:tc>
      </w:tr>
      <w:tr>
        <w:trPr>
          <w:trHeight w:val="189"/>
        </w:trPr>
        <w:tc>
          <w:tcPr>
            <w:tcW w:w="2200" w:type="dxa"/>
            <w:vAlign w:val="bottom"/>
            <w:tcBorders>
              <w:top w:val="single" w:sz="8" w:color="CCEEFF"/>
              <w:bottom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w w:val="98"/>
              </w:rPr>
              <w:t>Consolidated Balance Sheet:</w:t>
            </w:r>
          </w:p>
        </w:tc>
        <w:tc>
          <w:tcPr>
            <w:tcW w:w="39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122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420" w:type="dxa"/>
            <w:vAlign w:val="bottom"/>
            <w:tcBorders>
              <w:top w:val="single" w:sz="8" w:color="auto"/>
              <w:bottom w:val="single" w:sz="8" w:color="CCEEFF"/>
            </w:tcBorders>
            <w:shd w:val="clear" w:color="auto" w:fill="CCEEFF"/>
          </w:tcPr>
          <w:p>
            <w:pPr>
              <w:spacing w:after="0"/>
              <w:rPr>
                <w:sz w:val="16"/>
                <w:szCs w:val="16"/>
                <w:color w:val="auto"/>
              </w:rPr>
            </w:pPr>
          </w:p>
        </w:tc>
        <w:tc>
          <w:tcPr>
            <w:tcW w:w="96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CCEEFF"/>
            </w:tcBorders>
            <w:shd w:val="clear" w:color="auto" w:fill="CCEEFF"/>
          </w:tcPr>
          <w:p>
            <w:pPr>
              <w:spacing w:after="0"/>
              <w:rPr>
                <w:sz w:val="16"/>
                <w:szCs w:val="16"/>
                <w:color w:val="auto"/>
              </w:rPr>
            </w:pPr>
          </w:p>
        </w:tc>
        <w:tc>
          <w:tcPr>
            <w:tcW w:w="1040" w:type="dxa"/>
            <w:vAlign w:val="bottom"/>
            <w:tcBorders>
              <w:top w:val="single" w:sz="8" w:color="auto"/>
              <w:bottom w:val="single" w:sz="8" w:color="CCEEFF"/>
            </w:tcBorders>
            <w:shd w:val="clear" w:color="auto" w:fill="CCEEFF"/>
          </w:tcPr>
          <w:p>
            <w:pPr>
              <w:spacing w:after="0"/>
              <w:rPr>
                <w:sz w:val="16"/>
                <w:szCs w:val="16"/>
                <w:color w:val="auto"/>
              </w:rPr>
            </w:pPr>
          </w:p>
        </w:tc>
      </w:tr>
      <w:tr>
        <w:trPr>
          <w:trHeight w:val="229"/>
        </w:trPr>
        <w:tc>
          <w:tcPr>
            <w:tcW w:w="6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Merchandise inventories, net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1,492,219</w:t>
            </w:r>
          </w:p>
        </w:tc>
        <w:tc>
          <w:tcPr>
            <w:tcW w:w="100" w:type="dxa"/>
            <w:vAlign w:val="bottom"/>
          </w:tcPr>
          <w:p>
            <w:pPr>
              <w:spacing w:after="0"/>
              <w:rPr>
                <w:sz w:val="19"/>
                <w:szCs w:val="19"/>
                <w:color w:val="auto"/>
              </w:rPr>
            </w:pP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(4,443)</w:t>
            </w:r>
          </w:p>
        </w:tc>
        <w:tc>
          <w:tcPr>
            <w:tcW w:w="100" w:type="dxa"/>
            <w:vAlign w:val="bottom"/>
          </w:tcPr>
          <w:p>
            <w:pPr>
              <w:spacing w:after="0"/>
              <w:rPr>
                <w:sz w:val="19"/>
                <w:szCs w:val="19"/>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1,487,776</w:t>
            </w:r>
          </w:p>
        </w:tc>
      </w:tr>
      <w:tr>
        <w:trPr>
          <w:trHeight w:val="230"/>
        </w:trPr>
        <w:tc>
          <w:tcPr>
            <w:tcW w:w="61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1,895,575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1,891,132</w:t>
            </w:r>
          </w:p>
        </w:tc>
      </w:tr>
      <w:tr>
        <w:trPr>
          <w:trHeight w:val="229"/>
        </w:trPr>
        <w:tc>
          <w:tcPr>
            <w:tcW w:w="61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4,921,270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4,916,827</w:t>
            </w:r>
          </w:p>
        </w:tc>
      </w:tr>
      <w:tr>
        <w:trPr>
          <w:trHeight w:val="108"/>
        </w:trPr>
        <w:tc>
          <w:tcPr>
            <w:tcW w:w="2200" w:type="dxa"/>
            <w:vAlign w:val="bottom"/>
            <w:shd w:val="clear" w:color="auto" w:fill="CCEEFF"/>
          </w:tcPr>
          <w:p>
            <w:pPr>
              <w:spacing w:after="0"/>
              <w:rPr>
                <w:sz w:val="9"/>
                <w:szCs w:val="9"/>
                <w:color w:val="auto"/>
              </w:rPr>
            </w:pPr>
          </w:p>
        </w:tc>
        <w:tc>
          <w:tcPr>
            <w:tcW w:w="39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r>
      <w:tr>
        <w:trPr>
          <w:trHeight w:val="229"/>
        </w:trPr>
        <w:tc>
          <w:tcPr>
            <w:tcW w:w="6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232,046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(18,733)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213,313</w:t>
            </w:r>
          </w:p>
        </w:tc>
      </w:tr>
      <w:tr>
        <w:trPr>
          <w:trHeight w:val="230"/>
        </w:trPr>
        <w:tc>
          <w:tcPr>
            <w:tcW w:w="61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1,172,615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1,153,882</w:t>
            </w:r>
          </w:p>
        </w:tc>
      </w:tr>
      <w:tr>
        <w:trPr>
          <w:trHeight w:val="108"/>
        </w:trPr>
        <w:tc>
          <w:tcPr>
            <w:tcW w:w="2200" w:type="dxa"/>
            <w:vAlign w:val="bottom"/>
          </w:tcPr>
          <w:p>
            <w:pPr>
              <w:spacing w:after="0"/>
              <w:rPr>
                <w:sz w:val="9"/>
                <w:szCs w:val="9"/>
                <w:color w:val="auto"/>
              </w:rPr>
            </w:pPr>
          </w:p>
        </w:tc>
        <w:tc>
          <w:tcPr>
            <w:tcW w:w="3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40" w:type="dxa"/>
            <w:vAlign w:val="bottom"/>
          </w:tcPr>
          <w:p>
            <w:pPr>
              <w:spacing w:after="0"/>
              <w:rPr>
                <w:sz w:val="9"/>
                <w:szCs w:val="9"/>
                <w:color w:val="auto"/>
              </w:rPr>
            </w:pPr>
          </w:p>
        </w:tc>
      </w:tr>
      <w:tr>
        <w:trPr>
          <w:trHeight w:val="229"/>
        </w:trPr>
        <w:tc>
          <w:tcPr>
            <w:tcW w:w="6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264,565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282,365</w:t>
            </w:r>
          </w:p>
        </w:tc>
      </w:tr>
      <w:tr>
        <w:trPr>
          <w:trHeight w:val="230"/>
        </w:trPr>
        <w:tc>
          <w:tcPr>
            <w:tcW w:w="61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3,128,183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3,127,250</w:t>
            </w:r>
          </w:p>
        </w:tc>
      </w:tr>
      <w:tr>
        <w:trPr>
          <w:trHeight w:val="108"/>
        </w:trPr>
        <w:tc>
          <w:tcPr>
            <w:tcW w:w="2200" w:type="dxa"/>
            <w:vAlign w:val="bottom"/>
            <w:shd w:val="clear" w:color="auto" w:fill="CCEEFF"/>
          </w:tcPr>
          <w:p>
            <w:pPr>
              <w:spacing w:after="0"/>
              <w:rPr>
                <w:sz w:val="9"/>
                <w:szCs w:val="9"/>
                <w:color w:val="auto"/>
              </w:rPr>
            </w:pPr>
          </w:p>
        </w:tc>
        <w:tc>
          <w:tcPr>
            <w:tcW w:w="39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r>
      <w:tr>
        <w:trPr>
          <w:trHeight w:val="230"/>
        </w:trPr>
        <w:tc>
          <w:tcPr>
            <w:tcW w:w="6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Retained earnings</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1,552,899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1,549,389</w:t>
            </w:r>
          </w:p>
        </w:tc>
      </w:tr>
      <w:tr>
        <w:trPr>
          <w:trHeight w:val="229"/>
        </w:trPr>
        <w:tc>
          <w:tcPr>
            <w:tcW w:w="61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Stockholders' equity</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1,793,087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1,789,577</w:t>
            </w:r>
          </w:p>
        </w:tc>
      </w:tr>
      <w:tr>
        <w:trPr>
          <w:trHeight w:val="234"/>
        </w:trPr>
        <w:tc>
          <w:tcPr>
            <w:tcW w:w="61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4,921,270</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4,916,827</w:t>
            </w:r>
          </w:p>
        </w:tc>
      </w:tr>
    </w:tbl>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0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180" w:type="dxa"/>
            <w:vAlign w:val="bottom"/>
            <w:tcBorders>
              <w:bottom w:val="single" w:sz="8" w:color="auto"/>
            </w:tcBorders>
            <w:gridSpan w:val="7"/>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Thirty-Nine Weeks Ended October 28, 2023</w:t>
            </w:r>
          </w:p>
        </w:tc>
      </w:tr>
      <w:tr>
        <w:trPr>
          <w:trHeight w:val="223"/>
        </w:trPr>
        <w:tc>
          <w:tcPr>
            <w:tcW w:w="310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14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Effect of Change</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Pro Forma LIFO</w:t>
            </w:r>
          </w:p>
        </w:tc>
      </w:tr>
      <w:tr>
        <w:trPr>
          <w:trHeight w:val="189"/>
        </w:trPr>
        <w:tc>
          <w:tcPr>
            <w:tcW w:w="3100" w:type="dxa"/>
            <w:vAlign w:val="bottom"/>
            <w:tcBorders>
              <w:top w:val="single" w:sz="8" w:color="CCEEFF"/>
              <w:bottom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w w:val="99"/>
              </w:rPr>
              <w:t>Consolidated Statements of Cash Flows:</w:t>
            </w:r>
          </w:p>
        </w:tc>
        <w:tc>
          <w:tcPr>
            <w:tcW w:w="30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122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420" w:type="dxa"/>
            <w:vAlign w:val="bottom"/>
            <w:tcBorders>
              <w:top w:val="single" w:sz="8" w:color="auto"/>
              <w:bottom w:val="single" w:sz="8" w:color="CCEEFF"/>
            </w:tcBorders>
            <w:shd w:val="clear" w:color="auto" w:fill="CCEEFF"/>
          </w:tcPr>
          <w:p>
            <w:pPr>
              <w:spacing w:after="0"/>
              <w:rPr>
                <w:sz w:val="16"/>
                <w:szCs w:val="16"/>
                <w:color w:val="auto"/>
              </w:rPr>
            </w:pPr>
          </w:p>
        </w:tc>
        <w:tc>
          <w:tcPr>
            <w:tcW w:w="96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420" w:type="dxa"/>
            <w:vAlign w:val="bottom"/>
            <w:tcBorders>
              <w:top w:val="single" w:sz="8" w:color="auto"/>
              <w:bottom w:val="single" w:sz="8" w:color="CCEEFF"/>
            </w:tcBorders>
            <w:shd w:val="clear" w:color="auto" w:fill="CCEEFF"/>
          </w:tcPr>
          <w:p>
            <w:pPr>
              <w:spacing w:after="0"/>
              <w:rPr>
                <w:sz w:val="16"/>
                <w:szCs w:val="16"/>
                <w:color w:val="auto"/>
              </w:rPr>
            </w:pPr>
          </w:p>
        </w:tc>
        <w:tc>
          <w:tcPr>
            <w:tcW w:w="960" w:type="dxa"/>
            <w:vAlign w:val="bottom"/>
            <w:tcBorders>
              <w:top w:val="single" w:sz="8" w:color="auto"/>
              <w:bottom w:val="single" w:sz="8" w:color="CCEEFF"/>
            </w:tcBorders>
            <w:shd w:val="clear" w:color="auto" w:fill="CCEEFF"/>
          </w:tcPr>
          <w:p>
            <w:pPr>
              <w:spacing w:after="0"/>
              <w:rPr>
                <w:sz w:val="16"/>
                <w:szCs w:val="16"/>
                <w:color w:val="auto"/>
              </w:rPr>
            </w:pPr>
          </w:p>
        </w:tc>
      </w:tr>
      <w:tr>
        <w:trPr>
          <w:trHeight w:val="229"/>
        </w:trPr>
        <w:tc>
          <w:tcPr>
            <w:tcW w:w="6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351,023</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(3,510)</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347,513</w:t>
            </w:r>
          </w:p>
        </w:tc>
      </w:tr>
      <w:tr>
        <w:trPr>
          <w:trHeight w:val="230"/>
        </w:trPr>
        <w:tc>
          <w:tcPr>
            <w:tcW w:w="6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income taxes</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23,322</w:t>
            </w:r>
          </w:p>
        </w:tc>
      </w:tr>
      <w:tr>
        <w:trPr>
          <w:trHeight w:val="229"/>
        </w:trPr>
        <w:tc>
          <w:tcPr>
            <w:tcW w:w="6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LIFO charge</w:t>
            </w:r>
          </w:p>
        </w:tc>
        <w:tc>
          <w:tcPr>
            <w:tcW w:w="16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4,443</w:t>
            </w:r>
          </w:p>
        </w:tc>
      </w:tr>
      <w:tr>
        <w:trPr>
          <w:trHeight w:val="230"/>
        </w:trPr>
        <w:tc>
          <w:tcPr>
            <w:tcW w:w="6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taxes payable</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(26,643)</w:t>
            </w:r>
          </w:p>
        </w:tc>
      </w:tr>
      <w:tr>
        <w:trPr>
          <w:trHeight w:val="234"/>
        </w:trPr>
        <w:tc>
          <w:tcPr>
            <w:tcW w:w="61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301,042</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301,042</w:t>
            </w:r>
          </w:p>
        </w:tc>
      </w:tr>
    </w:tbl>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Repurchases</w:t>
      </w:r>
    </w:p>
    <w:p>
      <w:pPr>
        <w:spacing w:after="0" w:line="121" w:lineRule="exact"/>
        <w:rPr>
          <w:sz w:val="20"/>
          <w:szCs w:val="20"/>
          <w:color w:val="auto"/>
        </w:rPr>
      </w:pPr>
    </w:p>
    <w:p>
      <w:pPr>
        <w:jc w:val="both"/>
        <w:ind w:firstLine="401"/>
        <w:spacing w:after="0" w:line="258" w:lineRule="auto"/>
        <w:rPr>
          <w:sz w:val="20"/>
          <w:szCs w:val="20"/>
          <w:color w:val="auto"/>
        </w:rPr>
      </w:pPr>
      <w:r>
        <w:rPr>
          <w:rFonts w:ascii="Times New Roman" w:cs="Times New Roman" w:eastAsia="Times New Roman" w:hAnsi="Times New Roman"/>
          <w:sz w:val="18"/>
          <w:szCs w:val="18"/>
          <w:color w:val="auto"/>
        </w:rPr>
        <w:t>On September 2, 2021, the Board of Directors of the Company authorized a share repurchase program (the "2021 Share Repurchase Program") under which the Company may purchase up to $500 million of its outstanding shares during the three-year period ending September 2, 2024. On June 2, 2022, the Board of Directors of the Company authorized a new share repurchase program (the "2022 Share Repurchase Program") under which the Company may purchase up to $600 million of its outstanding shares during the three-year period ending June 2, 2025. The 2022 Share Repurchase Program and the 2021 Share Repurchase program are collectively referred to as the "Share Repurchase Programs".</w:t>
      </w:r>
    </w:p>
    <w:p>
      <w:pPr>
        <w:spacing w:after="0" w:line="129" w:lineRule="exact"/>
        <w:rPr>
          <w:sz w:val="20"/>
          <w:szCs w:val="20"/>
          <w:color w:val="auto"/>
        </w:rPr>
      </w:pPr>
    </w:p>
    <w:p>
      <w:pPr>
        <w:jc w:val="both"/>
        <w:ind w:firstLine="401"/>
        <w:spacing w:after="0" w:line="256" w:lineRule="auto"/>
        <w:rPr>
          <w:sz w:val="20"/>
          <w:szCs w:val="20"/>
          <w:color w:val="auto"/>
        </w:rPr>
      </w:pPr>
      <w:r>
        <w:rPr>
          <w:rFonts w:ascii="Times New Roman" w:cs="Times New Roman" w:eastAsia="Times New Roman" w:hAnsi="Times New Roman"/>
          <w:sz w:val="18"/>
          <w:szCs w:val="18"/>
          <w:color w:val="auto"/>
        </w:rPr>
        <w:t>Under the Share Repurchase Programs, repurchases can be made using a variety of methods, which may include open market purchases, block trades, privately negotiated transactions, accelerated share repurchase programs and/or a non-discretionary trading plan, all in compliance with the rules of the SEC and other applicable legal requirements. The timing, manner, price and amount of any common share repurchases under the Share Repurchase Programs are determined by the Company in its discretion and depend on a variety of factors, including legal requirements, price and economic and market conditions. The Share Repurchase Programs do not obligate the Company to acquire any particular number of common shares, and the programs may be suspended, extended, modified or discontinued at any time.</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1292" w:right="339" w:bottom="1440" w:gutter="0" w:footer="0" w:header="0"/>
        </w:sectPr>
      </w:pPr>
    </w:p>
    <w:bookmarkStart w:id="10" w:name="page11"/>
    <w:bookmarkEnd w:id="10"/>
    <w:p>
      <w:pPr>
        <w:ind w:left="400"/>
        <w:spacing w:after="0"/>
        <w:rPr>
          <w:sz w:val="20"/>
          <w:szCs w:val="20"/>
          <w:color w:val="auto"/>
        </w:rPr>
      </w:pPr>
      <w:r>
        <w:rPr>
          <w:rFonts w:ascii="Times New Roman" w:cs="Times New Roman" w:eastAsia="Times New Roman" w:hAnsi="Times New Roman"/>
          <w:sz w:val="18"/>
          <w:szCs w:val="18"/>
          <w:color w:val="auto"/>
        </w:rPr>
        <w:t>The following table summarizes our share repurchases for the periods presented: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700" w:type="dxa"/>
            <w:vAlign w:val="bottom"/>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300" w:type="dxa"/>
            <w:vAlign w:val="bottom"/>
          </w:tcPr>
          <w:p>
            <w:pPr>
              <w:spacing w:after="0"/>
              <w:rPr>
                <w:sz w:val="20"/>
                <w:szCs w:val="20"/>
                <w:color w:val="auto"/>
              </w:rPr>
            </w:pPr>
          </w:p>
        </w:tc>
        <w:tc>
          <w:tcPr>
            <w:tcW w:w="2660" w:type="dxa"/>
            <w:vAlign w:val="bottom"/>
            <w:gridSpan w:val="4"/>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Thirty-Nine Weeks Ended</w:t>
            </w:r>
          </w:p>
        </w:tc>
      </w:tr>
      <w:tr>
        <w:trPr>
          <w:trHeight w:val="223"/>
        </w:trPr>
        <w:tc>
          <w:tcPr>
            <w:tcW w:w="4520" w:type="dxa"/>
            <w:vAlign w:val="bottom"/>
          </w:tcPr>
          <w:p>
            <w:pPr>
              <w:spacing w:after="0"/>
              <w:rPr>
                <w:sz w:val="19"/>
                <w:szCs w:val="19"/>
                <w:color w:val="auto"/>
              </w:rPr>
            </w:pPr>
          </w:p>
        </w:tc>
        <w:tc>
          <w:tcPr>
            <w:tcW w:w="1520" w:type="dxa"/>
            <w:vAlign w:val="bottom"/>
            <w:tcBorders>
              <w:top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October 28, 2023</w:t>
            </w:r>
          </w:p>
        </w:tc>
        <w:tc>
          <w:tcPr>
            <w:tcW w:w="14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October 29, 2022</w:t>
            </w:r>
          </w:p>
        </w:tc>
        <w:tc>
          <w:tcPr>
            <w:tcW w:w="80" w:type="dxa"/>
            <w:vAlign w:val="bottom"/>
          </w:tcPr>
          <w:p>
            <w:pPr>
              <w:spacing w:after="0"/>
              <w:rPr>
                <w:sz w:val="19"/>
                <w:szCs w:val="19"/>
                <w:color w:val="auto"/>
              </w:rPr>
            </w:pPr>
          </w:p>
        </w:tc>
        <w:tc>
          <w:tcPr>
            <w:tcW w:w="1540" w:type="dxa"/>
            <w:vAlign w:val="bottom"/>
            <w:tcBorders>
              <w:top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October 28, 2023</w:t>
            </w:r>
          </w:p>
        </w:tc>
        <w:tc>
          <w:tcPr>
            <w:tcW w:w="14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October 29, 2022</w:t>
            </w:r>
          </w:p>
        </w:tc>
      </w:tr>
      <w:tr>
        <w:trPr>
          <w:trHeight w:val="223"/>
        </w:trPr>
        <w:tc>
          <w:tcPr>
            <w:tcW w:w="4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repurchased</w:t>
            </w:r>
          </w:p>
        </w:tc>
        <w:tc>
          <w:tcPr>
            <w:tcW w:w="3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863,631</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2,176,463</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3,607,705</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9,999,704</w:t>
            </w:r>
          </w:p>
        </w:tc>
      </w:tr>
      <w:tr>
        <w:trPr>
          <w:trHeight w:val="306"/>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Aggregate amount paid (amounts in millions) </w:t>
            </w:r>
            <w:r>
              <w:rPr>
                <w:rFonts w:ascii="Times New Roman" w:cs="Times New Roman" w:eastAsia="Times New Roman" w:hAnsi="Times New Roman"/>
                <w:sz w:val="23"/>
                <w:szCs w:val="23"/>
                <w:color w:val="auto"/>
                <w:vertAlign w:val="superscript"/>
              </w:rPr>
              <w:t>(1)</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43.9</w:t>
            </w:r>
          </w:p>
        </w:tc>
        <w:tc>
          <w:tcPr>
            <w:tcW w:w="100" w:type="dxa"/>
            <w:vAlign w:val="bottom"/>
          </w:tcPr>
          <w:p>
            <w:pPr>
              <w:spacing w:after="0"/>
              <w:rPr>
                <w:sz w:val="24"/>
                <w:szCs w:val="24"/>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8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4"/>
                <w:szCs w:val="24"/>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389.4</w:t>
            </w:r>
          </w:p>
        </w:tc>
      </w:tr>
    </w:tbl>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 Includes estimated excise tax fees of $0.3 million and $1.5 million for the thirteen and thirty-nine weeks ended October 28, 2023, respectively.</w:t>
      </w:r>
    </w:p>
    <w:p>
      <w:pPr>
        <w:spacing w:after="0" w:line="235" w:lineRule="exact"/>
        <w:rPr>
          <w:sz w:val="20"/>
          <w:szCs w:val="20"/>
          <w:color w:val="auto"/>
        </w:rPr>
      </w:pPr>
    </w:p>
    <w:p>
      <w:pPr>
        <w:jc w:val="both"/>
        <w:ind w:firstLine="401"/>
        <w:spacing w:after="0" w:line="282" w:lineRule="auto"/>
        <w:rPr>
          <w:sz w:val="20"/>
          <w:szCs w:val="20"/>
          <w:color w:val="auto"/>
        </w:rPr>
      </w:pPr>
      <w:r>
        <w:rPr>
          <w:rFonts w:ascii="Times New Roman" w:cs="Times New Roman" w:eastAsia="Times New Roman" w:hAnsi="Times New Roman"/>
          <w:sz w:val="18"/>
          <w:szCs w:val="18"/>
          <w:color w:val="auto"/>
        </w:rPr>
        <w:t>As of October 28, 2023, we no longer had availability under the 2021 Share Repurchase Program, and we had $99.4 million available for share repurchases pursuant to the 2022 Share Repurchase Program.</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Supplier Finance Programs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September 2022, the FASB issued ASU 2022-04: Liabilities - Supplier Finance Programs Disclosure of Supplier Finance Program Obligations. This pronouncement requires that a buyer in a supplier finance program disclose sufficient information about the program to allow a user of the financial statements to understand the program's nature, activity during the period, changes from period to period and potential magnitude. The Company adopted the new guidance as of January 29, 2023.</w:t>
      </w:r>
    </w:p>
    <w:p>
      <w:pPr>
        <w:spacing w:after="0" w:line="126"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We have previously entered into a supply chain financing arrangement with a third-party financial institution, whereby certain suppliers have the ability to settle outstanding payment obligations earlier than the due date required by our original supplier terms. Subsequently, we settle invoices with the financial institution within 45 days, which approximates our original supplier terms. The Company does not have an economic interest in suppliers’ voluntary participation, does not provide any guarantees or pledge assets under these arrangements, and our rights and obligations to our suppliers, including amounts due, are not impacted. Our liability associated with these arrangements, which is presented within accounts payable on the consolidated balance sheets, was $6.9 million, $9.0 million and $6.8 million as of October 28, 2023, January 28, 2023 and October 29, 2022, respectively.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Reference Rate Reform</w:t>
      </w:r>
    </w:p>
    <w:p>
      <w:pPr>
        <w:spacing w:after="0" w:line="241" w:lineRule="exact"/>
        <w:rPr>
          <w:sz w:val="20"/>
          <w:szCs w:val="20"/>
          <w:color w:val="auto"/>
        </w:rPr>
      </w:pPr>
    </w:p>
    <w:p>
      <w:pPr>
        <w:jc w:val="both"/>
        <w:ind w:firstLine="324"/>
        <w:spacing w:after="0" w:line="237" w:lineRule="auto"/>
        <w:rPr>
          <w:sz w:val="20"/>
          <w:szCs w:val="20"/>
          <w:color w:val="auto"/>
        </w:rPr>
      </w:pPr>
      <w:r>
        <w:rPr>
          <w:rFonts w:ascii="Times New Roman" w:cs="Times New Roman" w:eastAsia="Times New Roman" w:hAnsi="Times New Roman"/>
          <w:sz w:val="18"/>
          <w:szCs w:val="18"/>
          <w:color w:val="auto"/>
        </w:rPr>
        <w:t>In March 2020, the FASB issued ASU 2020-04: Facilitation of the Effects of Reference Rate Reform on Financial Reporting. This pronouncement provides temporary optional expedients and exceptions to the current guidance on contract modifications and hedge accounting to ease the financial reporting burden related to the expected market transition from the London Interbank Offered Rate ("LIBOR") and other interbank offered rates to alternative reference rates. In December 2022, the FASB issued ASU 2022-06 which extended the effectiveness of this guidance to December 31, 2024. The Company elected to utilize these optional expedients in connection with the amendments to our ABL Facility and Term Loan, which transitioned the facility from LIBOR to the Secured Overnight Financing Rate (“SOFR”) on March 30, 2023 and August 1, 2023, respectively (see Note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1255"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3. Net Sales</w:t>
      </w:r>
    </w:p>
    <w:p>
      <w:pPr>
        <w:spacing w:after="0" w:line="175" w:lineRule="exact"/>
        <w:rPr>
          <w:sz w:val="20"/>
          <w:szCs w:val="20"/>
          <w:color w:val="auto"/>
        </w:rPr>
      </w:pPr>
    </w:p>
    <w:p>
      <w:pPr>
        <w:jc w:val="both"/>
        <w:ind w:left="260" w:firstLine="324"/>
        <w:spacing w:after="0" w:line="266" w:lineRule="auto"/>
        <w:rPr>
          <w:sz w:val="20"/>
          <w:szCs w:val="20"/>
          <w:color w:val="auto"/>
        </w:rPr>
      </w:pPr>
      <w:r>
        <w:rPr>
          <w:rFonts w:ascii="Times New Roman" w:cs="Times New Roman" w:eastAsia="Times New Roman" w:hAnsi="Times New Roman"/>
          <w:sz w:val="18"/>
          <w:szCs w:val="18"/>
          <w:color w:val="auto"/>
        </w:rPr>
        <w:t>Revenue from merchandise sales is recognized, net of sales tax, when the Company’s performance obligation to the customer is met, which is when the Company transfers control of the merchandise to the customer. Store merchandise sales are recognized at the point of sale and e-commerce sales are recognized upon delivery to the customer.</w:t>
      </w:r>
    </w:p>
    <w:p>
      <w:pPr>
        <w:spacing w:after="0" w:line="1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following table sets forth the approximate amount of sales by merchandise divisions for the periods presented (amounts in thousands):</w:t>
      </w:r>
    </w:p>
    <w:p>
      <w:pPr>
        <w:spacing w:after="0" w:line="208" w:lineRule="exact"/>
        <w:rPr>
          <w:sz w:val="20"/>
          <w:szCs w:val="20"/>
          <w:color w:val="auto"/>
        </w:rPr>
      </w:pPr>
    </w:p>
    <w:tbl>
      <w:tblPr>
        <w:tblLayout w:type="fixed"/>
        <w:tblInd w:w="260" w:type="dxa"/>
        <w:tblCellMar>
          <w:top w:w="0" w:type="dxa"/>
          <w:left w:w="0" w:type="dxa"/>
          <w:bottom w:w="0" w:type="dxa"/>
          <w:right w:w="0" w:type="dxa"/>
        </w:tblCellMar>
      </w:tblPr>
      <w:tr>
        <w:trPr>
          <w:trHeight w:val="238"/>
        </w:trPr>
        <w:tc>
          <w:tcPr>
            <w:tcW w:w="3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380" w:type="dxa"/>
            <w:vAlign w:val="bottom"/>
            <w:gridSpan w:val="5"/>
          </w:tcPr>
          <w:p>
            <w:pPr>
              <w:ind w:left="70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160" w:type="dxa"/>
            <w:vAlign w:val="bottom"/>
          </w:tcPr>
          <w:p>
            <w:pPr>
              <w:spacing w:after="0"/>
              <w:rPr>
                <w:sz w:val="20"/>
                <w:szCs w:val="20"/>
                <w:color w:val="auto"/>
              </w:rPr>
            </w:pPr>
          </w:p>
        </w:tc>
        <w:tc>
          <w:tcPr>
            <w:tcW w:w="3300" w:type="dxa"/>
            <w:vAlign w:val="bottom"/>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Thirty-Nine Weeks Ended</w:t>
            </w:r>
          </w:p>
        </w:tc>
      </w:tr>
      <w:tr>
        <w:trPr>
          <w:trHeight w:val="223"/>
        </w:trPr>
        <w:tc>
          <w:tcPr>
            <w:tcW w:w="38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October 28, 2023</w:t>
            </w:r>
          </w:p>
        </w:tc>
        <w:tc>
          <w:tcPr>
            <w:tcW w:w="14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October 29, 2022</w:t>
            </w: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October 28, 2023</w:t>
            </w:r>
          </w:p>
        </w:tc>
        <w:tc>
          <w:tcPr>
            <w:tcW w:w="14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October 29, 2022</w:t>
            </w:r>
          </w:p>
        </w:tc>
      </w:tr>
      <w:tr>
        <w:trPr>
          <w:trHeight w:val="209"/>
        </w:trPr>
        <w:tc>
          <w:tcPr>
            <w:tcW w:w="3860" w:type="dxa"/>
            <w:vAlign w:val="bottom"/>
            <w:tcBorders>
              <w:top w:val="single" w:sz="8" w:color="CCEEFF"/>
            </w:tcBorders>
            <w:shd w:val="clear" w:color="auto" w:fill="CCEEFF"/>
          </w:tcPr>
          <w:p>
            <w:pPr>
              <w:ind w:left="20"/>
              <w:spacing w:after="0" w:line="210" w:lineRule="exact"/>
              <w:rPr>
                <w:sz w:val="20"/>
                <w:szCs w:val="20"/>
                <w:color w:val="auto"/>
              </w:rPr>
            </w:pPr>
            <w:r>
              <w:rPr>
                <w:rFonts w:ascii="Times New Roman" w:cs="Times New Roman" w:eastAsia="Times New Roman" w:hAnsi="Times New Roman"/>
                <w:sz w:val="18"/>
                <w:szCs w:val="18"/>
                <w:color w:val="auto"/>
              </w:rPr>
              <w:t xml:space="preserve">Merchandise division sales </w:t>
            </w:r>
            <w:r>
              <w:rPr>
                <w:rFonts w:ascii="Times New Roman" w:cs="Times New Roman" w:eastAsia="Times New Roman" w:hAnsi="Times New Roman"/>
                <w:sz w:val="23"/>
                <w:szCs w:val="23"/>
                <w:color w:val="auto"/>
                <w:vertAlign w:val="superscript"/>
              </w:rPr>
              <w:t>(1)</w:t>
            </w:r>
          </w:p>
        </w:tc>
        <w:tc>
          <w:tcPr>
            <w:tcW w:w="14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r>
      <w:tr>
        <w:trPr>
          <w:trHeight w:val="229"/>
        </w:trPr>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Outdoors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440,330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472,961</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1,261,700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1,423,496</w:t>
            </w:r>
          </w:p>
        </w:tc>
      </w:tr>
      <w:tr>
        <w:trPr>
          <w:trHeight w:val="230"/>
        </w:trPr>
        <w:tc>
          <w:tcPr>
            <w:tcW w:w="3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Sports and recreation</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266,870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274,315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1,000,154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1,028,786</w:t>
            </w:r>
          </w:p>
        </w:tc>
      </w:tr>
      <w:tr>
        <w:trPr>
          <w:trHeight w:val="229"/>
        </w:trPr>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Apparel</w:t>
            </w: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373,991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401,891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1,165,663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1,207,979</w:t>
            </w:r>
          </w:p>
        </w:tc>
      </w:tr>
      <w:tr>
        <w:trPr>
          <w:trHeight w:val="230"/>
        </w:trPr>
        <w:tc>
          <w:tcPr>
            <w:tcW w:w="3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Footwear</w:t>
            </w:r>
          </w:p>
        </w:tc>
        <w:tc>
          <w:tcPr>
            <w:tcW w:w="1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308,785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336,297</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913,077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961,940</w:t>
            </w:r>
          </w:p>
        </w:tc>
      </w:tr>
      <w:tr>
        <w:trPr>
          <w:trHeight w:val="223"/>
        </w:trPr>
        <w:tc>
          <w:tcPr>
            <w:tcW w:w="3860" w:type="dxa"/>
            <w:vAlign w:val="bottom"/>
          </w:tcPr>
          <w:p>
            <w:pPr>
              <w:ind w:left="440"/>
              <w:spacing w:after="0" w:line="223" w:lineRule="exact"/>
              <w:rPr>
                <w:sz w:val="20"/>
                <w:szCs w:val="20"/>
                <w:color w:val="auto"/>
              </w:rPr>
            </w:pPr>
            <w:r>
              <w:rPr>
                <w:rFonts w:ascii="Times New Roman" w:cs="Times New Roman" w:eastAsia="Times New Roman" w:hAnsi="Times New Roman"/>
                <w:sz w:val="18"/>
                <w:szCs w:val="18"/>
                <w:color w:val="auto"/>
              </w:rPr>
              <w:t xml:space="preserve">Total merchandise sales </w:t>
            </w:r>
            <w:r>
              <w:rPr>
                <w:rFonts w:ascii="Times New Roman" w:cs="Times New Roman" w:eastAsia="Times New Roman" w:hAnsi="Times New Roman"/>
                <w:sz w:val="23"/>
                <w:szCs w:val="23"/>
                <w:color w:val="auto"/>
                <w:vertAlign w:val="superscript"/>
              </w:rPr>
              <w:t>(2)</w:t>
            </w: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1,389,976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1,485,464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4,340,594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4,622,201</w:t>
            </w:r>
          </w:p>
        </w:tc>
      </w:tr>
      <w:tr>
        <w:trPr>
          <w:trHeight w:val="230"/>
        </w:trPr>
        <w:tc>
          <w:tcPr>
            <w:tcW w:w="38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sales </w:t>
            </w:r>
            <w:r>
              <w:rPr>
                <w:rFonts w:ascii="Times New Roman" w:cs="Times New Roman" w:eastAsia="Times New Roman" w:hAnsi="Times New Roman"/>
                <w:sz w:val="23"/>
                <w:szCs w:val="23"/>
                <w:color w:val="auto"/>
                <w:vertAlign w:val="superscript"/>
              </w:rPr>
              <w:t>(3)</w:t>
            </w:r>
          </w:p>
        </w:tc>
        <w:tc>
          <w:tcPr>
            <w:tcW w:w="1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7,801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8,461</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23,869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26,369</w:t>
            </w:r>
          </w:p>
        </w:tc>
      </w:tr>
      <w:tr>
        <w:trPr>
          <w:trHeight w:val="223"/>
        </w:trPr>
        <w:tc>
          <w:tcPr>
            <w:tcW w:w="3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Net Sales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1,397,777</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1,493,925</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4,364,463</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4,648,570</w:t>
            </w:r>
          </w:p>
        </w:tc>
      </w:tr>
      <w:tr>
        <w:trPr>
          <w:trHeight w:val="21"/>
        </w:trPr>
        <w:tc>
          <w:tcPr>
            <w:tcW w:w="3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jc w:val="both"/>
        <w:ind w:left="500" w:hanging="248"/>
        <w:spacing w:after="0" w:line="261" w:lineRule="auto"/>
        <w:tabs>
          <w:tab w:leader="none" w:pos="4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products and categories were recategorized amongst various categories and divisions, respectively, to better align with our current merchandising strategy and view of the business. As a result, we have reclassified sales between divisions in the thirteen and thirty-nine weeks ended October 29, 2022, for comparability purposes. This reclassification is in divisional presentation only and did not impact the overall net sales balances previously disclosed (see Note 2).</w:t>
      </w:r>
    </w:p>
    <w:p>
      <w:pPr>
        <w:ind w:left="500" w:hanging="248"/>
        <w:spacing w:after="0" w:line="261" w:lineRule="auto"/>
        <w:tabs>
          <w:tab w:leader="none" w:pos="472"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E-commerce sales consisted of 9.4% and 9.0% of merchandise sales for the thirteen and thirty-nine weeks ended October 28, 2023, respectively, and 9.5% and 9.7% for thirteen and thirty-nine weeks ended October 29, 2022, respectively.</w:t>
      </w:r>
    </w:p>
    <w:p>
      <w:pPr>
        <w:ind w:left="500" w:hanging="248"/>
        <w:spacing w:after="0" w:line="263" w:lineRule="auto"/>
        <w:tabs>
          <w:tab w:leader="none" w:pos="465"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sales consisted primarily of the gift card breakage income, credit card bounties and royalties, shipping income, net hunting and fishing license income, sales return allowance and other items.</w:t>
      </w:r>
    </w:p>
    <w:p>
      <w:pPr>
        <w:spacing w:after="0" w:line="138" w:lineRule="exact"/>
        <w:rPr>
          <w:sz w:val="20"/>
          <w:szCs w:val="20"/>
          <w:color w:val="auto"/>
        </w:rPr>
      </w:pPr>
    </w:p>
    <w:p>
      <w:pPr>
        <w:jc w:val="both"/>
        <w:ind w:left="260" w:firstLine="324"/>
        <w:spacing w:after="0" w:line="266" w:lineRule="auto"/>
        <w:rPr>
          <w:sz w:val="20"/>
          <w:szCs w:val="20"/>
          <w:color w:val="auto"/>
        </w:rPr>
      </w:pPr>
      <w:r>
        <w:rPr>
          <w:rFonts w:ascii="Times New Roman" w:cs="Times New Roman" w:eastAsia="Times New Roman" w:hAnsi="Times New Roman"/>
          <w:sz w:val="18"/>
          <w:szCs w:val="18"/>
          <w:color w:val="auto"/>
        </w:rPr>
        <w:t>We sell gift cards in stores, online and in third-party retail locations. A liability for gift cards, which is recorded in accrued expenses and other liabilities on our consolidated balance sheets is established at the time of sale and revenues are recognized as the gift cards are redeemed in stores or on our website.</w:t>
      </w:r>
    </w:p>
    <w:p>
      <w:pPr>
        <w:spacing w:after="0" w:line="1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following is a reconciliation of the gift card liability (amounts in thousands):</w:t>
      </w:r>
    </w:p>
    <w:p>
      <w:pPr>
        <w:spacing w:after="0" w:line="46" w:lineRule="exact"/>
        <w:rPr>
          <w:sz w:val="20"/>
          <w:szCs w:val="20"/>
          <w:color w:val="auto"/>
        </w:rPr>
      </w:pPr>
    </w:p>
    <w:tbl>
      <w:tblPr>
        <w:tblLayout w:type="fixed"/>
        <w:tblInd w:w="260" w:type="dxa"/>
        <w:tblCellMar>
          <w:top w:w="0" w:type="dxa"/>
          <w:left w:w="0" w:type="dxa"/>
          <w:bottom w:w="0" w:type="dxa"/>
          <w:right w:w="0" w:type="dxa"/>
        </w:tblCellMar>
      </w:tblPr>
      <w:tr>
        <w:trPr>
          <w:trHeight w:val="238"/>
        </w:trPr>
        <w:tc>
          <w:tcPr>
            <w:tcW w:w="3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80" w:type="dxa"/>
            <w:vAlign w:val="bottom"/>
            <w:gridSpan w:val="5"/>
          </w:tcPr>
          <w:p>
            <w:pPr>
              <w:ind w:left="64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140" w:type="dxa"/>
            <w:vAlign w:val="bottom"/>
          </w:tcPr>
          <w:p>
            <w:pPr>
              <w:spacing w:after="0"/>
              <w:rPr>
                <w:sz w:val="20"/>
                <w:szCs w:val="20"/>
                <w:color w:val="auto"/>
              </w:rPr>
            </w:pPr>
          </w:p>
        </w:tc>
        <w:tc>
          <w:tcPr>
            <w:tcW w:w="3200" w:type="dxa"/>
            <w:vAlign w:val="bottom"/>
            <w:gridSpan w:val="4"/>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Thirty-Nine Weeks Ended</w:t>
            </w:r>
          </w:p>
        </w:tc>
      </w:tr>
      <w:tr>
        <w:trPr>
          <w:trHeight w:val="223"/>
        </w:trPr>
        <w:tc>
          <w:tcPr>
            <w:tcW w:w="37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October 28, 2023</w:t>
            </w:r>
          </w:p>
        </w:tc>
        <w:tc>
          <w:tcPr>
            <w:tcW w:w="12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October 29, 2022</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October 28, 2023</w:t>
            </w:r>
          </w:p>
        </w:tc>
        <w:tc>
          <w:tcPr>
            <w:tcW w:w="14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October 29, 2022</w:t>
            </w:r>
          </w:p>
        </w:tc>
      </w:tr>
      <w:tr>
        <w:trPr>
          <w:trHeight w:val="223"/>
        </w:trPr>
        <w:tc>
          <w:tcPr>
            <w:tcW w:w="3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Gift card liability, beginning balance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74,750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69,959</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90,650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86,568</w:t>
            </w:r>
          </w:p>
        </w:tc>
      </w:tr>
      <w:tr>
        <w:trPr>
          <w:trHeight w:val="223"/>
        </w:trPr>
        <w:tc>
          <w:tcPr>
            <w:tcW w:w="3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Issued</w:t>
            </w: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18,855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18,288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61,968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63,164</w:t>
            </w:r>
          </w:p>
        </w:tc>
      </w:tr>
      <w:tr>
        <w:trPr>
          <w:trHeight w:val="230"/>
        </w:trPr>
        <w:tc>
          <w:tcPr>
            <w:tcW w:w="3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Redeemed</w:t>
            </w: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(20,835)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(21,023)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(77,626)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(80,668)</w:t>
            </w:r>
          </w:p>
        </w:tc>
      </w:tr>
      <w:tr>
        <w:trPr>
          <w:trHeight w:val="229"/>
        </w:trPr>
        <w:tc>
          <w:tcPr>
            <w:tcW w:w="37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Recognized as breakage income</w:t>
            </w:r>
          </w:p>
        </w:tc>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(921)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(3,143)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(2,520)</w:t>
            </w:r>
          </w:p>
        </w:tc>
      </w:tr>
      <w:tr>
        <w:trPr>
          <w:trHeight w:val="248"/>
        </w:trPr>
        <w:tc>
          <w:tcPr>
            <w:tcW w:w="3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Gift card liability, ending balance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71,849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66,544</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71,849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66,544</w:t>
            </w: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332"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8"/>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4. Long-Term Debt</w:t>
            </w:r>
          </w:p>
        </w:tc>
        <w:tc>
          <w:tcPr>
            <w:tcW w:w="1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459"/>
        </w:trPr>
        <w:tc>
          <w:tcPr>
            <w:tcW w:w="260" w:type="dxa"/>
            <w:vAlign w:val="bottom"/>
          </w:tcPr>
          <w:p>
            <w:pPr>
              <w:spacing w:after="0"/>
              <w:rPr>
                <w:sz w:val="24"/>
                <w:szCs w:val="24"/>
                <w:color w:val="auto"/>
              </w:rPr>
            </w:pPr>
          </w:p>
        </w:tc>
        <w:tc>
          <w:tcPr>
            <w:tcW w:w="51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Our debt consisted of the following (amounts in thousands) as of:</w:t>
            </w: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56"/>
        </w:trPr>
        <w:tc>
          <w:tcPr>
            <w:tcW w:w="260" w:type="dxa"/>
            <w:vAlign w:val="bottom"/>
          </w:tcPr>
          <w:p>
            <w:pPr>
              <w:spacing w:after="0"/>
              <w:rPr>
                <w:sz w:val="22"/>
                <w:szCs w:val="22"/>
                <w:color w:val="auto"/>
              </w:rPr>
            </w:pPr>
          </w:p>
        </w:tc>
        <w:tc>
          <w:tcPr>
            <w:tcW w:w="5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October 28, 2023</w:t>
            </w:r>
          </w:p>
        </w:tc>
        <w:tc>
          <w:tcPr>
            <w:tcW w:w="160" w:type="dxa"/>
            <w:vAlign w:val="bottom"/>
          </w:tcPr>
          <w:p>
            <w:pPr>
              <w:spacing w:after="0"/>
              <w:rPr>
                <w:sz w:val="22"/>
                <w:szCs w:val="22"/>
                <w:color w:val="auto"/>
              </w:rPr>
            </w:pPr>
          </w:p>
        </w:tc>
        <w:tc>
          <w:tcPr>
            <w:tcW w:w="16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January 28, 2023</w:t>
            </w:r>
          </w:p>
        </w:tc>
        <w:tc>
          <w:tcPr>
            <w:tcW w:w="160" w:type="dxa"/>
            <w:vAlign w:val="bottom"/>
          </w:tcPr>
          <w:p>
            <w:pPr>
              <w:spacing w:after="0"/>
              <w:rPr>
                <w:sz w:val="22"/>
                <w:szCs w:val="22"/>
                <w:color w:val="auto"/>
              </w:rPr>
            </w:pPr>
          </w:p>
        </w:tc>
        <w:tc>
          <w:tcPr>
            <w:tcW w:w="15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October 29, 2022</w:t>
            </w:r>
          </w:p>
        </w:tc>
      </w:tr>
      <w:tr>
        <w:trPr>
          <w:trHeight w:val="223"/>
        </w:trPr>
        <w:tc>
          <w:tcPr>
            <w:tcW w:w="260" w:type="dxa"/>
            <w:vAlign w:val="bottom"/>
          </w:tcPr>
          <w:p>
            <w:pPr>
              <w:spacing w:after="0"/>
              <w:rPr>
                <w:sz w:val="19"/>
                <w:szCs w:val="19"/>
                <w:color w:val="auto"/>
              </w:rPr>
            </w:pPr>
          </w:p>
        </w:tc>
        <w:tc>
          <w:tcPr>
            <w:tcW w:w="5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ABL Facility, due November 2025</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60" w:type="dxa"/>
            <w:vAlign w:val="bottom"/>
          </w:tcPr>
          <w:p>
            <w:pPr>
              <w:spacing w:after="0"/>
              <w:rPr>
                <w:sz w:val="19"/>
                <w:szCs w:val="19"/>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Loan, due November 2027</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192,500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194,750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295,500</w:t>
            </w:r>
          </w:p>
        </w:tc>
      </w:tr>
      <w:tr>
        <w:trPr>
          <w:trHeight w:val="230"/>
        </w:trPr>
        <w:tc>
          <w:tcPr>
            <w:tcW w:w="260" w:type="dxa"/>
            <w:vAlign w:val="bottom"/>
          </w:tcPr>
          <w:p>
            <w:pPr>
              <w:spacing w:after="0"/>
              <w:rPr>
                <w:sz w:val="19"/>
                <w:szCs w:val="19"/>
                <w:color w:val="auto"/>
              </w:rPr>
            </w:pPr>
          </w:p>
        </w:tc>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due November 2027</w:t>
            </w:r>
          </w:p>
        </w:tc>
        <w:tc>
          <w:tcPr>
            <w:tcW w:w="1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400,000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r>
      <w:tr>
        <w:trPr>
          <w:trHeight w:val="223"/>
        </w:trPr>
        <w:tc>
          <w:tcPr>
            <w:tcW w:w="260" w:type="dxa"/>
            <w:vAlign w:val="bottom"/>
          </w:tcPr>
          <w:p>
            <w:pPr>
              <w:spacing w:after="0"/>
              <w:rPr>
                <w:sz w:val="19"/>
                <w:szCs w:val="19"/>
                <w:color w:val="auto"/>
              </w:rPr>
            </w:pPr>
          </w:p>
        </w:tc>
        <w:tc>
          <w:tcPr>
            <w:tcW w:w="5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debt</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592,500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594,750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695,500</w:t>
            </w:r>
          </w:p>
        </w:tc>
      </w:tr>
      <w:tr>
        <w:trPr>
          <w:trHeight w:val="230"/>
        </w:trPr>
        <w:tc>
          <w:tcPr>
            <w:tcW w:w="260" w:type="dxa"/>
            <w:vAlign w:val="bottom"/>
          </w:tcPr>
          <w:p>
            <w:pPr>
              <w:spacing w:after="0"/>
              <w:rPr>
                <w:sz w:val="19"/>
                <w:szCs w:val="19"/>
                <w:color w:val="auto"/>
              </w:rPr>
            </w:pPr>
          </w:p>
        </w:tc>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maturities</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r>
      <w:tr>
        <w:trPr>
          <w:trHeight w:val="229"/>
        </w:trPr>
        <w:tc>
          <w:tcPr>
            <w:tcW w:w="260" w:type="dxa"/>
            <w:vAlign w:val="bottom"/>
          </w:tcPr>
          <w:p>
            <w:pPr>
              <w:spacing w:after="0"/>
              <w:rPr>
                <w:sz w:val="19"/>
                <w:szCs w:val="19"/>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unamortized discount on Term Loan</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(1,124)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(2,135)</w:t>
            </w:r>
          </w:p>
        </w:tc>
      </w:tr>
      <w:tr>
        <w:trPr>
          <w:trHeight w:val="229"/>
        </w:trPr>
        <w:tc>
          <w:tcPr>
            <w:tcW w:w="260" w:type="dxa"/>
            <w:vAlign w:val="bottom"/>
          </w:tcPr>
          <w:p>
            <w:pPr>
              <w:spacing w:after="0"/>
              <w:rPr>
                <w:sz w:val="19"/>
                <w:szCs w:val="19"/>
                <w:color w:val="auto"/>
              </w:rPr>
            </w:pPr>
          </w:p>
        </w:tc>
        <w:tc>
          <w:tcPr>
            <w:tcW w:w="51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Less deferred loan costs </w:t>
            </w:r>
            <w:r>
              <w:rPr>
                <w:rFonts w:ascii="Times New Roman" w:cs="Times New Roman" w:eastAsia="Times New Roman" w:hAnsi="Times New Roman"/>
                <w:sz w:val="23"/>
                <w:szCs w:val="23"/>
                <w:color w:val="auto"/>
                <w:vertAlign w:val="superscript"/>
              </w:rPr>
              <w:t>(1)</w:t>
            </w:r>
          </w:p>
        </w:tc>
        <w:tc>
          <w:tcPr>
            <w:tcW w:w="1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(5,012)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(7,562)</w:t>
            </w:r>
          </w:p>
        </w:tc>
      </w:tr>
      <w:tr>
        <w:trPr>
          <w:trHeight w:val="223"/>
        </w:trPr>
        <w:tc>
          <w:tcPr>
            <w:tcW w:w="260" w:type="dxa"/>
            <w:vAlign w:val="bottom"/>
          </w:tcPr>
          <w:p>
            <w:pPr>
              <w:spacing w:after="0"/>
              <w:rPr>
                <w:sz w:val="19"/>
                <w:szCs w:val="19"/>
                <w:color w:val="auto"/>
              </w:rPr>
            </w:pPr>
          </w:p>
        </w:tc>
        <w:tc>
          <w:tcPr>
            <w:tcW w:w="5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Long-term debt, net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583,364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584,456</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682,803</w:t>
            </w:r>
          </w:p>
        </w:tc>
      </w:tr>
      <w:tr>
        <w:trPr>
          <w:trHeight w:val="21"/>
        </w:trPr>
        <w:tc>
          <w:tcPr>
            <w:tcW w:w="26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(1) Deferred loan costs are related to the Term Loan and Notes.</w:t>
      </w:r>
    </w:p>
    <w:p>
      <w:pPr>
        <w:spacing w:after="0" w:line="167" w:lineRule="exact"/>
        <w:rPr>
          <w:sz w:val="20"/>
          <w:szCs w:val="20"/>
          <w:color w:val="auto"/>
        </w:rPr>
      </w:pPr>
    </w:p>
    <w:p>
      <w:pPr>
        <w:jc w:val="both"/>
        <w:ind w:left="260" w:firstLine="324"/>
        <w:spacing w:after="0" w:line="255" w:lineRule="auto"/>
        <w:rPr>
          <w:sz w:val="20"/>
          <w:szCs w:val="20"/>
          <w:color w:val="auto"/>
        </w:rPr>
      </w:pPr>
      <w:r>
        <w:rPr>
          <w:rFonts w:ascii="Times New Roman" w:cs="Times New Roman" w:eastAsia="Times New Roman" w:hAnsi="Times New Roman"/>
          <w:sz w:val="18"/>
          <w:szCs w:val="18"/>
          <w:color w:val="auto"/>
        </w:rPr>
        <w:t>As of October 28, 2023, January 28, 2023 and October 29, 2022, the balance in deferred loan costs related to the ABL Facility (as defined below) was approximately $2.3 million, $3.2 million and $3.5 million, respectively, and was included in other noncurrent assets on our consolidated balance sheets. Total amortization of deferred loan costs was $0.6 million and $1.8 million for the thirteen and thirty-nine weeks ended October 28, 2023, respectively, and $0.7 million and $2.0 million for the thirteen and thirty-nine weeks ended October 29, 2022, respectively. Total expenses related to accretion of original issuance discount was $0.1 million and $0.2 million for the thirteen and thirty-nine weeks ended October 28, 2023, respectively, and $0.1 million and $0.3 million for the thirteen and thirty-nine weeks ended October 29, 2022, respectively. The expenses related to amortization of deferred loan costs and accretion of original issuance discount are included in interest expense, net on the consolidated statements of income.</w:t>
      </w:r>
    </w:p>
    <w:p>
      <w:pPr>
        <w:spacing w:after="0" w:line="13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Term Loan</w:t>
      </w:r>
    </w:p>
    <w:p>
      <w:pPr>
        <w:spacing w:after="0" w:line="25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We refer to the 2020 Term Loan and the Amendment collectively as the "Term Loan".</w:t>
      </w:r>
    </w:p>
    <w:p>
      <w:pPr>
        <w:spacing w:after="0" w:line="171" w:lineRule="exact"/>
        <w:rPr>
          <w:sz w:val="20"/>
          <w:szCs w:val="20"/>
          <w:color w:val="auto"/>
        </w:rPr>
      </w:pPr>
    </w:p>
    <w:p>
      <w:pPr>
        <w:jc w:val="both"/>
        <w:ind w:left="260" w:firstLine="324"/>
        <w:spacing w:after="0" w:line="256" w:lineRule="auto"/>
        <w:rPr>
          <w:sz w:val="20"/>
          <w:szCs w:val="20"/>
          <w:color w:val="auto"/>
        </w:rPr>
      </w:pPr>
      <w:r>
        <w:rPr>
          <w:rFonts w:ascii="Times New Roman" w:cs="Times New Roman" w:eastAsia="Times New Roman" w:hAnsi="Times New Roman"/>
          <w:sz w:val="18"/>
          <w:szCs w:val="18"/>
          <w:color w:val="auto"/>
        </w:rPr>
        <w:t>On November 6, 2020, Academy, Ltd. entered into a seven-year $400.0 million senior secured term loan (the "2020 Term Loan"). On May 25, 2021, Academy, Ltd. entered into Amendment No. 4 (the “Amendment”) to the Second Amended and Restated Credit Agreement, dated as of November 6, 2020, among Academy, Ltd., as Borrower, Credit Suisse AG, Cayman Islands Branch, as the administrative agent and collateral agent, the several lenders party thereto and the several other parties named therein. Under the Amendment, the Term Loan bore interest, at Academy, Ltd.'s election, at either (1) LIBOR rate with a floor of 0.75%, plus a margin of 3.75%, or (2) a base rate equal to the highest of (a) the federal funds rate plus 0.50%, (b) Credit Suisse's "prime rate", or (c) the one-month LIBOR rate plus 1.00%, plus a margin of 4.00%.</w:t>
      </w:r>
    </w:p>
    <w:p>
      <w:pPr>
        <w:spacing w:after="0" w:line="133" w:lineRule="exact"/>
        <w:rPr>
          <w:sz w:val="20"/>
          <w:szCs w:val="20"/>
          <w:color w:val="auto"/>
        </w:rPr>
      </w:pPr>
    </w:p>
    <w:p>
      <w:pPr>
        <w:jc w:val="both"/>
        <w:ind w:left="260" w:firstLine="324"/>
        <w:spacing w:after="0" w:line="253" w:lineRule="auto"/>
        <w:rPr>
          <w:sz w:val="20"/>
          <w:szCs w:val="20"/>
          <w:color w:val="auto"/>
        </w:rPr>
      </w:pPr>
      <w:r>
        <w:rPr>
          <w:rFonts w:ascii="Times New Roman" w:cs="Times New Roman" w:eastAsia="Times New Roman" w:hAnsi="Times New Roman"/>
          <w:sz w:val="18"/>
          <w:szCs w:val="18"/>
          <w:color w:val="auto"/>
        </w:rPr>
        <w:t>On May 17, 2023, Academy, Ltd. entered into a Conforming Changes Amendment to the Second Amended and Restated Credit Agreement, dated as of November 6, 2020, among Academy, Ltd., as Borrower, Credit Suisse AG, Cayman Islands Branch, as the administrative agent and collateral agent and the several lenders party thereto and the several other parties named therein, which updated the Term Loan benchmark base interest rate from LIBOR to Adjusted Term SOFR (as defined in the Conforming Changes Amendment to the Second Amended and Restated Credit Agreement). The transition of our Term Loan to Adjusted Term SOFR became effective on August 1, 2023. Borrowings under the Term Loan bear interest, at our election, at either (1) Adjusted Term SOFR with a floor of 0.75% rate plus a margin of 3.75% or (2) a base rate equal to the highest of (a) the federal funds rate plus 0.50%, (b) the U.S. "prime rate" announced by the administrative agent, or (c) the one-month Adjusted Term SOFR with a floor of 0.75% rate, plus a margin of 3.75%. As of October 28, 2023, the weighted average interest rate was 9.18%, with interest payable monthly. Quarterly principal payments of $750.0 thousand are required through September 30, 2027 and borrowings mature on November 6, 2027. The terms and conditions of the Term Loan also require that the outstanding balance under the Term Loan is prepaid under certain circumstances. As of October 28, 2023, no prepayment was due under the terms and conditions of the Term Loan.</w:t>
      </w:r>
    </w:p>
    <w:p>
      <w:pPr>
        <w:spacing w:after="0" w:line="13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Notes</w:t>
      </w:r>
    </w:p>
    <w:p>
      <w:pPr>
        <w:spacing w:after="0" w:line="175" w:lineRule="exact"/>
        <w:rPr>
          <w:sz w:val="20"/>
          <w:szCs w:val="20"/>
          <w:color w:val="auto"/>
        </w:rPr>
      </w:pPr>
    </w:p>
    <w:p>
      <w:pPr>
        <w:jc w:val="both"/>
        <w:ind w:left="260" w:firstLine="324"/>
        <w:spacing w:after="0" w:line="261" w:lineRule="auto"/>
        <w:rPr>
          <w:sz w:val="20"/>
          <w:szCs w:val="20"/>
          <w:color w:val="auto"/>
        </w:rPr>
      </w:pPr>
      <w:r>
        <w:rPr>
          <w:rFonts w:ascii="Times New Roman" w:cs="Times New Roman" w:eastAsia="Times New Roman" w:hAnsi="Times New Roman"/>
          <w:sz w:val="18"/>
          <w:szCs w:val="18"/>
          <w:color w:val="auto"/>
        </w:rPr>
        <w:t>On November 6, 2020, Academy, Ltd. issued $400.0 million of 6.00% senior secured notes which are due November 15, 2027 (the "Notes"), pursuant to an indenture, dated as of November 6, 2020 (the "Indenture") with The Bank of New York Mellon Trust Company, N.A., as trustee and collateral agent. The Notes require cash interest payments semi-annually in arrears on May 15 and November 15 of each year at a rate of 6.00% per year.</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089" w:right="339" w:bottom="1440" w:gutter="0" w:footer="0" w:header="0"/>
        </w:sectPr>
      </w:pPr>
    </w:p>
    <w:bookmarkStart w:id="13" w:name="page14"/>
    <w:bookmarkEnd w:id="13"/>
    <w:p>
      <w:pPr>
        <w:ind w:left="5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ABL Facility</w:t>
      </w:r>
    </w:p>
    <w:p>
      <w:pPr>
        <w:spacing w:after="0" w:line="24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We refer to the 2020 ABL Facility and the amendments thereto collectively as the "ABL Facility".</w:t>
      </w:r>
    </w:p>
    <w:p>
      <w:pPr>
        <w:spacing w:after="0" w:line="239" w:lineRule="exact"/>
        <w:rPr>
          <w:sz w:val="20"/>
          <w:szCs w:val="20"/>
          <w:color w:val="auto"/>
        </w:rPr>
      </w:pPr>
    </w:p>
    <w:p>
      <w:pPr>
        <w:jc w:val="both"/>
        <w:ind w:left="260" w:firstLine="324"/>
        <w:spacing w:after="0" w:line="242" w:lineRule="auto"/>
        <w:rPr>
          <w:sz w:val="20"/>
          <w:szCs w:val="20"/>
          <w:color w:val="auto"/>
        </w:rPr>
      </w:pPr>
      <w:r>
        <w:rPr>
          <w:rFonts w:ascii="Times New Roman" w:cs="Times New Roman" w:eastAsia="Times New Roman" w:hAnsi="Times New Roman"/>
          <w:sz w:val="18"/>
          <w:szCs w:val="18"/>
          <w:color w:val="auto"/>
        </w:rPr>
        <w:t>On November 6, 2020, Academy, Ltd., as borrower, and the guarantors, amended the previously existing secured asset-based revolving credit facility by entering into an amendment to the First Amended and Restated ABL Credit Agreement, dated as of November 6, 2020, with JPMorgan Chase Bank, N.A. as the administrative agent and collateral agent, letter of credit issuer and swingline lender and the several lenders party thereto, which ABL amendment, among other things, extended the maturity of Academy, Ltd.’s asset-based revolving credit facility thereunder to November 6, 2025 (the "2020 ABL Facility").</w:t>
      </w:r>
    </w:p>
    <w:p>
      <w:pPr>
        <w:spacing w:after="0" w:line="212" w:lineRule="exact"/>
        <w:rPr>
          <w:sz w:val="20"/>
          <w:szCs w:val="20"/>
          <w:color w:val="auto"/>
        </w:rPr>
      </w:pPr>
    </w:p>
    <w:p>
      <w:pPr>
        <w:jc w:val="both"/>
        <w:ind w:left="260" w:firstLine="324"/>
        <w:spacing w:after="0" w:line="242" w:lineRule="auto"/>
        <w:rPr>
          <w:sz w:val="20"/>
          <w:szCs w:val="20"/>
          <w:color w:val="auto"/>
        </w:rPr>
      </w:pPr>
      <w:r>
        <w:rPr>
          <w:rFonts w:ascii="Times New Roman" w:cs="Times New Roman" w:eastAsia="Times New Roman" w:hAnsi="Times New Roman"/>
          <w:sz w:val="18"/>
          <w:szCs w:val="18"/>
          <w:color w:val="auto"/>
        </w:rPr>
        <w:t>On March 30, 2023, Academy, Ltd., as borrower, and the guarantors, amended the 2020 ABL Facility by entering into an amendment to the First Amended and Restated ABL Credit Agreement, dated as of July 2, 2015, with JP Morgan Chase Bank, N.A. as the ABL Agent and the several lenders party thereto, which ABL amendment updated its benchmark base interest rate from LIBOR to Adjusted Term SOFR.</w:t>
      </w:r>
    </w:p>
    <w:p>
      <w:pPr>
        <w:spacing w:after="0" w:line="143" w:lineRule="exact"/>
        <w:rPr>
          <w:sz w:val="20"/>
          <w:szCs w:val="20"/>
          <w:color w:val="auto"/>
        </w:rPr>
      </w:pPr>
    </w:p>
    <w:p>
      <w:pPr>
        <w:jc w:val="both"/>
        <w:ind w:left="260" w:firstLine="324"/>
        <w:spacing w:after="0" w:line="258" w:lineRule="auto"/>
        <w:rPr>
          <w:sz w:val="20"/>
          <w:szCs w:val="20"/>
          <w:color w:val="auto"/>
        </w:rPr>
      </w:pPr>
      <w:r>
        <w:rPr>
          <w:rFonts w:ascii="Times New Roman" w:cs="Times New Roman" w:eastAsia="Times New Roman" w:hAnsi="Times New Roman"/>
          <w:sz w:val="18"/>
          <w:szCs w:val="18"/>
          <w:color w:val="auto"/>
        </w:rPr>
        <w:t>The ABL Facility is used to provide financing for working capital and other general corporate purposes, as well as to support certain letters of credit requirements, and availability is subject to customary borrowing base and availability provisions. During the normal course of business, we periodically utilize letters of credit primarily for the purchase of import goods and in support of insurance contracts. As of October 28, 2023, we had outstanding letters of credit of approximately $11.6 million, all of which were issued under the ABL Facility, and we had no borrowings outstanding under the ABL Facility, leaving an available borrowing capacity under the ABL Facility of $988.4 million.</w:t>
      </w:r>
    </w:p>
    <w:p>
      <w:pPr>
        <w:spacing w:after="0" w:line="129" w:lineRule="exact"/>
        <w:rPr>
          <w:sz w:val="20"/>
          <w:szCs w:val="20"/>
          <w:color w:val="auto"/>
        </w:rPr>
      </w:pPr>
    </w:p>
    <w:p>
      <w:pPr>
        <w:jc w:val="both"/>
        <w:ind w:left="260" w:firstLine="324"/>
        <w:spacing w:after="0" w:line="258" w:lineRule="auto"/>
        <w:rPr>
          <w:sz w:val="20"/>
          <w:szCs w:val="20"/>
          <w:color w:val="auto"/>
        </w:rPr>
      </w:pPr>
      <w:r>
        <w:rPr>
          <w:rFonts w:ascii="Times New Roman" w:cs="Times New Roman" w:eastAsia="Times New Roman" w:hAnsi="Times New Roman"/>
          <w:sz w:val="18"/>
          <w:szCs w:val="18"/>
          <w:color w:val="auto"/>
        </w:rPr>
        <w:t>Borrowings under the ABL Facility bear interest, at our election, at either (1) Adjusted Term SOFR plus a margin of 1.25% to 1.75%, or (2) a base rate equal to the highest of (a) the federal funds rate plus 0.50%, (b) JPMorgan Chase Bank, N.A.'s "prime rate", or (c) the one-month Adjusted Term SOFR rate plus 1.00%, plus a margin of 0.25% to 0.75%. The ABL Facility also provides a fee applicable to the unused commitments of 0.25%. The terms and conditions of the ABL Facility also require that we prepay outstanding loans under the ABL Facility under certain circumstances. As of October 28, 2023, no future prepayments of outstanding loans have been triggered under the terms and conditions of the ABL Facility.</w:t>
      </w:r>
    </w:p>
    <w:p>
      <w:pPr>
        <w:spacing w:after="0" w:line="125" w:lineRule="exact"/>
        <w:rPr>
          <w:sz w:val="20"/>
          <w:szCs w:val="20"/>
          <w:color w:val="auto"/>
        </w:rPr>
      </w:pPr>
    </w:p>
    <w:p>
      <w:pPr>
        <w:jc w:val="both"/>
        <w:ind w:left="260" w:firstLine="324"/>
        <w:spacing w:after="0" w:line="259" w:lineRule="auto"/>
        <w:rPr>
          <w:sz w:val="20"/>
          <w:szCs w:val="20"/>
          <w:color w:val="auto"/>
        </w:rPr>
      </w:pPr>
      <w:r>
        <w:rPr>
          <w:rFonts w:ascii="Times New Roman" w:cs="Times New Roman" w:eastAsia="Times New Roman" w:hAnsi="Times New Roman"/>
          <w:sz w:val="18"/>
          <w:szCs w:val="18"/>
          <w:b w:val="1"/>
          <w:bCs w:val="1"/>
          <w:i w:val="1"/>
          <w:iCs w:val="1"/>
          <w:u w:val="single" w:color="auto"/>
          <w:color w:val="auto"/>
        </w:rPr>
        <w:t>Covenants</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ABL Facility, Term Loan and Notes agreements contain covenants, including, among other things, covenants that may restrict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Academy, Ltd.'s ability to incur certain additional indebtedness, create or permit liens on assets, engage in mergers or consolidations, pay dividends, make other restricted payments, make loans or advances, engage in transactions with affiliates or amend material documents. Additionally, at certain times, the ABL Facility is subject to a minimum adjusted fixed charge coverage ratio. These covenants are subject to certain qualifications and limitations. We were in compliance with these covenants as of October 28, 2023.</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Fair Value Measurements</w:t>
      </w:r>
    </w:p>
    <w:p>
      <w:pPr>
        <w:spacing w:after="0" w:line="175" w:lineRule="exact"/>
        <w:rPr>
          <w:sz w:val="20"/>
          <w:szCs w:val="20"/>
          <w:color w:val="auto"/>
        </w:rPr>
      </w:pPr>
    </w:p>
    <w:p>
      <w:pPr>
        <w:jc w:val="both"/>
        <w:ind w:left="260" w:firstLine="324"/>
        <w:spacing w:after="0" w:line="261" w:lineRule="auto"/>
        <w:rPr>
          <w:sz w:val="20"/>
          <w:szCs w:val="20"/>
          <w:color w:val="auto"/>
        </w:rPr>
      </w:pPr>
      <w:r>
        <w:rPr>
          <w:rFonts w:ascii="Times New Roman" w:cs="Times New Roman" w:eastAsia="Times New Roman" w:hAnsi="Times New Roman"/>
          <w:sz w:val="18"/>
          <w:szCs w:val="18"/>
          <w:color w:val="auto"/>
        </w:rPr>
        <w:t>Fair value is defined as an exit price that would be received from the sale of an asset or paid to transfer a liability in the principal or most advantageous market for the asset or liability in an orderly transaction between market participants on the measurement date. Authoritative guidance establishes a three-level hierarchy for disclosure that is based on the extent and level of judgment used to estimate the fair value of the assets and liabilities.</w:t>
      </w:r>
    </w:p>
    <w:p>
      <w:pPr>
        <w:spacing w:after="0" w:line="12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fair value measurements are classified as either:</w:t>
      </w:r>
    </w:p>
    <w:p>
      <w:pPr>
        <w:spacing w:after="0" w:line="171" w:lineRule="exact"/>
        <w:rPr>
          <w:sz w:val="20"/>
          <w:szCs w:val="20"/>
          <w:color w:val="auto"/>
        </w:rPr>
      </w:pPr>
    </w:p>
    <w:p>
      <w:pPr>
        <w:ind w:left="900" w:hanging="324"/>
        <w:spacing w:after="0" w:line="281" w:lineRule="auto"/>
        <w:tabs>
          <w:tab w:leader="none" w:pos="8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which represents valuations based on unadjusted quoted prices in active markets that are accessible at the measurement date for identical, unrestricted assets or liabilities;</w:t>
      </w:r>
    </w:p>
    <w:p>
      <w:pPr>
        <w:spacing w:after="0" w:line="1" w:lineRule="exact"/>
        <w:rPr>
          <w:rFonts w:ascii="Times New Roman" w:cs="Times New Roman" w:eastAsia="Times New Roman" w:hAnsi="Times New Roman"/>
          <w:sz w:val="18"/>
          <w:szCs w:val="18"/>
          <w:color w:val="auto"/>
        </w:rPr>
      </w:pPr>
    </w:p>
    <w:p>
      <w:pPr>
        <w:jc w:val="both"/>
        <w:ind w:left="900" w:hanging="324"/>
        <w:spacing w:after="0" w:line="266" w:lineRule="auto"/>
        <w:tabs>
          <w:tab w:leader="none" w:pos="8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which represents valuations based on quoted prices for similar assets and liabilities in active markets, quoted prices for identical or similar assets and liabilities in markets that are not active, or inputs that are observable, either directly or indirectly, for substantially the full term of the asset or liability; and</w:t>
      </w:r>
    </w:p>
    <w:p>
      <w:pPr>
        <w:spacing w:after="0" w:line="13" w:lineRule="exact"/>
        <w:rPr>
          <w:rFonts w:ascii="Times New Roman" w:cs="Times New Roman" w:eastAsia="Times New Roman" w:hAnsi="Times New Roman"/>
          <w:sz w:val="18"/>
          <w:szCs w:val="18"/>
          <w:color w:val="auto"/>
        </w:rPr>
      </w:pPr>
    </w:p>
    <w:p>
      <w:pPr>
        <w:ind w:left="900" w:hanging="324"/>
        <w:spacing w:after="0" w:line="282" w:lineRule="auto"/>
        <w:tabs>
          <w:tab w:leader="none" w:pos="8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which represents valuations based on prices or valuation techniques that require inputs that are both significant to the fair value measurement and unobservable (i.e., supported by little or no market activity).</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332" w:right="339" w:bottom="1440" w:gutter="0" w:footer="0" w:header="0"/>
        </w:sectPr>
      </w:pPr>
    </w:p>
    <w:bookmarkStart w:id="14" w:name="page15"/>
    <w:bookmarkEnd w:id="14"/>
    <w:p>
      <w:pPr>
        <w:jc w:val="both"/>
        <w:ind w:left="260" w:firstLine="324"/>
        <w:spacing w:after="0" w:line="258" w:lineRule="auto"/>
        <w:rPr>
          <w:sz w:val="20"/>
          <w:szCs w:val="20"/>
          <w:color w:val="auto"/>
        </w:rPr>
      </w:pPr>
      <w:r>
        <w:rPr>
          <w:rFonts w:ascii="Times New Roman" w:cs="Times New Roman" w:eastAsia="Times New Roman" w:hAnsi="Times New Roman"/>
          <w:sz w:val="18"/>
          <w:szCs w:val="18"/>
          <w:color w:val="auto"/>
        </w:rPr>
        <w:t>In instances where the determination of the fair value measurement is based on inputs from different levels of the fair value hierarchy, the level in the fair value hierarchy in which the fair value measurement is classified in its entirety, is based on the lowest level input that is significant to the fair value measurement. Our assessment of the significance of a particular input to the fair value measurement in its entirety requires judgment and considers factors specific to the asset or liability. There were no transfers made into or out of the Level 1, 2 or 3 categories during any period presented.</w:t>
      </w:r>
    </w:p>
    <w:p>
      <w:pPr>
        <w:spacing w:after="0" w:line="129" w:lineRule="exact"/>
        <w:rPr>
          <w:sz w:val="20"/>
          <w:szCs w:val="20"/>
          <w:color w:val="auto"/>
        </w:rPr>
      </w:pPr>
    </w:p>
    <w:p>
      <w:pPr>
        <w:jc w:val="both"/>
        <w:ind w:left="260" w:firstLine="324"/>
        <w:spacing w:after="0" w:line="266" w:lineRule="auto"/>
        <w:rPr>
          <w:sz w:val="20"/>
          <w:szCs w:val="20"/>
          <w:color w:val="auto"/>
        </w:rPr>
      </w:pPr>
      <w:r>
        <w:rPr>
          <w:rFonts w:ascii="Times New Roman" w:cs="Times New Roman" w:eastAsia="Times New Roman" w:hAnsi="Times New Roman"/>
          <w:sz w:val="18"/>
          <w:szCs w:val="18"/>
          <w:color w:val="auto"/>
        </w:rPr>
        <w:t>Periodically we make cash investments in money market funds comprised of U.S. Government treasury bills and securities, which are classified as cash and redeemable on demand. As of October 28, 2023, January 28, 2023 and October 29, 2022, we held $224.0 million, $95.6 million and $264.7 million in money market funds, respectively.</w:t>
      </w:r>
    </w:p>
    <w:p>
      <w:pPr>
        <w:spacing w:after="0" w:line="122" w:lineRule="exact"/>
        <w:rPr>
          <w:sz w:val="20"/>
          <w:szCs w:val="20"/>
          <w:color w:val="auto"/>
        </w:rPr>
      </w:pPr>
    </w:p>
    <w:p>
      <w:pPr>
        <w:jc w:val="both"/>
        <w:ind w:left="260" w:firstLine="324"/>
        <w:spacing w:after="0" w:line="261" w:lineRule="auto"/>
        <w:rPr>
          <w:sz w:val="20"/>
          <w:szCs w:val="20"/>
          <w:color w:val="auto"/>
        </w:rPr>
      </w:pPr>
      <w:r>
        <w:rPr>
          <w:rFonts w:ascii="Times New Roman" w:cs="Times New Roman" w:eastAsia="Times New Roman" w:hAnsi="Times New Roman"/>
          <w:sz w:val="18"/>
          <w:szCs w:val="18"/>
          <w:color w:val="auto"/>
        </w:rPr>
        <w:t>The fair value of the Term Loan and Notes is estimated using a discounted cash flow analysis based on quoted market prices for the instrument in an inactive market and is therefore classified as Level 2 within the fair value hierarchy. As of October 28, 2023, January 28, 2023, and October 29, 2022 the estimated fair value of the Term Loan and Notes was $0.6 billion, $0.6 billion and $0.7 billion, respectively. As borrowings on the ABL Facility are generally repaid in less than 12 months, we believe that fair value approximates the carrying value.</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Property and Equipment</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Property and equipment consists of the following (amounts in thousands) as of:</w:t>
      </w:r>
    </w:p>
    <w:p>
      <w:pPr>
        <w:spacing w:after="0" w:line="208" w:lineRule="exact"/>
        <w:rPr>
          <w:sz w:val="20"/>
          <w:szCs w:val="20"/>
          <w:color w:val="auto"/>
        </w:rPr>
      </w:pPr>
    </w:p>
    <w:tbl>
      <w:tblPr>
        <w:tblLayout w:type="fixed"/>
        <w:tblInd w:w="260" w:type="dxa"/>
        <w:tblCellMar>
          <w:top w:w="0" w:type="dxa"/>
          <w:left w:w="0" w:type="dxa"/>
          <w:bottom w:w="0" w:type="dxa"/>
          <w:right w:w="0" w:type="dxa"/>
        </w:tblCellMar>
      </w:tblPr>
      <w:tr>
        <w:trPr>
          <w:trHeight w:val="238"/>
        </w:trPr>
        <w:tc>
          <w:tcPr>
            <w:tcW w:w="5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October 28, 2023</w:t>
            </w:r>
          </w:p>
        </w:tc>
        <w:tc>
          <w:tcPr>
            <w:tcW w:w="140" w:type="dxa"/>
            <w:vAlign w:val="bottom"/>
          </w:tcPr>
          <w:p>
            <w:pPr>
              <w:spacing w:after="0"/>
              <w:rPr>
                <w:sz w:val="20"/>
                <w:szCs w:val="20"/>
                <w:color w:val="auto"/>
              </w:rPr>
            </w:pPr>
          </w:p>
        </w:tc>
        <w:tc>
          <w:tcPr>
            <w:tcW w:w="16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January 28, 2023</w:t>
            </w:r>
          </w:p>
        </w:tc>
        <w:tc>
          <w:tcPr>
            <w:tcW w:w="160" w:type="dxa"/>
            <w:vAlign w:val="bottom"/>
          </w:tcPr>
          <w:p>
            <w:pPr>
              <w:spacing w:after="0"/>
              <w:rPr>
                <w:sz w:val="20"/>
                <w:szCs w:val="20"/>
                <w:color w:val="auto"/>
              </w:rPr>
            </w:pPr>
          </w:p>
        </w:tc>
        <w:tc>
          <w:tcPr>
            <w:tcW w:w="16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October 29, 2022</w:t>
            </w:r>
          </w:p>
        </w:tc>
      </w:tr>
      <w:tr>
        <w:trPr>
          <w:trHeight w:val="223"/>
        </w:trPr>
        <w:tc>
          <w:tcPr>
            <w:tcW w:w="5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542,698</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484,930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476,670</w:t>
            </w:r>
          </w:p>
        </w:tc>
      </w:tr>
      <w:tr>
        <w:trPr>
          <w:trHeight w:val="229"/>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Equipment and software</w:t>
            </w: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671,939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641,387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624,915</w:t>
            </w:r>
          </w:p>
        </w:tc>
      </w:tr>
      <w:tr>
        <w:trPr>
          <w:trHeight w:val="23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383,507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360,099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352,501</w:t>
            </w:r>
          </w:p>
        </w:tc>
      </w:tr>
      <w:tr>
        <w:trPr>
          <w:trHeight w:val="229"/>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63,563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23,159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37,267</w:t>
            </w:r>
          </w:p>
        </w:tc>
      </w:tr>
      <w:tr>
        <w:trPr>
          <w:trHeight w:val="23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1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3,698</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3,698</w:t>
            </w:r>
          </w:p>
        </w:tc>
      </w:tr>
      <w:tr>
        <w:trPr>
          <w:trHeight w:val="223"/>
        </w:trPr>
        <w:tc>
          <w:tcPr>
            <w:tcW w:w="5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1,665,405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1,513,273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1,495,051</w:t>
            </w:r>
          </w:p>
        </w:tc>
      </w:tr>
      <w:tr>
        <w:trPr>
          <w:trHeight w:val="22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1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(1,235,757)</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(1,161,849)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(1,141,037)</w:t>
            </w:r>
          </w:p>
        </w:tc>
      </w:tr>
      <w:tr>
        <w:trPr>
          <w:trHeight w:val="223"/>
        </w:trPr>
        <w:tc>
          <w:tcPr>
            <w:tcW w:w="5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429,648</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351,424</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354,014</w:t>
            </w:r>
          </w:p>
        </w:tc>
      </w:tr>
      <w:tr>
        <w:trPr>
          <w:trHeight w:val="20"/>
        </w:trPr>
        <w:tc>
          <w:tcPr>
            <w:tcW w:w="5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260" w:firstLine="324"/>
        <w:spacing w:after="0" w:line="282" w:lineRule="auto"/>
        <w:rPr>
          <w:sz w:val="20"/>
          <w:szCs w:val="20"/>
          <w:color w:val="auto"/>
        </w:rPr>
      </w:pPr>
      <w:r>
        <w:rPr>
          <w:rFonts w:ascii="Times New Roman" w:cs="Times New Roman" w:eastAsia="Times New Roman" w:hAnsi="Times New Roman"/>
          <w:sz w:val="18"/>
          <w:szCs w:val="18"/>
          <w:color w:val="auto"/>
        </w:rPr>
        <w:t>Depreciation expense was $27.4 million and $79.4 million in the thirteen and thirty-nine weeks ended October 28, 2023, respectively, and $27.0 million and $78.9 million in the thirteen and thirty-nine weeks ended October 29, 2022, respectively.</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Accrued Expenses and Other Current Liabilities</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Accrued expenses and other current liabilities consist of the following (amounts in thousands) as of:</w:t>
      </w:r>
    </w:p>
    <w:p>
      <w:pPr>
        <w:spacing w:after="0" w:line="208" w:lineRule="exact"/>
        <w:rPr>
          <w:sz w:val="20"/>
          <w:szCs w:val="20"/>
          <w:color w:val="auto"/>
        </w:rPr>
      </w:pPr>
    </w:p>
    <w:tbl>
      <w:tblPr>
        <w:tblLayout w:type="fixed"/>
        <w:tblInd w:w="260" w:type="dxa"/>
        <w:tblCellMar>
          <w:top w:w="0" w:type="dxa"/>
          <w:left w:w="0" w:type="dxa"/>
          <w:bottom w:w="0" w:type="dxa"/>
          <w:right w:w="0" w:type="dxa"/>
        </w:tblCellMar>
      </w:tblPr>
      <w:tr>
        <w:trPr>
          <w:trHeight w:val="238"/>
        </w:trPr>
        <w:tc>
          <w:tcPr>
            <w:tcW w:w="4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October 28, 2023</w:t>
            </w:r>
          </w:p>
        </w:tc>
        <w:tc>
          <w:tcPr>
            <w:tcW w:w="140" w:type="dxa"/>
            <w:vAlign w:val="bottom"/>
          </w:tcPr>
          <w:p>
            <w:pPr>
              <w:spacing w:after="0"/>
              <w:rPr>
                <w:sz w:val="20"/>
                <w:szCs w:val="20"/>
                <w:color w:val="auto"/>
              </w:rPr>
            </w:pPr>
          </w:p>
        </w:tc>
        <w:tc>
          <w:tcPr>
            <w:tcW w:w="16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January 28, 2023</w:t>
            </w:r>
          </w:p>
        </w:tc>
        <w:tc>
          <w:tcPr>
            <w:tcW w:w="180" w:type="dxa"/>
            <w:vAlign w:val="bottom"/>
          </w:tcPr>
          <w:p>
            <w:pPr>
              <w:spacing w:after="0"/>
              <w:rPr>
                <w:sz w:val="20"/>
                <w:szCs w:val="20"/>
                <w:color w:val="auto"/>
              </w:rPr>
            </w:pPr>
          </w:p>
        </w:tc>
        <w:tc>
          <w:tcPr>
            <w:tcW w:w="16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October 29, 2022</w:t>
            </w:r>
          </w:p>
        </w:tc>
      </w:tr>
      <w:tr>
        <w:trPr>
          <w:trHeight w:val="223"/>
        </w:trPr>
        <w:tc>
          <w:tcPr>
            <w:tcW w:w="4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13,395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13,340</w:t>
            </w:r>
          </w:p>
        </w:tc>
      </w:tr>
      <w:tr>
        <w:trPr>
          <w:trHeight w:val="230"/>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personnel costs</w:t>
            </w: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33,014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57,504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57,979</w:t>
            </w:r>
          </w:p>
        </w:tc>
      </w:tr>
      <w:tr>
        <w:trPr>
          <w:trHeight w:val="23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professional fees</w:t>
            </w: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w:t>
            </w:r>
          </w:p>
        </w:tc>
      </w:tr>
      <w:tr>
        <w:trPr>
          <w:trHeight w:val="229"/>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sales and use tax</w:t>
            </w: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17,441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15,025</w:t>
            </w:r>
          </w:p>
        </w:tc>
      </w:tr>
      <w:tr>
        <w:trPr>
          <w:trHeight w:val="23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self-insurance</w:t>
            </w: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15,694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15,677</w:t>
            </w:r>
          </w:p>
        </w:tc>
      </w:tr>
      <w:tr>
        <w:trPr>
          <w:trHeight w:val="230"/>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 gift cards and other</w:t>
            </w: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74,171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92,603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69,727</w:t>
            </w:r>
          </w:p>
        </w:tc>
      </w:tr>
      <w:tr>
        <w:trPr>
          <w:trHeight w:val="23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 payable</w:t>
            </w: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5,848</w:t>
            </w:r>
          </w:p>
        </w:tc>
      </w:tr>
      <w:tr>
        <w:trPr>
          <w:trHeight w:val="229"/>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taxes</w:t>
            </w: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48,160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46,806</w:t>
            </w:r>
          </w:p>
        </w:tc>
      </w:tr>
      <w:tr>
        <w:trPr>
          <w:trHeight w:val="229"/>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return allowance</w:t>
            </w: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6,100</w:t>
            </w:r>
          </w:p>
        </w:tc>
      </w:tr>
      <w:tr>
        <w:trPr>
          <w:trHeight w:val="230"/>
        </w:trPr>
        <w:tc>
          <w:tcPr>
            <w:tcW w:w="4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21,426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20,645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26,915</w:t>
            </w:r>
          </w:p>
        </w:tc>
      </w:tr>
      <w:tr>
        <w:trPr>
          <w:trHeight w:val="248"/>
        </w:trPr>
        <w:tc>
          <w:tcPr>
            <w:tcW w:w="48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232,046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240,169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259,179</w:t>
            </w: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60"/>
          </w:cols>
          <w:pgMar w:left="400" w:top="12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255"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8. Share-Based Compensation</w:t>
      </w:r>
    </w:p>
    <w:p>
      <w:pPr>
        <w:spacing w:after="0" w:line="175" w:lineRule="exact"/>
        <w:rPr>
          <w:sz w:val="20"/>
          <w:szCs w:val="20"/>
          <w:color w:val="auto"/>
        </w:rPr>
      </w:pPr>
    </w:p>
    <w:p>
      <w:pPr>
        <w:jc w:val="both"/>
        <w:ind w:left="260" w:firstLine="324"/>
        <w:spacing w:after="0" w:line="253" w:lineRule="auto"/>
        <w:rPr>
          <w:sz w:val="20"/>
          <w:szCs w:val="20"/>
          <w:color w:val="auto"/>
        </w:rPr>
      </w:pPr>
      <w:r>
        <w:rPr>
          <w:rFonts w:ascii="Times New Roman" w:cs="Times New Roman" w:eastAsia="Times New Roman" w:hAnsi="Times New Roman"/>
          <w:sz w:val="18"/>
          <w:szCs w:val="18"/>
          <w:color w:val="auto"/>
        </w:rPr>
        <w:t>On September 29, 2020, the ASO, Inc. Board of Directors adopted the 2020 Omnibus Incentive Plan (the "2020 Omnibus Incentive Plan"), which became effective on October 1, 2020. The 2020 Omnibus Incentive Plan provides for the grant of certain equity incentive awards (each, an "Award"), such as options to purchase ASO, Inc. common stock (each, a "Stock Option") and restricted units that may settle in ASO, Inc. common stock (each, a "Restricted Stock Unit") to our directors, executives and eligible employees of the Company. Awards granted under the 2020 Omnibus Incentive Plan consist of Stock Options that vest upon the satisfaction of time-based requirements (each, a "Service Option"), Restricted Stock Units that vest upon the satisfaction of time-based requirements (each, a "Service Restricted Stock Unit") and Restricted Stock Units that vest upon the satisfaction of time and performance and/or market based requirements (each, a "Performance Restricted Stock Unit"). The plan reserved a total of 5,150,000 shares of common stock for issuance. On June 1, 2023, our stockholders approved the First Amendment to the 2020 Omnibus Incentive Plan, which, among other changes, increased the number of shares available for issuance thereunder by 2,600,000 shares. As of October 28, 2023, there were 4,256,743 shares that were authorized and available for future issuance under the 2020 Omnibus Incentive Plan.</w:t>
      </w:r>
    </w:p>
    <w:p>
      <w:pPr>
        <w:spacing w:after="0" w:line="140" w:lineRule="exact"/>
        <w:rPr>
          <w:sz w:val="20"/>
          <w:szCs w:val="20"/>
          <w:color w:val="auto"/>
        </w:rPr>
      </w:pPr>
    </w:p>
    <w:p>
      <w:pPr>
        <w:jc w:val="both"/>
        <w:ind w:left="260" w:firstLine="324"/>
        <w:spacing w:after="0" w:line="266" w:lineRule="auto"/>
        <w:rPr>
          <w:sz w:val="20"/>
          <w:szCs w:val="20"/>
          <w:color w:val="auto"/>
        </w:rPr>
      </w:pPr>
      <w:r>
        <w:rPr>
          <w:rFonts w:ascii="Times New Roman" w:cs="Times New Roman" w:eastAsia="Times New Roman" w:hAnsi="Times New Roman"/>
          <w:sz w:val="18"/>
          <w:szCs w:val="18"/>
          <w:color w:val="auto"/>
        </w:rPr>
        <w:t>On September 29, 2020, the ASO, Inc. Board of Directors adopted the 2020 Employee Stock Purchase Plan (the "ESPP"), which became effective on October 1, 2020. We have reserved a total of 2,000,000 shares under the ESPP and as of October 28, 2023, there were 1,650,543 shares authorized and available for future issuance under the ESPP.</w:t>
      </w:r>
    </w:p>
    <w:p>
      <w:pPr>
        <w:spacing w:after="0" w:line="122" w:lineRule="exact"/>
        <w:rPr>
          <w:sz w:val="20"/>
          <w:szCs w:val="20"/>
          <w:color w:val="auto"/>
        </w:rPr>
      </w:pPr>
    </w:p>
    <w:p>
      <w:pPr>
        <w:jc w:val="both"/>
        <w:ind w:left="260" w:firstLine="324"/>
        <w:spacing w:after="0" w:line="266" w:lineRule="auto"/>
        <w:rPr>
          <w:sz w:val="20"/>
          <w:szCs w:val="20"/>
          <w:color w:val="auto"/>
        </w:rPr>
      </w:pPr>
      <w:r>
        <w:rPr>
          <w:rFonts w:ascii="Times New Roman" w:cs="Times New Roman" w:eastAsia="Times New Roman" w:hAnsi="Times New Roman"/>
          <w:sz w:val="18"/>
          <w:szCs w:val="18"/>
          <w:color w:val="auto"/>
        </w:rPr>
        <w:t>Equity compensation expense was $6.2 million and $26.1 million for the thirteen and thirty-nine weeks ended October 28, 2023, respectively. Equity compensation expense was $5.8 million and $15.5 million for the thirteen and thirty-nine weeks ended October 29, 2022, respectively. These costs are included in selling, general and administrative expenses in the consolidated statements of income.</w:t>
      </w:r>
    </w:p>
    <w:p>
      <w:pPr>
        <w:spacing w:after="0" w:line="19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Service Option Fair Value Assumptions</w:t>
      </w:r>
    </w:p>
    <w:p>
      <w:pPr>
        <w:spacing w:after="0" w:line="175" w:lineRule="exact"/>
        <w:rPr>
          <w:sz w:val="20"/>
          <w:szCs w:val="20"/>
          <w:color w:val="auto"/>
        </w:rPr>
      </w:pPr>
    </w:p>
    <w:p>
      <w:pPr>
        <w:jc w:val="both"/>
        <w:ind w:left="260" w:firstLine="324"/>
        <w:spacing w:after="0" w:line="256" w:lineRule="auto"/>
        <w:rPr>
          <w:sz w:val="20"/>
          <w:szCs w:val="20"/>
          <w:color w:val="auto"/>
        </w:rPr>
      </w:pPr>
      <w:r>
        <w:rPr>
          <w:rFonts w:ascii="Times New Roman" w:cs="Times New Roman" w:eastAsia="Times New Roman" w:hAnsi="Times New Roman"/>
          <w:sz w:val="18"/>
          <w:szCs w:val="18"/>
          <w:color w:val="auto"/>
        </w:rPr>
        <w:t>The fair value for Service Options granted was estimated using a Black-Scholes option-pricing model. The expected lives of the Service Options granted were based on the "SEC simplified" method. Expected price volatility was determined based on a time-weighted average of the historical volatility for the Company and implied volatilities of comparable companies over a historical period that matches the expected life of the Award. The risk-free interest rate was based on the expected U.S. Treasury rate over the expected life. The dividend yield was calculated based on the most recent annualized quarterly dividend and the valuation date closing stock price. The assumptions used to calculate the fair value of Awards granted are evaluated and modified, as necessary, to reflect current market conditions and experience.</w:t>
      </w:r>
    </w:p>
    <w:p>
      <w:pPr>
        <w:spacing w:after="0" w:line="133" w:lineRule="exact"/>
        <w:rPr>
          <w:sz w:val="20"/>
          <w:szCs w:val="20"/>
          <w:color w:val="auto"/>
        </w:rPr>
      </w:pPr>
    </w:p>
    <w:p>
      <w:pPr>
        <w:jc w:val="both"/>
        <w:ind w:left="26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assumptions and grant date fair values for Service Options granted in the thirty-nine weeks ended October 28, 2023:</w:t>
      </w:r>
    </w:p>
    <w:p>
      <w:pPr>
        <w:spacing w:after="0" w:line="153" w:lineRule="exact"/>
        <w:rPr>
          <w:sz w:val="20"/>
          <w:szCs w:val="20"/>
          <w:color w:val="auto"/>
        </w:rPr>
      </w:pPr>
    </w:p>
    <w:tbl>
      <w:tblPr>
        <w:tblLayout w:type="fixed"/>
        <w:tblInd w:w="260" w:type="dxa"/>
        <w:tblCellMar>
          <w:top w:w="0" w:type="dxa"/>
          <w:left w:w="0" w:type="dxa"/>
          <w:bottom w:w="0" w:type="dxa"/>
          <w:right w:w="0" w:type="dxa"/>
        </w:tblCellMar>
      </w:tblPr>
      <w:tr>
        <w:trPr>
          <w:trHeight w:val="229"/>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life in years</w:t>
            </w:r>
          </w:p>
        </w:tc>
        <w:tc>
          <w:tcPr>
            <w:tcW w:w="4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30"/>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4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 to 50.8%</w:t>
            </w:r>
          </w:p>
        </w:tc>
      </w:tr>
      <w:tr>
        <w:trPr>
          <w:trHeight w:val="230"/>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volatility</w:t>
            </w:r>
          </w:p>
        </w:tc>
        <w:tc>
          <w:tcPr>
            <w:tcW w:w="4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47.9 %</w:t>
            </w:r>
          </w:p>
        </w:tc>
      </w:tr>
      <w:tr>
        <w:trPr>
          <w:trHeight w:val="230"/>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4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to 4.4%</w:t>
            </w:r>
          </w:p>
        </w:tc>
      </w:tr>
      <w:tr>
        <w:trPr>
          <w:trHeight w:val="229"/>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4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0.6 %</w:t>
            </w:r>
          </w:p>
        </w:tc>
      </w:tr>
    </w:tbl>
    <w:p>
      <w:pPr>
        <w:spacing w:after="0" w:line="31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following table presents the Award grants during the thirty-nine weeks ended October 28, 2023:</w:t>
      </w:r>
    </w:p>
    <w:p>
      <w:pPr>
        <w:spacing w:after="0" w:line="23" w:lineRule="exact"/>
        <w:rPr>
          <w:sz w:val="20"/>
          <w:szCs w:val="20"/>
          <w:color w:val="auto"/>
        </w:rPr>
      </w:pPr>
    </w:p>
    <w:tbl>
      <w:tblPr>
        <w:tblLayout w:type="fixed"/>
        <w:tblInd w:w="260" w:type="dxa"/>
        <w:tblCellMar>
          <w:top w:w="0" w:type="dxa"/>
          <w:left w:w="0" w:type="dxa"/>
          <w:bottom w:w="0" w:type="dxa"/>
          <w:right w:w="0" w:type="dxa"/>
        </w:tblCellMar>
      </w:tblPr>
      <w:tr>
        <w:trPr>
          <w:trHeight w:val="207"/>
        </w:trPr>
        <w:tc>
          <w:tcPr>
            <w:tcW w:w="4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Service Options</w:t>
            </w:r>
          </w:p>
        </w:tc>
        <w:tc>
          <w:tcPr>
            <w:tcW w:w="20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Service Restricted Stock</w:t>
            </w:r>
          </w:p>
        </w:tc>
        <w:tc>
          <w:tcPr>
            <w:tcW w:w="120" w:type="dxa"/>
            <w:vAlign w:val="bottom"/>
          </w:tcPr>
          <w:p>
            <w:pPr>
              <w:spacing w:after="0"/>
              <w:rPr>
                <w:sz w:val="18"/>
                <w:szCs w:val="18"/>
                <w:color w:val="auto"/>
              </w:rPr>
            </w:pPr>
          </w:p>
        </w:tc>
        <w:tc>
          <w:tcPr>
            <w:tcW w:w="20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Performance Restricted</w:t>
            </w:r>
          </w:p>
        </w:tc>
        <w:tc>
          <w:tcPr>
            <w:tcW w:w="0" w:type="dxa"/>
            <w:vAlign w:val="bottom"/>
          </w:tcPr>
          <w:p>
            <w:pPr>
              <w:spacing w:after="0"/>
              <w:rPr>
                <w:sz w:val="1"/>
                <w:szCs w:val="1"/>
                <w:color w:val="auto"/>
              </w:rPr>
            </w:pPr>
          </w:p>
        </w:tc>
      </w:tr>
      <w:tr>
        <w:trPr>
          <w:trHeight w:val="243"/>
        </w:trPr>
        <w:tc>
          <w:tcPr>
            <w:tcW w:w="4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gridSpan w:val="2"/>
            <w:vMerge w:val="continue"/>
          </w:tcPr>
          <w:p>
            <w:pPr>
              <w:spacing w:after="0"/>
              <w:rPr>
                <w:sz w:val="21"/>
                <w:szCs w:val="21"/>
                <w:color w:val="auto"/>
              </w:rPr>
            </w:pPr>
          </w:p>
        </w:tc>
        <w:tc>
          <w:tcPr>
            <w:tcW w:w="420" w:type="dxa"/>
            <w:vAlign w:val="bottom"/>
          </w:tcPr>
          <w:p>
            <w:pPr>
              <w:spacing w:after="0"/>
              <w:rPr>
                <w:sz w:val="21"/>
                <w:szCs w:val="21"/>
                <w:color w:val="auto"/>
              </w:rPr>
            </w:pPr>
          </w:p>
        </w:tc>
        <w:tc>
          <w:tcPr>
            <w:tcW w:w="160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Units</w:t>
            </w:r>
          </w:p>
        </w:tc>
        <w:tc>
          <w:tcPr>
            <w:tcW w:w="120" w:type="dxa"/>
            <w:vAlign w:val="bottom"/>
          </w:tcPr>
          <w:p>
            <w:pPr>
              <w:spacing w:after="0"/>
              <w:rPr>
                <w:sz w:val="21"/>
                <w:szCs w:val="21"/>
                <w:color w:val="auto"/>
              </w:rPr>
            </w:pPr>
          </w:p>
        </w:tc>
        <w:tc>
          <w:tcPr>
            <w:tcW w:w="200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Stock Units</w:t>
            </w:r>
          </w:p>
        </w:tc>
        <w:tc>
          <w:tcPr>
            <w:tcW w:w="0" w:type="dxa"/>
            <w:vAlign w:val="bottom"/>
          </w:tcPr>
          <w:p>
            <w:pPr>
              <w:spacing w:after="0"/>
              <w:rPr>
                <w:sz w:val="1"/>
                <w:szCs w:val="1"/>
                <w:color w:val="auto"/>
              </w:rPr>
            </w:pPr>
          </w:p>
        </w:tc>
      </w:tr>
      <w:tr>
        <w:trPr>
          <w:trHeight w:val="223"/>
        </w:trPr>
        <w:tc>
          <w:tcPr>
            <w:tcW w:w="4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shares</w:t>
            </w:r>
          </w:p>
        </w:tc>
        <w:tc>
          <w:tcPr>
            <w:tcW w:w="180" w:type="dxa"/>
            <w:vAlign w:val="bottom"/>
            <w:tcBorders>
              <w:top w:val="single" w:sz="8" w:color="auto"/>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252,798</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361,008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2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241,229</w:t>
            </w:r>
          </w:p>
        </w:tc>
        <w:tc>
          <w:tcPr>
            <w:tcW w:w="0" w:type="dxa"/>
            <w:vAlign w:val="bottom"/>
          </w:tcPr>
          <w:p>
            <w:pPr>
              <w:spacing w:after="0"/>
              <w:rPr>
                <w:sz w:val="1"/>
                <w:szCs w:val="1"/>
                <w:color w:val="auto"/>
              </w:rPr>
            </w:pPr>
          </w:p>
        </w:tc>
      </w:tr>
      <w:tr>
        <w:trPr>
          <w:trHeight w:val="230"/>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grant date fair value per Award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27.69</w:t>
            </w:r>
          </w:p>
        </w:tc>
        <w:tc>
          <w:tcPr>
            <w:tcW w:w="100" w:type="dxa"/>
            <w:vAlign w:val="bottom"/>
          </w:tcPr>
          <w:p>
            <w:pPr>
              <w:spacing w:after="0"/>
              <w:rPr>
                <w:sz w:val="19"/>
                <w:szCs w:val="19"/>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60.32</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58.03</w:t>
            </w:r>
          </w:p>
        </w:tc>
        <w:tc>
          <w:tcPr>
            <w:tcW w:w="0" w:type="dxa"/>
            <w:vAlign w:val="bottom"/>
          </w:tcPr>
          <w:p>
            <w:pPr>
              <w:spacing w:after="0"/>
              <w:rPr>
                <w:sz w:val="1"/>
                <w:szCs w:val="1"/>
                <w:color w:val="auto"/>
              </w:rPr>
            </w:pPr>
          </w:p>
        </w:tc>
      </w:tr>
      <w:tr>
        <w:trPr>
          <w:trHeight w:val="22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exercise price per Award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089" w:right="339" w:bottom="1440" w:gutter="0" w:footer="0" w:header="0"/>
        </w:sectPr>
      </w:pPr>
    </w:p>
    <w:bookmarkStart w:id="16" w:name="page17"/>
    <w:bookmarkEnd w:id="16"/>
    <w:p>
      <w:pPr>
        <w:ind w:left="580"/>
        <w:spacing w:after="0"/>
        <w:rPr>
          <w:sz w:val="20"/>
          <w:szCs w:val="20"/>
          <w:color w:val="auto"/>
        </w:rPr>
      </w:pPr>
      <w:r>
        <w:rPr>
          <w:rFonts w:ascii="Times New Roman" w:cs="Times New Roman" w:eastAsia="Times New Roman" w:hAnsi="Times New Roman"/>
          <w:sz w:val="18"/>
          <w:szCs w:val="18"/>
          <w:color w:val="auto"/>
        </w:rPr>
        <w:t>The following table presents the unrecognized compensation cost as of October 28, 2023:</w:t>
      </w:r>
    </w:p>
    <w:p>
      <w:pPr>
        <w:spacing w:after="0" w:line="266" w:lineRule="exact"/>
        <w:rPr>
          <w:sz w:val="20"/>
          <w:szCs w:val="20"/>
          <w:color w:val="auto"/>
        </w:rPr>
      </w:pPr>
    </w:p>
    <w:tbl>
      <w:tblPr>
        <w:tblLayout w:type="fixed"/>
        <w:tblInd w:w="260" w:type="dxa"/>
        <w:tblCellMar>
          <w:top w:w="0" w:type="dxa"/>
          <w:left w:w="0" w:type="dxa"/>
          <w:bottom w:w="0" w:type="dxa"/>
          <w:right w:w="0" w:type="dxa"/>
        </w:tblCellMar>
      </w:tblPr>
      <w:tr>
        <w:trPr>
          <w:trHeight w:val="207"/>
        </w:trPr>
        <w:tc>
          <w:tcPr>
            <w:tcW w:w="4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Service Options</w:t>
            </w:r>
          </w:p>
        </w:tc>
        <w:tc>
          <w:tcPr>
            <w:tcW w:w="20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Service Restricted Stock</w:t>
            </w:r>
          </w:p>
        </w:tc>
        <w:tc>
          <w:tcPr>
            <w:tcW w:w="120" w:type="dxa"/>
            <w:vAlign w:val="bottom"/>
          </w:tcPr>
          <w:p>
            <w:pPr>
              <w:spacing w:after="0"/>
              <w:rPr>
                <w:sz w:val="17"/>
                <w:szCs w:val="17"/>
                <w:color w:val="auto"/>
              </w:rPr>
            </w:pPr>
          </w:p>
        </w:tc>
        <w:tc>
          <w:tcPr>
            <w:tcW w:w="20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Performance Restricted</w:t>
            </w:r>
          </w:p>
        </w:tc>
        <w:tc>
          <w:tcPr>
            <w:tcW w:w="0" w:type="dxa"/>
            <w:vAlign w:val="bottom"/>
          </w:tcPr>
          <w:p>
            <w:pPr>
              <w:spacing w:after="0"/>
              <w:rPr>
                <w:sz w:val="1"/>
                <w:szCs w:val="1"/>
                <w:color w:val="auto"/>
              </w:rPr>
            </w:pPr>
          </w:p>
        </w:tc>
      </w:tr>
      <w:tr>
        <w:trPr>
          <w:trHeight w:val="243"/>
        </w:trPr>
        <w:tc>
          <w:tcPr>
            <w:tcW w:w="4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20" w:type="dxa"/>
            <w:vAlign w:val="bottom"/>
            <w:gridSpan w:val="2"/>
            <w:vMerge w:val="continue"/>
          </w:tcPr>
          <w:p>
            <w:pPr>
              <w:spacing w:after="0"/>
              <w:rPr>
                <w:sz w:val="21"/>
                <w:szCs w:val="21"/>
                <w:color w:val="auto"/>
              </w:rPr>
            </w:pPr>
          </w:p>
        </w:tc>
        <w:tc>
          <w:tcPr>
            <w:tcW w:w="440" w:type="dxa"/>
            <w:vAlign w:val="bottom"/>
          </w:tcPr>
          <w:p>
            <w:pPr>
              <w:spacing w:after="0"/>
              <w:rPr>
                <w:sz w:val="21"/>
                <w:szCs w:val="21"/>
                <w:color w:val="auto"/>
              </w:rPr>
            </w:pPr>
          </w:p>
        </w:tc>
        <w:tc>
          <w:tcPr>
            <w:tcW w:w="158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Units</w:t>
            </w:r>
          </w:p>
        </w:tc>
        <w:tc>
          <w:tcPr>
            <w:tcW w:w="120" w:type="dxa"/>
            <w:vAlign w:val="bottom"/>
          </w:tcPr>
          <w:p>
            <w:pPr>
              <w:spacing w:after="0"/>
              <w:rPr>
                <w:sz w:val="21"/>
                <w:szCs w:val="21"/>
                <w:color w:val="auto"/>
              </w:rPr>
            </w:pPr>
          </w:p>
        </w:tc>
        <w:tc>
          <w:tcPr>
            <w:tcW w:w="20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Stock Units</w:t>
            </w:r>
          </w:p>
        </w:tc>
        <w:tc>
          <w:tcPr>
            <w:tcW w:w="0" w:type="dxa"/>
            <w:vAlign w:val="bottom"/>
          </w:tcPr>
          <w:p>
            <w:pPr>
              <w:spacing w:after="0"/>
              <w:rPr>
                <w:sz w:val="1"/>
                <w:szCs w:val="1"/>
                <w:color w:val="auto"/>
              </w:rPr>
            </w:pPr>
          </w:p>
        </w:tc>
      </w:tr>
      <w:tr>
        <w:trPr>
          <w:trHeight w:val="223"/>
        </w:trPr>
        <w:tc>
          <w:tcPr>
            <w:tcW w:w="4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Remaining expense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12,716,241</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21,479,241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10,017,247</w:t>
            </w:r>
          </w:p>
        </w:tc>
        <w:tc>
          <w:tcPr>
            <w:tcW w:w="0" w:type="dxa"/>
            <w:vAlign w:val="bottom"/>
          </w:tcPr>
          <w:p>
            <w:pPr>
              <w:spacing w:after="0"/>
              <w:rPr>
                <w:sz w:val="1"/>
                <w:szCs w:val="1"/>
                <w:color w:val="auto"/>
              </w:rPr>
            </w:pPr>
          </w:p>
        </w:tc>
      </w:tr>
      <w:tr>
        <w:trPr>
          <w:trHeight w:val="234"/>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life remaining in years</w:t>
            </w:r>
          </w:p>
        </w:tc>
        <w:tc>
          <w:tcPr>
            <w:tcW w:w="1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Earnings per Common Share</w:t>
      </w:r>
    </w:p>
    <w:p>
      <w:pPr>
        <w:spacing w:after="0" w:line="175" w:lineRule="exact"/>
        <w:rPr>
          <w:sz w:val="20"/>
          <w:szCs w:val="20"/>
          <w:color w:val="auto"/>
        </w:rPr>
      </w:pPr>
    </w:p>
    <w:p>
      <w:pPr>
        <w:jc w:val="both"/>
        <w:ind w:left="260" w:firstLine="324"/>
        <w:spacing w:after="0" w:line="256" w:lineRule="auto"/>
        <w:rPr>
          <w:sz w:val="20"/>
          <w:szCs w:val="20"/>
          <w:color w:val="auto"/>
        </w:rPr>
      </w:pPr>
      <w:r>
        <w:rPr>
          <w:rFonts w:ascii="Times New Roman" w:cs="Times New Roman" w:eastAsia="Times New Roman" w:hAnsi="Times New Roman"/>
          <w:sz w:val="18"/>
          <w:szCs w:val="18"/>
          <w:color w:val="auto"/>
        </w:rPr>
        <w:t>Basic earnings per common share is calculated based on net income divided by the basic weighted average common shares outstanding during the period, and diluted earnings per common share is calculated based on net income divided by the diluted weighted average common shares outstanding. Diluted weighted average common shares outstanding is based on the basic weighted average common shares outstanding plus any potential dilutive effect of stock-based awards outstanding during the period using the treasury stock method, which assumes the potential proceeds received from the dilutive stock options are used to purchase treasury stock. Anti-dilutive stock-based awards do not include awards which have a performance target which has yet to be achieved.</w:t>
      </w:r>
    </w:p>
    <w:p>
      <w:pPr>
        <w:spacing w:after="0" w:line="133" w:lineRule="exact"/>
        <w:rPr>
          <w:sz w:val="20"/>
          <w:szCs w:val="20"/>
          <w:color w:val="auto"/>
        </w:rPr>
      </w:pPr>
    </w:p>
    <w:p>
      <w:pPr>
        <w:jc w:val="both"/>
        <w:ind w:left="260" w:firstLine="324"/>
        <w:spacing w:after="0" w:line="282" w:lineRule="auto"/>
        <w:rPr>
          <w:sz w:val="20"/>
          <w:szCs w:val="20"/>
          <w:color w:val="auto"/>
        </w:rPr>
      </w:pPr>
      <w:r>
        <w:rPr>
          <w:rFonts w:ascii="Times New Roman" w:cs="Times New Roman" w:eastAsia="Times New Roman" w:hAnsi="Times New Roman"/>
          <w:sz w:val="18"/>
          <w:szCs w:val="18"/>
          <w:color w:val="auto"/>
        </w:rPr>
        <w:t>Basic and diluted weighted average common shares outstanding and basic and diluted earnings per common share are calculated as follows (amounts in thousands except per share amounts):</w:t>
      </w:r>
    </w:p>
    <w:p>
      <w:pPr>
        <w:spacing w:after="0" w:line="144" w:lineRule="exact"/>
        <w:rPr>
          <w:sz w:val="20"/>
          <w:szCs w:val="20"/>
          <w:color w:val="auto"/>
        </w:rPr>
      </w:pPr>
    </w:p>
    <w:tbl>
      <w:tblPr>
        <w:tblLayout w:type="fixed"/>
        <w:tblInd w:w="260" w:type="dxa"/>
        <w:tblCellMar>
          <w:top w:w="0" w:type="dxa"/>
          <w:left w:w="0" w:type="dxa"/>
          <w:bottom w:w="0" w:type="dxa"/>
          <w:right w:w="0" w:type="dxa"/>
        </w:tblCellMar>
      </w:tblPr>
      <w:tr>
        <w:trPr>
          <w:trHeight w:val="238"/>
        </w:trPr>
        <w:tc>
          <w:tcPr>
            <w:tcW w:w="3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300" w:type="dxa"/>
            <w:vAlign w:val="bottom"/>
            <w:gridSpan w:val="5"/>
          </w:tcPr>
          <w:p>
            <w:pPr>
              <w:ind w:left="66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140" w:type="dxa"/>
            <w:vAlign w:val="bottom"/>
          </w:tcPr>
          <w:p>
            <w:pPr>
              <w:spacing w:after="0"/>
              <w:rPr>
                <w:sz w:val="20"/>
                <w:szCs w:val="20"/>
                <w:color w:val="auto"/>
              </w:rPr>
            </w:pPr>
          </w:p>
        </w:tc>
        <w:tc>
          <w:tcPr>
            <w:tcW w:w="3220" w:type="dxa"/>
            <w:vAlign w:val="bottom"/>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Thirty-Nine Weeks Ended</w:t>
            </w:r>
          </w:p>
        </w:tc>
        <w:tc>
          <w:tcPr>
            <w:tcW w:w="0" w:type="dxa"/>
            <w:vAlign w:val="bottom"/>
          </w:tcPr>
          <w:p>
            <w:pPr>
              <w:spacing w:after="0"/>
              <w:rPr>
                <w:sz w:val="1"/>
                <w:szCs w:val="1"/>
                <w:color w:val="auto"/>
              </w:rPr>
            </w:pPr>
          </w:p>
        </w:tc>
      </w:tr>
      <w:tr>
        <w:trPr>
          <w:trHeight w:val="223"/>
        </w:trPr>
        <w:tc>
          <w:tcPr>
            <w:tcW w:w="37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October 28, 2023</w:t>
            </w:r>
          </w:p>
        </w:tc>
        <w:tc>
          <w:tcPr>
            <w:tcW w:w="12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October 29, 2022</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October 28, 2023</w:t>
            </w:r>
          </w:p>
        </w:tc>
        <w:tc>
          <w:tcPr>
            <w:tcW w:w="14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October 29, 2022</w:t>
            </w:r>
          </w:p>
        </w:tc>
        <w:tc>
          <w:tcPr>
            <w:tcW w:w="0" w:type="dxa"/>
            <w:vAlign w:val="bottom"/>
          </w:tcPr>
          <w:p>
            <w:pPr>
              <w:spacing w:after="0"/>
              <w:rPr>
                <w:sz w:val="1"/>
                <w:szCs w:val="1"/>
                <w:color w:val="auto"/>
              </w:rPr>
            </w:pPr>
          </w:p>
        </w:tc>
      </w:tr>
      <w:tr>
        <w:trPr>
          <w:trHeight w:val="223"/>
        </w:trPr>
        <w:tc>
          <w:tcPr>
            <w:tcW w:w="3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99,978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131,741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351,023</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470,348</w:t>
            </w:r>
          </w:p>
        </w:tc>
        <w:tc>
          <w:tcPr>
            <w:tcW w:w="0" w:type="dxa"/>
            <w:vAlign w:val="bottom"/>
          </w:tcPr>
          <w:p>
            <w:pPr>
              <w:spacing w:after="0"/>
              <w:rPr>
                <w:sz w:val="1"/>
                <w:szCs w:val="1"/>
                <w:color w:val="auto"/>
              </w:rPr>
            </w:pPr>
          </w:p>
        </w:tc>
      </w:tr>
      <w:tr>
        <w:trPr>
          <w:trHeight w:val="88"/>
        </w:trPr>
        <w:tc>
          <w:tcPr>
            <w:tcW w:w="37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50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37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Weighted average common shares outstanding -</w:t>
            </w:r>
          </w:p>
        </w:tc>
        <w:tc>
          <w:tcPr>
            <w:tcW w:w="140" w:type="dxa"/>
            <w:vAlign w:val="bottom"/>
            <w:shd w:val="clear" w:color="auto" w:fill="CCEEFF"/>
          </w:tcPr>
          <w:p>
            <w:pPr>
              <w:spacing w:after="0"/>
              <w:rPr>
                <w:sz w:val="15"/>
                <w:szCs w:val="15"/>
                <w:color w:val="auto"/>
              </w:rPr>
            </w:pP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74,461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75,809</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shd w:val="clear" w:color="auto" w:fill="CCEEFF"/>
          </w:tcPr>
          <w:p>
            <w:pPr>
              <w:spacing w:after="0"/>
              <w:rPr>
                <w:sz w:val="21"/>
                <w:szCs w:val="21"/>
                <w:color w:val="auto"/>
              </w:rPr>
            </w:pPr>
          </w:p>
        </w:tc>
        <w:tc>
          <w:tcPr>
            <w:tcW w:w="14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79,085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0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82,901</w:t>
            </w:r>
          </w:p>
        </w:tc>
        <w:tc>
          <w:tcPr>
            <w:tcW w:w="0" w:type="dxa"/>
            <w:vAlign w:val="bottom"/>
          </w:tcPr>
          <w:p>
            <w:pPr>
              <w:spacing w:after="0"/>
              <w:rPr>
                <w:sz w:val="1"/>
                <w:szCs w:val="1"/>
                <w:color w:val="auto"/>
              </w:rPr>
            </w:pPr>
          </w:p>
        </w:tc>
      </w:tr>
      <w:tr>
        <w:trPr>
          <w:trHeight w:val="230"/>
        </w:trPr>
        <w:tc>
          <w:tcPr>
            <w:tcW w:w="3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Dilutive effect of Service Restricted Stock Units</w:t>
            </w: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175"/>
        </w:trPr>
        <w:tc>
          <w:tcPr>
            <w:tcW w:w="372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Dilutive effect of Performance Restricted Stock</w:t>
            </w:r>
          </w:p>
        </w:tc>
        <w:tc>
          <w:tcPr>
            <w:tcW w:w="140" w:type="dxa"/>
            <w:vAlign w:val="bottom"/>
            <w:shd w:val="clear" w:color="auto" w:fill="CCEEFF"/>
          </w:tcPr>
          <w:p>
            <w:pPr>
              <w:spacing w:after="0"/>
              <w:rPr>
                <w:sz w:val="15"/>
                <w:szCs w:val="15"/>
                <w:color w:val="auto"/>
              </w:rPr>
            </w:pP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159</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Units</w:t>
            </w:r>
          </w:p>
        </w:tc>
        <w:tc>
          <w:tcPr>
            <w:tcW w:w="140" w:type="dxa"/>
            <w:vAlign w:val="bottom"/>
            <w:shd w:val="clear" w:color="auto" w:fill="CCEEFF"/>
          </w:tcPr>
          <w:p>
            <w:pPr>
              <w:spacing w:after="0"/>
              <w:rPr>
                <w:sz w:val="21"/>
                <w:szCs w:val="21"/>
                <w:color w:val="auto"/>
              </w:rPr>
            </w:pPr>
          </w:p>
        </w:tc>
        <w:tc>
          <w:tcPr>
            <w:tcW w:w="14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0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29"/>
        </w:trPr>
        <w:tc>
          <w:tcPr>
            <w:tcW w:w="3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Dilutive effect of Service Options</w:t>
            </w: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1,176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1,478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1,581</w:t>
            </w: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Dilutive effect of Performance Unit Options</w:t>
            </w: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30"/>
        </w:trPr>
        <w:tc>
          <w:tcPr>
            <w:tcW w:w="3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Dilutive effect of ESPP Shares</w:t>
            </w:r>
          </w:p>
        </w:tc>
        <w:tc>
          <w:tcPr>
            <w:tcW w:w="14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5"/>
        </w:trPr>
        <w:tc>
          <w:tcPr>
            <w:tcW w:w="372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Weighted average common shares outstanding -</w:t>
            </w:r>
          </w:p>
        </w:tc>
        <w:tc>
          <w:tcPr>
            <w:tcW w:w="140" w:type="dxa"/>
            <w:vAlign w:val="bottom"/>
            <w:tcBorders>
              <w:top w:val="single" w:sz="8" w:color="auto"/>
            </w:tcBorders>
            <w:shd w:val="clear" w:color="auto" w:fill="CCEEFF"/>
          </w:tcPr>
          <w:p>
            <w:pPr>
              <w:spacing w:after="0"/>
              <w:rPr>
                <w:sz w:val="13"/>
                <w:szCs w:val="13"/>
                <w:color w:val="auto"/>
              </w:rPr>
            </w:pPr>
          </w:p>
        </w:tc>
        <w:tc>
          <w:tcPr>
            <w:tcW w:w="14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76,057</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5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81,379</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5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77,893</w:t>
            </w: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5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84,910</w:t>
            </w:r>
          </w:p>
        </w:tc>
        <w:tc>
          <w:tcPr>
            <w:tcW w:w="0" w:type="dxa"/>
            <w:vAlign w:val="bottom"/>
          </w:tcPr>
          <w:p>
            <w:pPr>
              <w:spacing w:after="0"/>
              <w:rPr>
                <w:sz w:val="1"/>
                <w:szCs w:val="1"/>
                <w:color w:val="auto"/>
              </w:rPr>
            </w:pPr>
          </w:p>
        </w:tc>
      </w:tr>
      <w:tr>
        <w:trPr>
          <w:trHeight w:val="236"/>
        </w:trPr>
        <w:tc>
          <w:tcPr>
            <w:tcW w:w="3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37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50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common share - basic</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0" w:type="dxa"/>
            <w:vAlign w:val="bottom"/>
          </w:tcPr>
          <w:p>
            <w:pPr>
              <w:spacing w:after="0"/>
              <w:rPr>
                <w:sz w:val="1"/>
                <w:szCs w:val="1"/>
                <w:color w:val="auto"/>
              </w:rPr>
            </w:pPr>
          </w:p>
        </w:tc>
      </w:tr>
      <w:tr>
        <w:trPr>
          <w:trHeight w:val="230"/>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common share - diluted</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4.51</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0" w:type="dxa"/>
            <w:vAlign w:val="bottom"/>
          </w:tcPr>
          <w:p>
            <w:pPr>
              <w:spacing w:after="0"/>
              <w:rPr>
                <w:sz w:val="1"/>
                <w:szCs w:val="1"/>
                <w:color w:val="auto"/>
              </w:rPr>
            </w:pPr>
          </w:p>
        </w:tc>
      </w:tr>
      <w:tr>
        <w:trPr>
          <w:trHeight w:val="108"/>
        </w:trPr>
        <w:tc>
          <w:tcPr>
            <w:tcW w:w="37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5"/>
        </w:trPr>
        <w:tc>
          <w:tcPr>
            <w:tcW w:w="37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Anti-dilutive stock-based awards excluded from</w:t>
            </w:r>
          </w:p>
        </w:tc>
        <w:tc>
          <w:tcPr>
            <w:tcW w:w="140" w:type="dxa"/>
            <w:vAlign w:val="bottom"/>
          </w:tcPr>
          <w:p>
            <w:pPr>
              <w:spacing w:after="0"/>
              <w:rPr>
                <w:sz w:val="15"/>
                <w:szCs w:val="15"/>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253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135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calculation</w:t>
            </w:r>
          </w:p>
        </w:tc>
        <w:tc>
          <w:tcPr>
            <w:tcW w:w="140" w:type="dxa"/>
            <w:vAlign w:val="bottom"/>
          </w:tcPr>
          <w:p>
            <w:pPr>
              <w:spacing w:after="0"/>
              <w:rPr>
                <w:sz w:val="21"/>
                <w:szCs w:val="21"/>
                <w:color w:val="auto"/>
              </w:rPr>
            </w:pPr>
          </w:p>
        </w:tc>
        <w:tc>
          <w:tcPr>
            <w:tcW w:w="14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Commitments and Contingencies</w:t>
      </w:r>
    </w:p>
    <w:p>
      <w:pPr>
        <w:spacing w:after="0" w:line="25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Technology Related and Other Commitments</w:t>
      </w:r>
    </w:p>
    <w:p>
      <w:pPr>
        <w:spacing w:after="0" w:line="175" w:lineRule="exact"/>
        <w:rPr>
          <w:sz w:val="20"/>
          <w:szCs w:val="20"/>
          <w:color w:val="auto"/>
        </w:rPr>
      </w:pPr>
    </w:p>
    <w:p>
      <w:pPr>
        <w:ind w:left="260" w:firstLine="324"/>
        <w:spacing w:after="0" w:line="282" w:lineRule="auto"/>
        <w:rPr>
          <w:sz w:val="20"/>
          <w:szCs w:val="20"/>
          <w:color w:val="auto"/>
        </w:rPr>
      </w:pPr>
      <w:r>
        <w:rPr>
          <w:rFonts w:ascii="Times New Roman" w:cs="Times New Roman" w:eastAsia="Times New Roman" w:hAnsi="Times New Roman"/>
          <w:sz w:val="18"/>
          <w:szCs w:val="18"/>
          <w:color w:val="auto"/>
        </w:rPr>
        <w:t>As of October 28, 2023, we have obligations under technology-related, construction and other contractual commitments in the amount of $68.4 million. Of such commitments, approximately $36.4 million is payable in the next 12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09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Guarantees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normal course of business, we enter into contracts that contain a variety of representations and warranties and provide general indemnifications. The maximum exposure under these arrangements is unknown as this would involve future claims that may be made against us that have not yet occurred. However, based on experience, we believe the risk of loss to be remote.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75"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We are a defendant or co-defendant in lawsuits, claims and demands brought by various parties relating to matters normally incident to our business. No individual case, or group of cases against us, presenting substantially similar issues of law or fact, is expected to have a material effect on the manner in which we conduct our business or on our consolidated results of operations, financial position or liquidity. The majority of these cases are alleging product, premises, employment and/or commercial liability. Reserves have been established that we believe to be adequate based on our current evaluations and experience in these types of claim situations; however, the ultimate outcome of these cases cannot be determined at this time. We believe, taking into consideration our indemnities, defenses, insurance and reserves, the ultimate resolution of these matters will not have a material impact on our financial position, results of operations or cash flows. In addition, government agencies and self-regulatory organizations have the ability to conduct periodic examinations of and administrative proceedings regarding our business. On May 9, 2023, the U.S. Customs and Border Protection (the "CBP") notified us we owed additional duties relating to certain products that we imported from China that CBP believes are subject to certain anti-dumping and/or countervailing duties. We do not believe that these products are subject to such duties and are contesting CBP’s determination vigorously. While we contest CBP’s determination, we were required to deposit with CBP an amount of duties relating to these products, which are included in prepaid expenses and other current assets on the Company’s consolidated balance sheet while this matter is pending. We do not believe this matter will have a material adverse effect on our financial position, results of operations or cash flows. However, the ultimate outcome of this matter cannot be determined at this time, and we cannot assure you that we will be successful in contesting CBP's determination or that we will not need to accrue or pay additional amounts in the future.</w:t>
      </w:r>
    </w:p>
    <w:p>
      <w:pPr>
        <w:spacing w:after="0" w:line="14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have been no material developments during the fiscal quarter ended October 28, 2023, with respect to any of the matters discussed under the heading "Legal Proceedings" in the Annual Report. We are not currently party to any other legal proceedings that we believe would have a material adverse effect on our financial position, results of operations or cash flows.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Sponsorship Agreement and Intellectual Property Commitments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periodically enter into sponsorship agreements generally with professional sports teams, associations, events, networks, or individual professional players and collegiate athletic programs in exchange for marketing and advertising promotions. We also enter into intellectual property agreements whereby the Company receives the right to use third-party owned trademarks typically in exchange for royalties on sales. These agreements typically contain a one to three-year term and contractual payment amounts required to be paid by the Company. As of October 28, 2023, we have $13.8 million in related commitments through 2027, of which $5.1 million is payable in the next 12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108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11. Subsequent Events</w:t>
      </w:r>
    </w:p>
    <w:p>
      <w:pPr>
        <w:spacing w:after="0" w:line="175" w:lineRule="exact"/>
        <w:rPr>
          <w:sz w:val="20"/>
          <w:szCs w:val="20"/>
          <w:color w:val="auto"/>
        </w:rPr>
      </w:pPr>
    </w:p>
    <w:p>
      <w:pPr>
        <w:jc w:val="both"/>
        <w:ind w:left="340" w:firstLine="324"/>
        <w:spacing w:after="0" w:line="282" w:lineRule="auto"/>
        <w:rPr>
          <w:sz w:val="20"/>
          <w:szCs w:val="20"/>
          <w:color w:val="auto"/>
        </w:rPr>
      </w:pPr>
      <w:r>
        <w:rPr>
          <w:rFonts w:ascii="Times New Roman" w:cs="Times New Roman" w:eastAsia="Times New Roman" w:hAnsi="Times New Roman"/>
          <w:sz w:val="18"/>
          <w:szCs w:val="18"/>
          <w:color w:val="auto"/>
        </w:rPr>
        <w:t>Our management evaluated events or transactions that occurred after October 28, 2023 through November 30, 2023, the issuance date of the consolidated financial statements, and identified the following matters to report:</w:t>
      </w:r>
    </w:p>
    <w:p>
      <w:pPr>
        <w:spacing w:after="0" w:line="108" w:lineRule="exact"/>
        <w:rPr>
          <w:sz w:val="20"/>
          <w:szCs w:val="20"/>
          <w:color w:val="auto"/>
        </w:rPr>
      </w:pPr>
    </w:p>
    <w:p>
      <w:pPr>
        <w:jc w:val="both"/>
        <w:ind w:left="340" w:firstLine="324"/>
        <w:spacing w:after="0" w:line="266" w:lineRule="auto"/>
        <w:rPr>
          <w:sz w:val="20"/>
          <w:szCs w:val="20"/>
          <w:color w:val="auto"/>
        </w:rPr>
      </w:pPr>
      <w:r>
        <w:rPr>
          <w:rFonts w:ascii="Times New Roman" w:cs="Times New Roman" w:eastAsia="Times New Roman" w:hAnsi="Times New Roman"/>
          <w:sz w:val="18"/>
          <w:szCs w:val="18"/>
          <w:color w:val="auto"/>
        </w:rPr>
        <w:t>On November 29, 2023, the Company's Board of Directors declared a quarterly cash dividend with respect to the fiscal quarter ended October 28, 2023, of $0.09 per share of the Company's common stock, payable on January 10, 2024, to stockholders of record as of the close of business on December 13, 2023.</w:t>
      </w:r>
    </w:p>
    <w:p>
      <w:pPr>
        <w:spacing w:after="0" w:line="122" w:lineRule="exact"/>
        <w:rPr>
          <w:sz w:val="20"/>
          <w:szCs w:val="20"/>
          <w:color w:val="auto"/>
        </w:rPr>
      </w:pPr>
    </w:p>
    <w:p>
      <w:pPr>
        <w:jc w:val="both"/>
        <w:ind w:left="340" w:firstLine="324"/>
        <w:spacing w:after="0" w:line="254" w:lineRule="auto"/>
        <w:rPr>
          <w:sz w:val="20"/>
          <w:szCs w:val="20"/>
          <w:color w:val="auto"/>
        </w:rPr>
      </w:pPr>
      <w:r>
        <w:rPr>
          <w:rFonts w:ascii="Times New Roman" w:cs="Times New Roman" w:eastAsia="Times New Roman" w:hAnsi="Times New Roman"/>
          <w:sz w:val="18"/>
          <w:szCs w:val="18"/>
          <w:color w:val="auto"/>
        </w:rPr>
        <w:t>On November 29, 2023, the Company's Board of Directors authorized a new share repurchase program under which the Company may purchase up to $600 million of its outstanding shares during the three-year period ending November 29, 2026 (the "2023 Share Repurchase Program"). Under the 2023 Share Repurchase Program repurchases can be made using a variety of methods, which may include open market purchases, block trades, accelerated share repurchase programs, privately negotiated transactions and/or a non-discretionary trading plan, all in compliance with the rules of the SEC and other applicable legal requirements. The timing, manner, price and amount of any common share repurchases under the 2023 Share Repurchase Program will be determined by the Company in its discretion and will depend on a variety of factors, including legal requirements, price and economic and market conditions. The 2023 Share Repurchase Program does not obligate the Company to acquire any particular number of common shares, and the program may be suspended, extended, modified or discontinued at any time.</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total availability under the 2023 Share Repurchase Program and the 2022 Share Repurchase Program is $699.4 million.</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(this "Quarterly Report") includes "forward-looking" statements within the meaning of Section 27A of the Securities Act of 1933, as amended (the "Securities Act"), and Section 21E of the Securities Exchange Act of 1934, as amended (the "Exchange Act"), which are subject to the "safe harbor" created by those sections. Forward-looking statements include all statements that are not historical facts, including statements reflecting our current views with respect to, among other things, our operations and financial performance. These forward-looking statements are included throughout this Quarterly Report, including this "Management’s Discussion and Analysis of Financial Condition and Results of Operations" and in the section entitled "Risk Factors," and relate to matters such as macroeconomic conditions, our industry, business strategy, goals and expectations concerning our market position, future operations, margins, profitability, capital expenditures, liquidity and capital resources and other financial and operating information. We have used the words "anticipate," "assume," "believe," "continue," "could," "estimate," "expect," "intend," "may," "plan," "potential," "predict," "project," "future," "will," "seek," "foreseeable," the negative version of these words or similar terms and phrases to identify forward-looking statements in this Quarterly Report.</w:t>
      </w:r>
    </w:p>
    <w:p>
      <w:pPr>
        <w:spacing w:after="0" w:line="140" w:lineRule="exact"/>
        <w:rPr>
          <w:sz w:val="20"/>
          <w:szCs w:val="20"/>
          <w:color w:val="auto"/>
        </w:rPr>
      </w:pPr>
    </w:p>
    <w:p>
      <w:pPr>
        <w:jc w:val="both"/>
        <w:ind w:firstLine="324"/>
        <w:spacing w:after="0" w:line="272" w:lineRule="auto"/>
        <w:rPr>
          <w:sz w:val="20"/>
          <w:szCs w:val="20"/>
          <w:color w:val="auto"/>
        </w:rPr>
      </w:pPr>
      <w:r>
        <w:rPr>
          <w:rFonts w:ascii="Times New Roman" w:cs="Times New Roman" w:eastAsia="Times New Roman" w:hAnsi="Times New Roman"/>
          <w:sz w:val="17"/>
          <w:szCs w:val="17"/>
          <w:color w:val="auto"/>
        </w:rPr>
        <w:t>The forward-looking statements contained in this Quarterly Report are based on management’s current expectations and are not guarantees of future performance. The forward-looking statements are subject to various risks, uncertainties, assumptions or changes in circumstances that are difficult to predict or quantify. Our expectations, beliefs, and projections are expressed in good faith and we believe there is a reasonable basis for them. However, there can be no assurance that management’s expectations, beliefs and projections will result or be achieved. Actual results may differ materially from these expectations due to changes in global, regional or local economic, business, competitive, market, regulatory and other factors, many of which are beyond our control. We believe that these factors include but are not limited to those described under "Risk Factors" in the Company's Annual Report on Form 10-K for the fiscal year ended January 28, 2023 (the "Annual Report"), as filed with the Securities and Exchange Commission (the "SEC") on March 16, 2023, as such risk factors have been updated from time to time in our periodic filings with the SEC, and are accessible on the SEC's website at www.sec.gov.</w:t>
      </w:r>
    </w:p>
    <w:p>
      <w:pPr>
        <w:spacing w:after="0" w:line="11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Any forward-looking statement made by us in this Quarterly Report speaks only as of the date of this Quarterly Report and are expressly qualified in their entirety by the cautionary statements included in this Quarterly Report. Factors or events that could cause our actual results to differ may emerge from time to time, and it is not possible for us to predict all of them.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investments or other strategic transactions we may make. We undertake no obligation to publicly update or review any forward-looking statement, whether as a result of new information, future developments or otherwise, except as may be required by any applicable securities laws.</w:t>
      </w:r>
    </w:p>
    <w:p>
      <w:pPr>
        <w:spacing w:after="0" w:line="13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principal factors that make an investment in our securities speculative or risky (all of which are more fully described in the section entitled "Risk Factors" in the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 and Industry</w:t>
      </w:r>
    </w:p>
    <w:p>
      <w:pPr>
        <w:spacing w:after="0" w:line="67"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decline in the health of the economy and consumer discretionary spending;</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predict or effectively react to changes in consumer tastes and preferences, to acquire and sell brand name merchandise at competitive prices and/or to manage our inventory balances;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impact of the COVID-19 pandemic on our business and the communities we serve;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reliance on internationally manufactured merchandise;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safeguard sensitive or confidential data relating to us and our customers, team members and vendors;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intense competition in the sporting goods and outdoor recreation retail industries;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operate, update or implement our information technology systems;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disruptions in our supply chain and losses of merchandise purchasing incentives;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harm to our reputation;</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of our third-party vendors of outsourced business services and solutions;</w:t>
      </w:r>
    </w:p>
    <w:p>
      <w:pPr>
        <w:spacing w:after="0" w:line="63"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continue our store growth plans or manage our growth effectively, or any failure of our new stores to generate sales and/or achieve profitability;</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e-commerce business;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0" w:name="page21"/>
    <w:bookmarkEnd w:id="20"/>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private label brand merchandise;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disruption in the operation of our distribution centers;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and seasonal fluctuations in our operating results;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severe weather events, catastrophic health events, natural or man-made disasters, social and political conditions or civil unrest;</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our ability to meet our labor needs;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key personnel;</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geographic concentration of our stores;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merchandise (including raw materials) costs and availability;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payment-related risks;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marketing and advertising programs;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pursue strategic acquisitions and integrate acquired businesses.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and Regulatory Risks</w:t>
      </w:r>
    </w:p>
    <w:p>
      <w:pPr>
        <w:spacing w:after="0" w:line="67" w:lineRule="exact"/>
        <w:rPr>
          <w:sz w:val="20"/>
          <w:szCs w:val="20"/>
          <w:color w:val="auto"/>
        </w:rPr>
      </w:pPr>
    </w:p>
    <w:p>
      <w:pPr>
        <w:ind w:left="660" w:hanging="328"/>
        <w:spacing w:after="0" w:line="281"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laws and regulations affecting our business, including those relating to the sale, manufacture and import of consumer products;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climate change and other sustainability-related matters;</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demands and lawsuits to which we are, and may in the future, be subject and the risk that our insurance or indemnities coverage may not be sufficient;</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product safety;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and avoid the infringement of third-party intellectual property rights.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Indebtedness</w:t>
      </w:r>
    </w:p>
    <w:p>
      <w:pPr>
        <w:spacing w:after="0" w:line="67" w:lineRule="exact"/>
        <w:rPr>
          <w:sz w:val="20"/>
          <w:szCs w:val="20"/>
          <w:color w:val="auto"/>
        </w:rPr>
      </w:pPr>
    </w:p>
    <w:p>
      <w:pPr>
        <w:ind w:left="660" w:hanging="328"/>
        <w:spacing w:after="0" w:line="281"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level of indebtedness and related debt service payments and our ability to generate sufficient cash flow to satisfy all of our obligations under our indebtedness;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incur substantially more debt;</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variable rate indebtedness subjects us to interest rate risk;</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our current and future operations imposed by the terms of our indebtedness;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borrow under the ABL Facility (as defined below);</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level of indebtedness may hinder our ability to negotiate favorable terms with our vendors;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the Ownership of Our Common Stock</w:t>
      </w:r>
    </w:p>
    <w:p>
      <w:pPr>
        <w:spacing w:after="0" w:line="67"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is volatile or may decline;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or decision to pay dividends on our common stock or conduct stock repurchases;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or negative coverage by securities analysts;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anti-takeover provisions in our organizational documents could delay or prevent a change of control;</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is authorized to issue and designate shares of preferred stock without stockholder approval;</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exclusive forum provision;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be diluted by any future issuances of shares by us.</w:t>
      </w:r>
    </w:p>
    <w:p>
      <w:pPr>
        <w:spacing w:after="0" w:line="171"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These factors should not be construed as exhaustive and should be read in conjunction with the other cautionary statements that are included in this Quarterly Report. Should one or more of these risks or uncertainties materialize, or should any of our assumptions prove incorrect, our actual results may vary in material respects from those projected in these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1" w:name="page22"/>
    <w:bookmarkEnd w:id="21"/>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together with our unaudited financial statements and related notes included elsewhere in this Quarterly Report for the thirteen and thirty-nine weeks ended October 28, 2023 and our audited financial statements for the fiscal year ended January 28, 2023 and the section entitled "Management's Discussion and Analysis of Financial Condition and Results of Operations" included in the Annual Report.</w:t>
      </w:r>
    </w:p>
    <w:p>
      <w:pPr>
        <w:spacing w:after="0" w:line="12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All references to "Academy," "Academy Sports + Outdoors," "ASO, Inc.," "we," "us," "our" or the "Company" in this Quarterly Report refer to Academy Sports and Outdoors, Inc., a Delaware corporation and the current parent holding company of our operations, and its consolidated subsidiaries. We conduct our operations through our subsidiaries, including our indirect subsidiary, Academy, Ltd., an operating company which is doing business as "Academy Sports + Outdoors." All of the Company's sales and business operations occur at Academy, Ltd., and Academy, Ltd., is also the borrower and/or issuer of the Company's long-term debt and lessee of facilities.</w:t>
      </w:r>
    </w:p>
    <w:p>
      <w:pPr>
        <w:spacing w:after="0" w:line="1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We operate on a retail fiscal calendar pursuant to which our fiscal year consists of 52 or 53 weeks, ending on the Saturday closest to January 31 (which such Saturday may occur on a date following January 31) each year. References to any year, quarter, or month mean our fiscal year, fiscal quarter, and fiscal month, respectively, unless the context requires otherwise. References to the "current quarter," "2023 third quarter," or similar reference refers to the thirteen week period ended October 28, 2023, and any reference to the "prior year quarter," "2022 third quarter" or similar reference refers to the thirteen week period ended October 29, 2022. Any reference in this Quarterly Report to "current year-to-date," "year-to-date 2023" or similar reference represents the thirty-nine week period ended October 28, 2023, and any reference in this Quarterly Report to "prior year-to-date," "year-to-date 2022" or similar reference represents the thirty-nine week period ended October 29, 2022. Unless otherwise specified, all comparisons regarding the current period of 2023 are made to the corresponding period of 2022.</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a leading full-line sporting goods and outdoor recreation retailer in the United States. Our mission is to provide “Fun for All”, and we fulfill this mission with a localized merchandising strategy and value proposition that deeply connect with a broad range of consumers. Our product assortment focuses on key categories of outdoors, apparel, footwear and sports and recreation (representing 32%, 27%, 22% and 19% of our 2023 third quarter net sales, respectively) through both leading national brands and a portfolio of private label brands, which go well beyond traditional sporting goods and apparel offerings.</w:t>
      </w:r>
    </w:p>
    <w:p>
      <w:pPr>
        <w:spacing w:after="0" w:line="1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sell a range of sporting and outdoor recreation products, including sporting equipment, apparel, footwear, camping gear, patio furniture, outdoor cooking equipment, and hunting and fishing gear, among many others. Our strong merchandise assortment is anchored by our broad offering of year-round items, such as fitness equipment and apparel, work and casual wear, folding chairs, wagons and tents, training and running shoes, and coolers. We also carry a deep selection of seasonal items, such as sports equipment and apparel, seasonal wear and accessories, hunting and fishing equipment and apparel, patio furniture, trampolines, play sets, bicycles, and severe weather supplies. We provide locally relevant offerings, such as crawfish boilers in Louisiana, licensed apparel for area sports fans, baits and lures for area fishing spots, and beach towels in coastal markets.</w:t>
      </w:r>
    </w:p>
    <w:p>
      <w:pPr>
        <w:spacing w:after="0" w:line="13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of October 28, 2023, we operated 275 stores that range in size from approximately 40,000 to 130,000 gross square feet, with an average size of approximately 70,000 gross square feet, throughout 18 contiguous states located primarily in the southern United States. Our stores are supported by approximately 22,000 team members, three distribution centers, and our e-commerce platform, which includes our website at www.academy.com and our mobile app. Additionally, we are deepening our customer relationships, further integrating our e-commerce platform with our stores and driving operating efficiencies by developing our omnichannel capabilities, such as our mobile app, optimizing the website experience and upgrading our fulfillment capabilities.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3"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4"/>
        </w:trPr>
        <w:tc>
          <w:tcPr>
            <w:tcW w:w="7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following table summarizes store activity for the periods indicated:</w:t>
            </w: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418"/>
        </w:trPr>
        <w:tc>
          <w:tcPr>
            <w:tcW w:w="7540" w:type="dxa"/>
            <w:vAlign w:val="bottom"/>
          </w:tcPr>
          <w:p>
            <w:pPr>
              <w:spacing w:after="0"/>
              <w:rPr>
                <w:sz w:val="24"/>
                <w:szCs w:val="24"/>
                <w:color w:val="auto"/>
              </w:rPr>
            </w:pPr>
          </w:p>
        </w:tc>
        <w:tc>
          <w:tcPr>
            <w:tcW w:w="3700" w:type="dxa"/>
            <w:vAlign w:val="bottom"/>
            <w:tcBorders>
              <w:bottom w:val="single" w:sz="8" w:color="auto"/>
            </w:tcBorders>
            <w:gridSpan w:val="3"/>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Thirty-Nine Weeks Ended</w:t>
            </w:r>
          </w:p>
        </w:tc>
      </w:tr>
      <w:tr>
        <w:trPr>
          <w:trHeight w:val="223"/>
        </w:trPr>
        <w:tc>
          <w:tcPr>
            <w:tcW w:w="7540" w:type="dxa"/>
            <w:vAlign w:val="bottom"/>
          </w:tcPr>
          <w:p>
            <w:pPr>
              <w:spacing w:after="0"/>
              <w:rPr>
                <w:sz w:val="19"/>
                <w:szCs w:val="19"/>
                <w:color w:val="auto"/>
              </w:rPr>
            </w:pPr>
          </w:p>
        </w:tc>
        <w:tc>
          <w:tcPr>
            <w:tcW w:w="190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October 28, 2023</w:t>
            </w:r>
          </w:p>
        </w:tc>
        <w:tc>
          <w:tcPr>
            <w:tcW w:w="18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October 29, 2022</w:t>
            </w:r>
          </w:p>
        </w:tc>
      </w:tr>
      <w:tr>
        <w:trPr>
          <w:trHeight w:val="223"/>
        </w:trPr>
        <w:tc>
          <w:tcPr>
            <w:tcW w:w="7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stores</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268</w:t>
            </w:r>
          </w:p>
        </w:tc>
        <w:tc>
          <w:tcPr>
            <w:tcW w:w="10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r>
      <w:tr>
        <w:trPr>
          <w:trHeight w:val="229"/>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Q1 new stores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Q2 new stores</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Q3 new stores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Closed</w:t>
            </w:r>
          </w:p>
        </w:tc>
        <w:tc>
          <w:tcPr>
            <w:tcW w:w="1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stores</w:t>
            </w: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275</w:t>
            </w:r>
          </w:p>
        </w:tc>
        <w:tc>
          <w:tcPr>
            <w:tcW w:w="100" w:type="dxa"/>
            <w:vAlign w:val="bottom"/>
          </w:tcPr>
          <w:p>
            <w:pPr>
              <w:spacing w:after="0"/>
              <w:rPr>
                <w:sz w:val="19"/>
                <w:szCs w:val="19"/>
                <w:color w:val="auto"/>
              </w:rPr>
            </w:pP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w:t>
            </w:r>
          </w:p>
        </w:tc>
      </w:tr>
      <w:tr>
        <w:trPr>
          <w:trHeight w:val="20"/>
        </w:trPr>
        <w:tc>
          <w:tcPr>
            <w:tcW w:w="754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r>
        <w:trPr>
          <w:trHeight w:val="237"/>
        </w:trPr>
        <w:tc>
          <w:tcPr>
            <w:tcW w:w="754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r>
      <w:tr>
        <w:trPr>
          <w:trHeight w:val="238"/>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Relocated stores</w:t>
            </w:r>
          </w:p>
        </w:tc>
        <w:tc>
          <w:tcPr>
            <w:tcW w:w="1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3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How We Assess the Performance of Our Business and Recent Trends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management considers a number of financial and operating metrics, including the following key metrics, to evaluate our business, measure our performance, identify trends affecting our business, determine the allocation of resources, make decisions regarding corporate strategies and evaluate projections. These metrics include operational measures and non-GAAP metrics supplemental to our GAAP results.</w:t>
      </w:r>
    </w:p>
    <w:p>
      <w:pPr>
        <w:spacing w:after="0" w:line="11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Comparable Sales. </w:t>
      </w:r>
      <w:r>
        <w:rPr>
          <w:rFonts w:ascii="Times New Roman" w:cs="Times New Roman" w:eastAsia="Times New Roman" w:hAnsi="Times New Roman"/>
          <w:sz w:val="18"/>
          <w:szCs w:val="18"/>
          <w:color w:val="auto"/>
        </w:rPr>
        <w:t>We define comparable sales as the percentage of period-over-period net sales increase or decrease, in the aggregate, for stores open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after thirteen full fiscal months, as well as for all e-commerce sales. There may be variations in the way in which some of our competitors and other retailers calculate comparable sales. As a result, data in this Quarterly Report regarding our comparable sales may not be comparable to similar data made available by other retailers. Stores which have been significantly remodeled or relocated are removed from this calculation until the new store has been in operation for substantially all of the periods being compared. Stores which have been closed for an extended period of time due to circumstances beyond our control are also removed from the calculation. Any sales made through our website or mobile app are allocated to e-commerce sales for the purpose of measuring comparable sales, regardless of how those sales are fulfilled, whether shipped to home or picked up in-store or curbside through our buy-online-pickup-in-store program ("BOPIS"). For example, all BOPIS transactions, which are originated by our website, are allocated to e-commerce sales for the purpose of comparable sales, despite the fact that our customers pick-up these purchases from a specific store.</w:t>
      </w:r>
    </w:p>
    <w:p>
      <w:pPr>
        <w:spacing w:after="0" w:line="13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Increases or decreases in e-commerce between periods being compared directly impact the comparable sales results. Various factors affect comparable sales, including consumer preferences, buying trends and overall economic trends; our ability to identify and respond effectively to customer preferences and local and regional trends; our ability to provide an assortment of high quality/value oriented product offerings that generate new and repeat visits to our stores and our website; the customer experience and unique services we provide in our stores; our ability to execute our omnichannel strategy, including the growth of our e-commerce business; changes in product mix and pricing, including promotional activities; the number of items purchased per visit and average order value; a shift in the timing of a holiday between comparable periods; and the number of stores that have been in operation for more than 13 months.</w:t>
      </w:r>
    </w:p>
    <w:p>
      <w:pPr>
        <w:spacing w:after="0" w:line="13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experienced a decrease in comparable sales in the prior year, which continued with a decline of 7.6% for the year-to-date 2023. See the discussion on Net Sales below for some contributing factors to these changes.</w:t>
      </w:r>
    </w:p>
    <w:p>
      <w:pPr>
        <w:spacing w:after="0" w:line="104"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Transactions and average ticket. </w:t>
      </w:r>
      <w:r>
        <w:rPr>
          <w:rFonts w:ascii="Times New Roman" w:cs="Times New Roman" w:eastAsia="Times New Roman" w:hAnsi="Times New Roman"/>
          <w:sz w:val="18"/>
          <w:szCs w:val="18"/>
          <w:color w:val="auto"/>
        </w:rPr>
        <w:t>We define transactions as the number of customer transactions for stores and e-commerce during a given period on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comparable sales basis. Transactions are influenced by customer traffic, the amount of customers that visited our stores or website, and sales conversion, the percent of those customers that made a purchase. We define average ticket as total comparable sales divided by the number of transactions during a given period, which tells us the average amount the customer is spending on a purchase.</w:t>
      </w:r>
    </w:p>
    <w:p>
      <w:pPr>
        <w:spacing w:after="0" w:line="122"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Adjusted EBITDA, Adjusted EBIT, Adjusted Net Income, Adjusted Earnings per Share and Adjusted Free Cash Flow. </w:t>
      </w:r>
      <w:r>
        <w:rPr>
          <w:rFonts w:ascii="Times New Roman" w:cs="Times New Roman" w:eastAsia="Times New Roman" w:hAnsi="Times New Roman"/>
          <w:sz w:val="18"/>
          <w:szCs w:val="18"/>
          <w:color w:val="auto"/>
        </w:rPr>
        <w:t>Management uses Adjusted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EBITDA, Adjusted EBIT, Adjusted Net Income, Adjusted Earnings per Share and Adjusted Free Cash Flow to supplement GAAP measures of performance in the evaluation of the effectiveness of our business strategies, to make budgeting decisions, and to compare our performance against that of other peer companies using similar measures. Management also uses Adjusted EBIT as a performance target to establish and award discretionary annual incentive compensation. See "Non-GAAP Measures" below.</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23" w:name="page24"/>
    <w:bookmarkEnd w:id="23"/>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Components of Our Results of Operations. </w:t>
      </w:r>
      <w:r>
        <w:rPr>
          <w:rFonts w:ascii="Times New Roman" w:cs="Times New Roman" w:eastAsia="Times New Roman" w:hAnsi="Times New Roman"/>
          <w:sz w:val="18"/>
          <w:szCs w:val="18"/>
          <w:color w:val="auto"/>
        </w:rPr>
        <w:t>Our profitability is primarily influenced by fluctuations in net sales, gross margin and our ability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leverage selling, general and administrative expenses.</w:t>
      </w:r>
    </w:p>
    <w:p>
      <w:pPr>
        <w:spacing w:after="0" w:line="1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Net Sales. </w:t>
      </w:r>
      <w:r>
        <w:rPr>
          <w:rFonts w:ascii="Times New Roman" w:cs="Times New Roman" w:eastAsia="Times New Roman" w:hAnsi="Times New Roman"/>
          <w:sz w:val="18"/>
          <w:szCs w:val="18"/>
          <w:color w:val="auto"/>
        </w:rPr>
        <w:t>Net sales are derived from in-store and e-commerce merchandise sales, net of sales tax and an allowance for merchandise returns.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sales fluctuations can be driven by new store openings, comparable sales increases or decreases including e-commerce sales, our ability to adjust inventory based on sales fluctuations, our management of vendor relations and meeting customer demand, allowances and logistics, seasonality, unseasonal or extreme weather, changes in consumer shopping preferences, consumer discretionary spending, and market and sales promotions.</w:t>
      </w:r>
    </w:p>
    <w:p>
      <w:pPr>
        <w:spacing w:after="0" w:line="12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must maintain sufficient inventory levels of merchandise that our customers desire to successfully operate our business. A shortage of popular merchandise could reduce our net sales. Conversely, we also must seek to avoid accumulating excess inventory to avoid markdowns and clearance which negatively impact sales and gross margin. We have deployed several new tools over recent years to improve inventory handling and vendor management, including third-party programs to analyze our inventory stock and execute a disciplined markdown strategy throughout the year at every location. This implementation, along with other factors, has allowed us to improve our inventory management in stores over the past few years. We have coupled these tools with the data we have been able to collect from our Academy Credit Card program, our customer database and targeted customer surveys, so that we can better estimate future inventory requirements. It is imperative that we continue to find innovative ways to strengthen our inventory management if we are to remain competitive and expand our margins on a go-forward basis.</w:t>
      </w:r>
    </w:p>
    <w:p>
      <w:pPr>
        <w:spacing w:after="0" w:line="138"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broad assortment gives us an advantage over mass general merchants who typically do not carry the leading national brands sold at Academy. We have also continued to add private label brand products to our assortment of products, which we generally price lower than the national brand products of comparable quality that we also offer. A shift in our sales mix in which we sell more units of our private label brand products and fewer units of the national brand products would generally have a positive impact on our gross margin but an adverse impact on our total net sales. Furthermore, our softgoods merchandise divisions, which consist of apparel and footwear, have higher margins than our hardgoods merchandise divisions, which consist of outdoors and sports and recreation. A shift in sales mix toward softgoods would generally have a positive impact on gross margin and a shift in sales mix towards hardgoods would generally have a negative impact on gross margin. In recent years we have experienced higher sales related to the outdoors and sports and recreation merchandise divisions, as our customers turned to us for isolated recreation and outdoor and leisure activities during the pandemic. As our business has normalized, we have experienced a shift in our sales mix from the outdoors and sports and recreation merchandise divisions to the footwear and apparel merchandise divisions, which has generally had a positive impact on our gross margin rate.</w:t>
      </w:r>
    </w:p>
    <w:p>
      <w:pPr>
        <w:spacing w:after="0" w:line="14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expansion and enhancement of our omnichannel capabilities has resulted in increased sales in recent years, and we expect that it will continue to be a driver of growth in our net sales. We continue to invest in initiatives that will increase traffic to our e-commerce platform, which includes our website and mobile app, and drive increased online sales conversion. We have recently improved our omnichannel capabilities by implementing several innovative features to enhance the customer shopping experience, including a redesigned home page, additional BOPIS features, and enhanced shipment notifications. Our improved e-commerce platform supports our stores with digital marketing and our BOPIS and ship-to-store programs. Additionally, our e-commerce platform allows us to reach customers outside of our current store footprint and introduces new customers to the Academy brand. It also allows for us to connect further with our customers for marketing and product education. We believe it is important that we continue to grow our omnichannel capabilities, which, together with recent enhancements made to our website and omnichannel capabilities, contributed to the increase in e-commerce sales during 2022. During the 2023 third quarter, stores facilitated approximately 95% of our total sales, including ship-from-store, BOPIS and in-store retail sales. We expect to continue to invest in expanding and enhancing our omnichannel capabilities, including our mobile app, optimizing the web site experience and upgrading our fulfillment capabilities, which will continue to require significant investments by us.</w:t>
      </w:r>
    </w:p>
    <w:p>
      <w:pPr>
        <w:spacing w:after="0" w:line="13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expect that new stores will be a key driver of growth in our net sales in the future as we execute our new store opening growth plans of 14 total new stores in 2023 and 120 to 140 total new stores over the five fiscal year period ending with 2027. Our results of operations have been and will continue to be materially affected by the timing and number of new store openings. We are continually assessing the number of locations available that could accommodate our preferred size of stores in markets we would consider, and during the 2023 third quarter we opened five new stores. We expect most of our stores to achieve profitability within the first twelve months of opening. We believe our real estate strategy has positioned us well for further expansion.</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4" w:name="page25"/>
    <w:bookmarkEnd w:id="24"/>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Gross Margin. </w:t>
      </w:r>
      <w:r>
        <w:rPr>
          <w:rFonts w:ascii="Times New Roman" w:cs="Times New Roman" w:eastAsia="Times New Roman" w:hAnsi="Times New Roman"/>
          <w:sz w:val="18"/>
          <w:szCs w:val="18"/>
          <w:color w:val="auto"/>
        </w:rPr>
        <w:t>Gross margin is our net sales less cost of goods sold. Our cost of goods sold includes the direct cost of merchandise and costs related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procurement, warehousing and distribution, which consist primarily of payroll and benefits, distribution center occupancy costs and freight and are generally variable in nature relative to our sales volume.</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gross margin depends on a number of factors, such as net sales increases or decreases, our promotional activities, product mix including private label merchandise sales, and our ability to control cost of goods sold, such as inventory and logistics cost management. Our gross margin is also impacted by variables including commodity costs, freight costs, shrinkage (discussed below) and inventory processing costs and e-commerce shipping costs. We track and measure gross margin as a percentage of net sales in order to evaluate our performance against profitability targets.</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2021, we began to see increased competition across the industry for resources throughout a constrained supply chain, which resulted in disruptions to the flow of products from our vendors, labor shortages, reduced shipping container availability, and longer delays at the port. As a result, we experienced a period of decreased or delayed supply and high inflation which negatively impacted transportation and inventory costs. Over the past year, we have seen improvement to these constraints, resulting in decreased freight costs.</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refer to loss or theft of inventory as "shrinkage" or "shrink". Over recent years, the United States retail industry, including Academy, has experienced a significant increase in inventory shrink, which has resulted in a negative impact to our gross margins. A prolonged period of significant increased shrink could have a material negative impact on our gross margin and results of operations.</w:t>
      </w:r>
    </w:p>
    <w:p>
      <w:pPr>
        <w:spacing w:after="0" w:line="11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("SG&amp;A") expenses include store and corporate administrative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payroll and payroll benefits, store and corporate headquarters occupancy costs, advertising, credit card processing, information technology, pre-opening costs and other store and administrative expenses. These expenses are both variable and fixed in nature. SG&amp;A expenses as a percentage of sales increased from 21.5% in the prior year-to-date to 23.8% in the current year-to-date, primarily attributable to the addition of new stores. We track and measure operating expenses as a percentage of net sales in order to evaluate our performance against profitability targets. Management of SG&amp;A expenses depends on our ability to balance a control of operating costs, such as store, distribution center, and corporate headcount, information technology infrastructure and marketing and advertising expenses, with efficiently and effectively servicing our customers.</w:t>
      </w:r>
    </w:p>
    <w:p>
      <w:pPr>
        <w:spacing w:after="0" w:line="13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Pre-opening expenses represent non-capital expenditures associated with the opening of new stores and distribution centers prior to sales generation or start of operations, which consist primarily of occupancy costs, marketing, payroll and recruiting costs, and are expensed as incurred. As we execute our new store opening growth plans of 14 total new stores in 2023 and 120 to 140 total new stores over the five fiscal year period ending with 2027, we expect our pre-opening expenses to increase and result in a negative impact to SG&amp;A as a percentage of sales. The following table summarizes our pre-opening expense activity for the periods presented: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0" w:type="dxa"/>
            <w:vAlign w:val="bottom"/>
            <w:gridSpan w:val="5"/>
          </w:tcPr>
          <w:p>
            <w:pPr>
              <w:ind w:left="70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140" w:type="dxa"/>
            <w:vAlign w:val="bottom"/>
          </w:tcPr>
          <w:p>
            <w:pPr>
              <w:spacing w:after="0"/>
              <w:rPr>
                <w:sz w:val="20"/>
                <w:szCs w:val="20"/>
                <w:color w:val="auto"/>
              </w:rPr>
            </w:pPr>
          </w:p>
        </w:tc>
        <w:tc>
          <w:tcPr>
            <w:tcW w:w="3300" w:type="dxa"/>
            <w:vAlign w:val="bottom"/>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Thirty-Nine Weeks Ended</w:t>
            </w:r>
          </w:p>
        </w:tc>
      </w:tr>
      <w:tr>
        <w:trPr>
          <w:trHeight w:val="223"/>
        </w:trPr>
        <w:tc>
          <w:tcPr>
            <w:tcW w:w="4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October 28, 2023</w:t>
            </w:r>
          </w:p>
        </w:tc>
        <w:tc>
          <w:tcPr>
            <w:tcW w:w="16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October 29, 2022</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October 28, 2023</w:t>
            </w:r>
          </w:p>
        </w:tc>
        <w:tc>
          <w:tcPr>
            <w:tcW w:w="16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October 29, 2022</w:t>
            </w:r>
          </w:p>
        </w:tc>
      </w:tr>
      <w:tr>
        <w:trPr>
          <w:trHeight w:val="223"/>
        </w:trPr>
        <w:tc>
          <w:tcPr>
            <w:tcW w:w="4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new stores opened</w:t>
            </w:r>
          </w:p>
        </w:tc>
        <w:tc>
          <w:tcPr>
            <w:tcW w:w="140" w:type="dxa"/>
            <w:vAlign w:val="bottom"/>
            <w:tcBorders>
              <w:top w:val="single" w:sz="8" w:color="auto"/>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8"/>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Pre-opening expenses (in millions)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7.9</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bl>
    <w:p>
      <w:pPr>
        <w:spacing w:after="0" w:line="212" w:lineRule="exact"/>
        <w:rPr>
          <w:sz w:val="20"/>
          <w:szCs w:val="20"/>
          <w:color w:val="auto"/>
        </w:rPr>
      </w:pPr>
    </w:p>
    <w:p>
      <w:pPr>
        <w:jc w:val="both"/>
        <w:ind w:firstLine="324"/>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w:t>
      </w:r>
      <w:r>
        <w:rPr>
          <w:rFonts w:ascii="Times New Roman" w:cs="Times New Roman" w:eastAsia="Times New Roman" w:hAnsi="Times New Roman"/>
          <w:sz w:val="18"/>
          <w:szCs w:val="18"/>
          <w:color w:val="auto"/>
        </w:rPr>
        <w:t>Interest expense includes regular interest payable related to our Term Loan, Notes and ABL Facility (see Note 4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accompanying financial statements) and the amortization of our deferred loan costs and original issuance discounts associated with the acquisition of the debt. In December 2022, we utilized cash on hand to voluntarily prepay $100 million of outstanding borrowings on our Term Loan; however, this decrease in the Term Loan was largely offset by increases made by the Federal Reserve to the federal funds benchmark rate during 2022 and 2023, resulting in a small decrease in interest expense in the year-to-date 2023 compared to the year-to-date 2022.</w:t>
      </w:r>
    </w:p>
    <w:p>
      <w:pPr>
        <w:spacing w:after="0" w:line="144"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 Expense. </w:t>
      </w:r>
      <w:r>
        <w:rPr>
          <w:rFonts w:ascii="Times New Roman" w:cs="Times New Roman" w:eastAsia="Times New Roman" w:hAnsi="Times New Roman"/>
          <w:sz w:val="18"/>
          <w:szCs w:val="18"/>
          <w:color w:val="auto"/>
        </w:rPr>
        <w:t>ASO, Inc. is treated as a U.S. corporation for U.S. federal, state, and local income tax purposes and accordingly, a provision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income taxes has been recorded for the anticipated tax consequences of our reported results of operations for federal, state and local income taxes. Recent fluctuations in income tax expense have been primarily as a result of changes in income before income taxes.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Thirteen Weeks Ended October 28, 2023 Compared to Thirteen Weeks Ended October 29, 2022</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amounts and information derived from our unaudited statements of income for the periods indicated as follows (dollar amounts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5"/>
          </w:tcPr>
          <w:p>
            <w:pPr>
              <w:ind w:left="44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12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3"/>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23"/>
        </w:trPr>
        <w:tc>
          <w:tcPr>
            <w:tcW w:w="3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20" w:type="dxa"/>
            <w:vAlign w:val="bottom"/>
            <w:gridSpan w:val="4"/>
          </w:tcPr>
          <w:p>
            <w:pPr>
              <w:ind w:left="400"/>
              <w:spacing w:after="0"/>
              <w:rPr>
                <w:sz w:val="20"/>
                <w:szCs w:val="20"/>
                <w:color w:val="auto"/>
              </w:rPr>
            </w:pPr>
            <w:r>
              <w:rPr>
                <w:rFonts w:ascii="Times New Roman" w:cs="Times New Roman" w:eastAsia="Times New Roman" w:hAnsi="Times New Roman"/>
                <w:sz w:val="18"/>
                <w:szCs w:val="18"/>
                <w:b w:val="1"/>
                <w:bCs w:val="1"/>
                <w:color w:val="auto"/>
              </w:rPr>
              <w:t>October 28, 2023</w:t>
            </w:r>
          </w:p>
        </w:tc>
        <w:tc>
          <w:tcPr>
            <w:tcW w:w="220" w:type="dxa"/>
            <w:vAlign w:val="bottom"/>
          </w:tcPr>
          <w:p>
            <w:pPr>
              <w:spacing w:after="0"/>
              <w:rPr>
                <w:sz w:val="19"/>
                <w:szCs w:val="19"/>
                <w:color w:val="auto"/>
              </w:rPr>
            </w:pPr>
          </w:p>
        </w:tc>
        <w:tc>
          <w:tcPr>
            <w:tcW w:w="2280" w:type="dxa"/>
            <w:vAlign w:val="bottom"/>
            <w:gridSpan w:val="3"/>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October 29, 2022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Dollars</w:t>
            </w:r>
          </w:p>
        </w:tc>
        <w:tc>
          <w:tcPr>
            <w:tcW w:w="100" w:type="dxa"/>
            <w:vAlign w:val="bottom"/>
          </w:tcPr>
          <w:p>
            <w:pPr>
              <w:spacing w:after="0"/>
              <w:rPr>
                <w:sz w:val="19"/>
                <w:szCs w:val="19"/>
                <w:color w:val="auto"/>
              </w:rPr>
            </w:pPr>
          </w:p>
        </w:tc>
        <w:tc>
          <w:tcPr>
            <w:tcW w:w="10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Percent</w:t>
            </w:r>
          </w:p>
        </w:tc>
      </w:tr>
      <w:tr>
        <w:trPr>
          <w:trHeight w:val="223"/>
        </w:trPr>
        <w:tc>
          <w:tcPr>
            <w:tcW w:w="3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1,397,777</w:t>
            </w:r>
          </w:p>
        </w:tc>
        <w:tc>
          <w:tcPr>
            <w:tcW w:w="10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1,493,925</w:t>
            </w:r>
          </w:p>
        </w:tc>
        <w:tc>
          <w:tcPr>
            <w:tcW w:w="10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(96,148)</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29"/>
        </w:trPr>
        <w:tc>
          <w:tcPr>
            <w:tcW w:w="3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915,136</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65.5 %</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971,454</w:t>
            </w:r>
          </w:p>
        </w:tc>
        <w:tc>
          <w:tcPr>
            <w:tcW w:w="10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65.0 %</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(56,318)</w:t>
            </w:r>
          </w:p>
        </w:tc>
        <w:tc>
          <w:tcPr>
            <w:tcW w:w="11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23"/>
        </w:trPr>
        <w:tc>
          <w:tcPr>
            <w:tcW w:w="3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margin</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482,641</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34.5 %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522,471</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(39,830)</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29"/>
        </w:trPr>
        <w:tc>
          <w:tcPr>
            <w:tcW w:w="3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345,910</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24.7 %</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342,949</w:t>
            </w:r>
          </w:p>
        </w:tc>
        <w:tc>
          <w:tcPr>
            <w:tcW w:w="10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23.0 %</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2,961</w:t>
            </w:r>
          </w:p>
        </w:tc>
        <w:tc>
          <w:tcPr>
            <w:tcW w:w="11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0.9 %</w:t>
            </w:r>
          </w:p>
        </w:tc>
      </w:tr>
      <w:tr>
        <w:trPr>
          <w:trHeight w:val="223"/>
        </w:trPr>
        <w:tc>
          <w:tcPr>
            <w:tcW w:w="3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136,731</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179,522</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(42,791)</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r>
      <w:tr>
        <w:trPr>
          <w:trHeight w:val="229"/>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10,930</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0.8 %</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12,163</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2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(4,146)</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(0.3)%</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(2,538)</w:t>
            </w:r>
          </w:p>
        </w:tc>
        <w:tc>
          <w:tcPr>
            <w:tcW w:w="10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63.4 %</w:t>
            </w:r>
          </w:p>
        </w:tc>
      </w:tr>
      <w:tr>
        <w:trPr>
          <w:trHeight w:val="223"/>
        </w:trPr>
        <w:tc>
          <w:tcPr>
            <w:tcW w:w="3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129,947</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9.3 %</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169,897</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(39,950)</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(23.5)%</w:t>
            </w:r>
          </w:p>
        </w:tc>
      </w:tr>
      <w:tr>
        <w:trPr>
          <w:trHeight w:val="22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29,969</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2.1 %</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38,156</w:t>
            </w:r>
          </w:p>
        </w:tc>
        <w:tc>
          <w:tcPr>
            <w:tcW w:w="10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(8,187)</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r>
      <w:tr>
        <w:trPr>
          <w:trHeight w:val="223"/>
        </w:trPr>
        <w:tc>
          <w:tcPr>
            <w:tcW w:w="3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99,978</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7.2 %</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131,741</w:t>
            </w:r>
          </w:p>
        </w:tc>
        <w:tc>
          <w:tcPr>
            <w:tcW w:w="100" w:type="dxa"/>
            <w:vAlign w:val="bottom"/>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(31,763)</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(24.1)%</w:t>
            </w:r>
          </w:p>
        </w:tc>
      </w:tr>
      <w:tr>
        <w:trPr>
          <w:trHeight w:val="21"/>
        </w:trPr>
        <w:tc>
          <w:tcPr>
            <w:tcW w:w="3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*Percentages in table may not sum properly due to rounding.</w:t>
      </w:r>
    </w:p>
    <w:p>
      <w:pPr>
        <w:spacing w:after="0" w:line="200" w:lineRule="exact"/>
        <w:rPr>
          <w:sz w:val="20"/>
          <w:szCs w:val="20"/>
          <w:color w:val="auto"/>
        </w:rPr>
      </w:pPr>
    </w:p>
    <w:p>
      <w:pPr>
        <w:spacing w:after="0" w:line="206"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Net Sales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Net sales decreased $96.1 million, or 6.4%, in the 2023 third quarter over the prior year third quarter as a result of decreased comparable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sales of 8.0%, which were partially offset by additional net sales generated by new locations. As of the end of the 2023 third quarter, we operated 10 additional stores as compared to the end of the 2022 third quarter, and we had the full benefit of four stores opened during the 2022 third quarter. Collectively, these stores accounted for a $21.9 million increase in net sales for the 2023 third quarter, which does not include e-commerce sales fulfilled from these locations.</w:t>
      </w:r>
    </w:p>
    <w:p>
      <w:pPr>
        <w:spacing w:after="0" w:line="1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decrease of 8.0% in comparable sales was driven by lower sales across all merchandise divisions as a result of a decrease in transactions of 8.1%, while average ticket remained relatively flat. The outdoors merchandise division sales declines were primarily as a result of a decrease in the hunting category, driven by decreases in firearms and ammunition sales over the prior year third quarter, which were partially offset by increased sales in the camping category. The apparel merchandise division sales decreased due to lower sales in athletic and outdoor apparel. The footwear merchandise division sales decrease was led by lower sales in the athletic footwear, work footwear and casual footwear categories. The decline in the sports and recreation merchandise division sales was primarily driven by decreased sales in fitness equipment and bikes.</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E-commerce net sales represented 9.4% of merchandise sales for the 2023 third quarter compared to 9.5% for the prior year third quarter.</w:t>
      </w:r>
    </w:p>
    <w:p>
      <w:pPr>
        <w:spacing w:after="0" w:line="167"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Gross Margin. </w:t>
      </w:r>
      <w:r>
        <w:rPr>
          <w:rFonts w:ascii="Times New Roman" w:cs="Times New Roman" w:eastAsia="Times New Roman" w:hAnsi="Times New Roman"/>
          <w:sz w:val="18"/>
          <w:szCs w:val="18"/>
          <w:color w:val="auto"/>
        </w:rPr>
        <w:t>Gross margin decreased $39.8 million, or 7.6%, to $482.6 million in the 2023 third quarter from $522.5 million in the 2022 third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quarter. As a percentage of net sales, gross margin decreased 0.5% from 35.0% in the 2022 third quarter to 34.5% in the 2023 third quarter. The decrease of 50 basis points in gross margin is primarily attributable to:</w:t>
      </w:r>
    </w:p>
    <w:p>
      <w:pPr>
        <w:spacing w:after="0" w:line="121"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49 basis points of unfavorability in merchandise margin as a result of increased planned promotional activity compared to the 2022 third quarter;</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 basis points of unfavorability in inventory overhead expenditures as a result of higher absorption rates from slower inventory turnover;</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 basis points of unfavorability as a result of decreased vendor allowances;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basis points of unfavorability related to increased inventory shrinkage; partially offset by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77 basis points of favorability in import and domestic freight due to lower freight costs per unit.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26" w:name="page27"/>
    <w:bookmarkEnd w:id="26"/>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Selling, General and Administrative Expenses. </w:t>
      </w:r>
      <w:r>
        <w:rPr>
          <w:rFonts w:ascii="Times New Roman" w:cs="Times New Roman" w:eastAsia="Times New Roman" w:hAnsi="Times New Roman"/>
          <w:sz w:val="18"/>
          <w:szCs w:val="18"/>
          <w:color w:val="auto"/>
        </w:rPr>
        <w:t>SG&amp;A expenses increased $3.0 million, or 0.9%, to $345.9 million in the 2023 third quarter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compared to $342.9 million in the 2022 third quarter. As a percentage of net sales, SG&amp;A expenses increased 1.7% to 24.7% in the 2023 third quarter compared to 23.0% in the 2022 third quarter. The increase of 170 basis points in SG&amp;A is partially attributable to deleverage from decreased sales. SG&amp;A costs also increased $3.0 million primarily as a result of:</w:t>
      </w:r>
    </w:p>
    <w:p>
      <w:pPr>
        <w:spacing w:after="0" w:line="126" w:lineRule="exact"/>
        <w:rPr>
          <w:sz w:val="20"/>
          <w:szCs w:val="20"/>
          <w:color w:val="auto"/>
        </w:rPr>
      </w:pPr>
    </w:p>
    <w:p>
      <w:pPr>
        <w:ind w:left="660" w:hanging="328"/>
        <w:spacing w:after="0" w:line="281"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 and facility fees increase of $8.3 million primarily due to investments in long-term growth initiatives, which includes the addition of new stores and increased technology expense; partially offset by</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Professional fees decrease of $2.5 million;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compensation costs decrease of $1.1 million, primarily driven by lower incentive compensation expenses in the current year quarter.</w:t>
      </w:r>
    </w:p>
    <w:p>
      <w:pPr>
        <w:spacing w:after="0" w:line="167" w:lineRule="exact"/>
        <w:rPr>
          <w:sz w:val="20"/>
          <w:szCs w:val="20"/>
          <w:color w:val="auto"/>
        </w:rPr>
      </w:pPr>
    </w:p>
    <w:p>
      <w:pPr>
        <w:jc w:val="both"/>
        <w:ind w:right="2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w:t>
      </w:r>
      <w:r>
        <w:rPr>
          <w:rFonts w:ascii="Times New Roman" w:cs="Times New Roman" w:eastAsia="Times New Roman" w:hAnsi="Times New Roman"/>
          <w:sz w:val="18"/>
          <w:szCs w:val="18"/>
          <w:color w:val="auto"/>
        </w:rPr>
        <w:t>Interest expense decreased $1.2 million, or 10.1%, in the 2023 third quarter when compared with the 2022 third quarter, resulting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higher capitalized interest due to increased construction of new stores and a lower outstanding balance on our long-term debt driven by a voluntary prepayment of $100.0 million made in December 2022.</w:t>
      </w:r>
    </w:p>
    <w:p>
      <w:pPr>
        <w:spacing w:after="0" w:line="117"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(Income), net. </w:t>
      </w:r>
      <w:r>
        <w:rPr>
          <w:rFonts w:ascii="Times New Roman" w:cs="Times New Roman" w:eastAsia="Times New Roman" w:hAnsi="Times New Roman"/>
          <w:sz w:val="18"/>
          <w:szCs w:val="18"/>
          <w:color w:val="auto"/>
        </w:rPr>
        <w:t>Other (income), net, increased $1.6 million in the 2023 third quarter when compared with the 2022 third quarter, primarily driven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by higher interest rates on money market investments in the current year.</w:t>
      </w:r>
    </w:p>
    <w:p>
      <w:pPr>
        <w:spacing w:after="0" w:line="182"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 Expense. </w:t>
      </w:r>
      <w:r>
        <w:rPr>
          <w:rFonts w:ascii="Times New Roman" w:cs="Times New Roman" w:eastAsia="Times New Roman" w:hAnsi="Times New Roman"/>
          <w:sz w:val="18"/>
          <w:szCs w:val="18"/>
          <w:color w:val="auto"/>
        </w:rPr>
        <w:t>Income tax expense decreased $8.2 million to $30.0 million for the 2023 third quarter as compared to $38.2 million in the 2022</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third quarter, resulting primarily from a decrease in pre-tax income.</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Thirty-Nine Weeks Ended October 28, 2023 Compared to Thirty-Nine Weeks Ended October 29, 2022</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amounts and information derived from our unaudited statements of income for the periods indicated as follows (dollar amounts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6"/>
          </w:tcPr>
          <w:p>
            <w:pPr>
              <w:ind w:left="340"/>
              <w:spacing w:after="0"/>
              <w:rPr>
                <w:sz w:val="20"/>
                <w:szCs w:val="20"/>
                <w:color w:val="auto"/>
              </w:rPr>
            </w:pPr>
            <w:r>
              <w:rPr>
                <w:rFonts w:ascii="Times New Roman" w:cs="Times New Roman" w:eastAsia="Times New Roman" w:hAnsi="Times New Roman"/>
                <w:sz w:val="18"/>
                <w:szCs w:val="18"/>
                <w:b w:val="1"/>
                <w:bCs w:val="1"/>
                <w:color w:val="auto"/>
              </w:rPr>
              <w:t>Thirty-Nine Weeks Ended</w:t>
            </w: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ind w:left="7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60" w:type="dxa"/>
            <w:vAlign w:val="bottom"/>
            <w:tcBorders>
              <w:bottom w:val="single" w:sz="8" w:color="auto"/>
            </w:tcBorders>
          </w:tcPr>
          <w:p>
            <w:pPr>
              <w:spacing w:after="0"/>
              <w:rPr>
                <w:sz w:val="20"/>
                <w:szCs w:val="20"/>
                <w:color w:val="auto"/>
              </w:rPr>
            </w:pPr>
          </w:p>
        </w:tc>
      </w:tr>
      <w:tr>
        <w:trPr>
          <w:trHeight w:val="223"/>
        </w:trPr>
        <w:tc>
          <w:tcPr>
            <w:tcW w:w="3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40" w:type="dxa"/>
            <w:vAlign w:val="bottom"/>
            <w:gridSpan w:val="4"/>
          </w:tcPr>
          <w:p>
            <w:pPr>
              <w:ind w:left="400"/>
              <w:spacing w:after="0"/>
              <w:rPr>
                <w:sz w:val="20"/>
                <w:szCs w:val="20"/>
                <w:color w:val="auto"/>
              </w:rPr>
            </w:pPr>
            <w:r>
              <w:rPr>
                <w:rFonts w:ascii="Times New Roman" w:cs="Times New Roman" w:eastAsia="Times New Roman" w:hAnsi="Times New Roman"/>
                <w:sz w:val="18"/>
                <w:szCs w:val="18"/>
                <w:b w:val="1"/>
                <w:bCs w:val="1"/>
                <w:color w:val="auto"/>
              </w:rPr>
              <w:t>October 28, 2023</w:t>
            </w:r>
          </w:p>
        </w:tc>
        <w:tc>
          <w:tcPr>
            <w:tcW w:w="240" w:type="dxa"/>
            <w:vAlign w:val="bottom"/>
          </w:tcPr>
          <w:p>
            <w:pPr>
              <w:spacing w:after="0"/>
              <w:rPr>
                <w:sz w:val="19"/>
                <w:szCs w:val="19"/>
                <w:color w:val="auto"/>
              </w:rPr>
            </w:pPr>
          </w:p>
        </w:tc>
        <w:tc>
          <w:tcPr>
            <w:tcW w:w="1700" w:type="dxa"/>
            <w:vAlign w:val="bottom"/>
            <w:gridSpan w:val="3"/>
          </w:tcPr>
          <w:p>
            <w:pPr>
              <w:ind w:left="380"/>
              <w:spacing w:after="0"/>
              <w:rPr>
                <w:sz w:val="20"/>
                <w:szCs w:val="20"/>
                <w:color w:val="auto"/>
              </w:rPr>
            </w:pPr>
            <w:r>
              <w:rPr>
                <w:rFonts w:ascii="Times New Roman" w:cs="Times New Roman" w:eastAsia="Times New Roman" w:hAnsi="Times New Roman"/>
                <w:sz w:val="18"/>
                <w:szCs w:val="18"/>
                <w:b w:val="1"/>
                <w:bCs w:val="1"/>
                <w:color w:val="auto"/>
                <w:w w:val="99"/>
              </w:rPr>
              <w:t>October 29, 2022</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Dollars</w:t>
            </w: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8"/>
              </w:rPr>
              <w:t>Percent</w:t>
            </w:r>
          </w:p>
        </w:tc>
      </w:tr>
      <w:tr>
        <w:trPr>
          <w:trHeight w:val="223"/>
        </w:trPr>
        <w:tc>
          <w:tcPr>
            <w:tcW w:w="3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4,364,463</w:t>
            </w:r>
          </w:p>
        </w:tc>
        <w:tc>
          <w:tcPr>
            <w:tcW w:w="10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4,648,570</w:t>
            </w:r>
          </w:p>
        </w:tc>
        <w:tc>
          <w:tcPr>
            <w:tcW w:w="10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100.0 %</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(284,107)</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30"/>
        </w:trPr>
        <w:tc>
          <w:tcPr>
            <w:tcW w:w="3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2,851,261</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65.3 %</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3,008,612</w:t>
            </w: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64.7 %</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(157,351)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23"/>
        </w:trPr>
        <w:tc>
          <w:tcPr>
            <w:tcW w:w="3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margin</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1,513,202</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34.7 %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1,639,958</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30"/>
        </w:trPr>
        <w:tc>
          <w:tcPr>
            <w:tcW w:w="3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1,039,312</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23.8 %</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998,209</w:t>
            </w: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21.5 %</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41,103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4.1 %</w:t>
            </w:r>
          </w:p>
        </w:tc>
      </w:tr>
      <w:tr>
        <w:trPr>
          <w:trHeight w:val="223"/>
        </w:trPr>
        <w:tc>
          <w:tcPr>
            <w:tcW w:w="3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473,890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641,749</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r>
      <w:tr>
        <w:trPr>
          <w:trHeight w:val="230"/>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33,473</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0.8 %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34,240</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9"/>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(11,482)</w:t>
            </w:r>
          </w:p>
        </w:tc>
        <w:tc>
          <w:tcPr>
            <w:tcW w:w="10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98"/>
              </w:rPr>
              <w:t>(4,676)</w:t>
            </w:r>
          </w:p>
        </w:tc>
        <w:tc>
          <w:tcPr>
            <w:tcW w:w="10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145.6 %</w:t>
            </w:r>
          </w:p>
        </w:tc>
      </w:tr>
      <w:tr>
        <w:trPr>
          <w:trHeight w:val="223"/>
        </w:trPr>
        <w:tc>
          <w:tcPr>
            <w:tcW w:w="3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451,899</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10.4 %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612,185</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(160,286)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r>
      <w:tr>
        <w:trPr>
          <w:trHeight w:val="229"/>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100,876</w:t>
            </w:r>
          </w:p>
        </w:tc>
        <w:tc>
          <w:tcPr>
            <w:tcW w:w="10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2.3 %</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141,837</w:t>
            </w:r>
          </w:p>
        </w:tc>
        <w:tc>
          <w:tcPr>
            <w:tcW w:w="10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r>
      <w:tr>
        <w:trPr>
          <w:trHeight w:val="223"/>
        </w:trPr>
        <w:tc>
          <w:tcPr>
            <w:tcW w:w="3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351,023</w:t>
            </w:r>
          </w:p>
        </w:tc>
        <w:tc>
          <w:tcPr>
            <w:tcW w:w="10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8.0 %</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470,348</w:t>
            </w:r>
          </w:p>
        </w:tc>
        <w:tc>
          <w:tcPr>
            <w:tcW w:w="10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10.1 %</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(119,325)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r>
      <w:tr>
        <w:trPr>
          <w:trHeight w:val="21"/>
        </w:trPr>
        <w:tc>
          <w:tcPr>
            <w:tcW w:w="3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*Percentages in table may not sum properly due to rounding.</w:t>
      </w:r>
    </w:p>
    <w:p>
      <w:pPr>
        <w:spacing w:after="0" w:line="200" w:lineRule="exact"/>
        <w:rPr>
          <w:sz w:val="20"/>
          <w:szCs w:val="20"/>
          <w:color w:val="auto"/>
        </w:rPr>
      </w:pPr>
    </w:p>
    <w:p>
      <w:pPr>
        <w:spacing w:after="0" w:line="260" w:lineRule="exact"/>
        <w:rPr>
          <w:sz w:val="20"/>
          <w:szCs w:val="20"/>
          <w:color w:val="auto"/>
        </w:rPr>
      </w:pPr>
    </w:p>
    <w:p>
      <w:pPr>
        <w:ind w:right="20"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Net Sales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Net sales decreased $284.1 million, or 6.1%, for the year-to-date 2023 compared to the year-to-date 2022 as a result of decreased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comparable sales of 7.6%, which were partially offset by increased sales generated from new locations. As of the end of the 2023 third quarter, we operated 10 additional stores as compared to the end of the 2022 third quarter, and we had the full benefit of six stores opened during the year-to-date 2022. Collectively, these stores accounted for a $69.1 million increase in net sales for the year-to-date 2023, which does not include e-commerce sales fulfilled from these locations.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6" w:right="339" w:bottom="1440" w:gutter="0" w:footer="0" w:header="0"/>
        </w:sectPr>
      </w:pPr>
    </w:p>
    <w:bookmarkStart w:id="27" w:name="page28"/>
    <w:bookmarkEnd w:id="27"/>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decrease of 7.6% in comparable sales was driven by lower sales across all merchandise divisions as a result of a decrease in transactions of 7.8%, while the average ticket remained relatively flat. The outdoors merchandise division sales declines were primarily as a result of the hunting category driven by decreases in firearms and ammunition sales over the prior year-to-date. The footwear merchandise division sales decreased due to lower sales in the athletic footwear and work footwear categories, partially offset by increased sales in the casual and seasonal footwear categories. The apparel merchandise division sales decreased due to lower sales in athletic and outdoor apparel, partially offset by increased sales in licensed apparel. The sports and recreation merchandise division decrease was a result of decreased sales in fitness equipment and bikes.</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E-commerce net sales represented 9.0% of merchandise sales in the year-to-date 2023 compared to 9.7% in the year-to-date 2022.</w:t>
      </w:r>
    </w:p>
    <w:p>
      <w:pPr>
        <w:spacing w:after="0" w:line="167"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Gross Margin. </w:t>
      </w:r>
      <w:r>
        <w:rPr>
          <w:rFonts w:ascii="Times New Roman" w:cs="Times New Roman" w:eastAsia="Times New Roman" w:hAnsi="Times New Roman"/>
          <w:sz w:val="18"/>
          <w:szCs w:val="18"/>
          <w:color w:val="auto"/>
        </w:rPr>
        <w:t>Gross margin decreased $126.8 million, or 7.7%, to $1,513.2 million for the year-to-date 2023 from $1,640.0 million for the year-to-date 2022. As a percentage of net sales, gross margin decreased 0.6% from 35.3% in the year-to-date 2022 to 34.7% in the year-to-date 2023. The decrease of 60 basis points in gross margin is primarily attributable to:</w:t>
      </w:r>
    </w:p>
    <w:p>
      <w:pPr>
        <w:spacing w:after="0" w:line="121"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 basis points of unfavorability in merchandise margin as a result of increased planned promotional activity compared to the prior year-to-date;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 basis points of unfavorability as a result of increased inventory shrink;</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 basis points of unfavorability in inventory overhead expenditures as a result of higher absorption rates from slower inventory turnover; partially offset by</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85 basis points of favorability in import and domestic freight due to lower freight costs per unit.</w:t>
      </w:r>
    </w:p>
    <w:p>
      <w:pPr>
        <w:spacing w:after="0" w:line="248"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Selling, General and Administrative Expenses. </w:t>
      </w:r>
      <w:r>
        <w:rPr>
          <w:rFonts w:ascii="Times New Roman" w:cs="Times New Roman" w:eastAsia="Times New Roman" w:hAnsi="Times New Roman"/>
          <w:sz w:val="18"/>
          <w:szCs w:val="18"/>
          <w:color w:val="auto"/>
        </w:rPr>
        <w:t>SG&amp;A expenses increased $41.1 million, or 4.1%, to $1,039.3 million for the year-to-date 2023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$998.2 million for the year-to-date 2022. As a percentage of net sales, SG&amp;A expenses increased 2.3% to 23.8% in the year-to-date 2023 compared to 21.5% in the year-to-date 2022. The increase of 230 basis points is partially attributable to deleverage from decreased sales. SG&amp;A costs also increased $41.1 million primarily as a result of:</w:t>
      </w:r>
    </w:p>
    <w:p>
      <w:pPr>
        <w:spacing w:after="0" w:line="126" w:lineRule="exact"/>
        <w:rPr>
          <w:sz w:val="20"/>
          <w:szCs w:val="20"/>
          <w:color w:val="auto"/>
        </w:rPr>
      </w:pPr>
    </w:p>
    <w:p>
      <w:pPr>
        <w:ind w:left="660" w:hanging="328"/>
        <w:spacing w:after="0" w:line="281"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compensation costs increased $19.1 million primarily due to increased equity compensation and an increased wages expense over the prior year, partially attributable to the addition of 10 new stores since the end of the prior year third quarter;</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 and facility fees increase of $18.6 million primarily due to investments in long-term growth initiatives, which includes the addition of new stores and increased technology expense; and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Advertising spend increase of $5.4 million.</w:t>
      </w:r>
    </w:p>
    <w:p>
      <w:pPr>
        <w:spacing w:after="0" w:line="248"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w:t>
      </w:r>
      <w:r>
        <w:rPr>
          <w:rFonts w:ascii="Times New Roman" w:cs="Times New Roman" w:eastAsia="Times New Roman" w:hAnsi="Times New Roman"/>
          <w:sz w:val="18"/>
          <w:szCs w:val="18"/>
          <w:color w:val="auto"/>
        </w:rPr>
        <w:t>Interest expense decreased $0.8 million, or 2.2%, for the year-to-date 2023 when compared to the year-to-date 2022, resulting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higher capitalized interest due to increased construction of new stores and a lower outstanding balance on our long-term debt driven by a voluntary prepayment of $100.0 million made in December 2022, partially offset by an increase in interest rates on our Term Loan.</w:t>
      </w:r>
    </w:p>
    <w:p>
      <w:pPr>
        <w:spacing w:after="0" w:line="198"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(Income), net. </w:t>
      </w:r>
      <w:r>
        <w:rPr>
          <w:rFonts w:ascii="Times New Roman" w:cs="Times New Roman" w:eastAsia="Times New Roman" w:hAnsi="Times New Roman"/>
          <w:sz w:val="18"/>
          <w:szCs w:val="18"/>
          <w:color w:val="auto"/>
        </w:rPr>
        <w:t>Other income, net, increased $6.8 million in the year-to-date 2023 when compared to the year-to-date 2022 due to higher interest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rates on money market investments in the current year.</w:t>
      </w:r>
    </w:p>
    <w:p>
      <w:pPr>
        <w:spacing w:after="0" w:line="168" w:lineRule="exact"/>
        <w:rPr>
          <w:sz w:val="20"/>
          <w:szCs w:val="20"/>
          <w:color w:val="auto"/>
        </w:rPr>
      </w:pPr>
    </w:p>
    <w:p>
      <w:pPr>
        <w:jc w:val="both"/>
        <w:ind w:firstLine="324"/>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 Expense. </w:t>
      </w:r>
      <w:r>
        <w:rPr>
          <w:rFonts w:ascii="Times New Roman" w:cs="Times New Roman" w:eastAsia="Times New Roman" w:hAnsi="Times New Roman"/>
          <w:sz w:val="18"/>
          <w:szCs w:val="18"/>
          <w:color w:val="auto"/>
        </w:rPr>
        <w:t>Income tax expense decreased $41.0 million to $100.9 million for the year-to-date 2023 as compared to $141.8 million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year-to-date 2022, resulting primarily from a decrease in pre-tax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28" w:name="page29"/>
    <w:bookmarkEnd w:id="28"/>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Measures</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Adjusted EBITDA, Adjusted EBIT, Adjusted Net Income, Adjusted Earnings per Share and Adjusted Free Cash Flow, as shown below, have been presented in this Quarterly Report as supplemental measures of financial performance that are not required by, or presented in accordance with, accounting principles generally accepted in the United States of America ("GAAP"). We define Adjusted EBITDA as net income (loss) before interest expense, net, income tax expense and depreciation, amortization and impairment and other adjustments included in the table below. We define Adjusted EBIT as Adjusted EBITDA less depreciation and amortization. We describe these adjustments reconciling net income (loss) to Adjusted EBITDA and to Adjusted EBIT in the applicable table below. We define Adjusted Net Income as net income (loss) plus other adjustments included in the table below, less the tax effect of these adjustments. We define basic Adjusted Earnings per Share as Adjusted Net Income divided by the basic weighted average common shares outstanding during the period and diluted Adjusted Earnings per Share as Adjusted Net Income divided by the diluted weighted average common shares outstanding during the period. We describe these adjustments by reconciling net income (loss) to Adjusted Net Income and Adjusted Earnings per Share in the applicable table below. We describe Adjusted Free Cash Flow as net cash provided by (used in) operating activities less net cash used in investing activities. We describe this adjustment by reconciling net cash provided by operating activities to Adjusted Free Cash Flow in the applicable table below.</w:t>
      </w:r>
    </w:p>
    <w:p>
      <w:pPr>
        <w:spacing w:after="0" w:line="13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believe Adjusted EBITDA, Adjusted EBIT, Adjusted Net Income, and Adjusted Earnings per Share assist investors and analysts in comparing our operating performance across reporting periods on a consistent basis by excluding items that we do not believe are indicative of our core operating performance. Management believes Adjusted EBITDA, Adjusted EBIT, Adjusted Net Income, and Adjusted Earnings per Share are useful to investors in highlighting trends in our operating performance, while other measures can differ significantly depending on long-term strategic decisions regarding capital structure, the tax jurisdictions in which we operate and capital investments. Management believes Adjusted Free Cash Flow is a useful measure of liquidity and an additional basis for assessing our ability to generate cash. Management uses Adjusted EBITDA, Adjusted EBIT, Adjusted Net Income, Adjusted Earnings per Share and Adjusted Free Cash Flow to supplement GAAP measures of performance in the evaluation of the effectiveness of our business strategies, to make budgeting decisions and to compare our performance against that of other peer companies using similar measures. Management has also historically used Adjusted EBIT as a performance target to establish and award discretionary annual incentive compensation.</w:t>
      </w:r>
    </w:p>
    <w:p>
      <w:pPr>
        <w:spacing w:after="0" w:line="134"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Management supplements GAAP results with non-GAAP financial measures to provide a more complete understanding of the factors and trends affecting the business than GAAP results alone. Adjusted EBITDA, Adjusted EBIT, Adjusted Net Income, Adjusted Earnings per Share and Adjusted Free Cash Flow are not recognized terms under GAAP and should not be considered as an alternative to net income (loss) as a measure of financial performance or net cash provided by operating activities as a measure of liquidity, or any other performance measures derived in accordance with GAAP. Additionally, these measures are not intended to be a measure of free cash flow available for management’s discretionary use as they do not consider certain cash requirements such as interest payments, tax payments and debt service requirements. Adjusted EBITDA, Adjusted EBIT, Adjusted Net Income, and Adjusted Earnings per Share should not be construed to imply that our future results will be unaffected by unusual or non-recurring items. In evaluating Adjusted EBITDA, Adjusted EBIT, Adjusted Net Income, Adjusted Earnings per Share and Adjusted Free Cash Flow, you should be aware that in the future we may incur expenses that are the same as or similar to some of the adjustments in this presentation. Our presentation of Adjusted EBITDA, Adjusted EBIT, Adjusted Net Income, Adjusted Earnings per Share and Adjusted Free Cash Flow should not be construed to imply that our future results will be unaffected by any such adjustments.</w:t>
      </w:r>
    </w:p>
    <w:p>
      <w:pPr>
        <w:spacing w:after="0" w:line="13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Adjusted EBITDA, Adjusted EBIT, Adjusted Net Income, Adjusted Earnings per Share and Adjusted Free Cash Flow measures have limitations as analytical tools, and you should not consider them in isolation, or as a substitute for analysis of our results as reported under GAAP. Some of these limitations are:</w:t>
      </w:r>
    </w:p>
    <w:p>
      <w:pPr>
        <w:spacing w:after="0" w:line="122" w:lineRule="exact"/>
        <w:rPr>
          <w:sz w:val="20"/>
          <w:szCs w:val="20"/>
          <w:color w:val="auto"/>
        </w:rPr>
      </w:pPr>
    </w:p>
    <w:p>
      <w:pPr>
        <w:ind w:left="660" w:hanging="328"/>
        <w:spacing w:after="0" w:line="281"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Adjusted EBIT, Adjusted Net Income, and Adjusted Earnings per Share do not reflect costs or cash outlays for capital expenditures or contractual commitments;</w:t>
      </w:r>
    </w:p>
    <w:p>
      <w:pPr>
        <w:spacing w:after="0" w:line="1"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Adjusted EBIT, Adjusted Net Income, and Adjusted Earnings per Share do not reflect changes in, or cash requirements for, our working capital needs;</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and Adjusted EBIT do not reflect the interest expense, or the cash requirements necessary to service interest or principal payments, on our debt, and Adjusted Free Cash Flow does not reflect the cash requirements necessary to service principal payments on our debt;</w:t>
      </w:r>
    </w:p>
    <w:p>
      <w:pPr>
        <w:spacing w:after="0" w:line="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and Adjusted EBIT do not reflect period to period changes in taxes, income tax expense or the cash necessary to pay income taxes;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ind w:left="660" w:right="20" w:hanging="328"/>
        <w:spacing w:after="0" w:line="281"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Adjusted EBIT, Adjusted Net Income, and Adjusted Earnings per Share do not reflect the impact of earnings or charges resulting from matters we consider not to be indicative of our ongoing operations;</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will often have to be replaced in the future, and Adjusted EBITDA and Adjusted Free Cash Flow do not reflect cash requirements for such replacements; and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 our industry may calculate these measures differently than we do, limiting their usefulness as comparative measures.</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Because of these limitations, Adjusted EBITDA, Adjusted EBIT, Adjusted Net Income, Adjusted Earnings per Share and Adjusted Free Cash Flow should not be considered as measures of discretionary cash available to invest in business growth or to reduce indebtedness. Management compensates for these limitations by primarily relying on our GAAP results in addition to using Adjusted EBITDA, Adjusted EBIT, Adjusted Net Income, Adjusted Earnings per Share and Adjusted Free Cash Flow supplementally.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and Adjusted EBIT</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reconciliations of net income to Adjusted EBITDA and to Adjusted EBIT for the periods presented (amounts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0" w:type="dxa"/>
            <w:vAlign w:val="bottom"/>
            <w:gridSpan w:val="5"/>
          </w:tcPr>
          <w:p>
            <w:pPr>
              <w:ind w:left="70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140" w:type="dxa"/>
            <w:vAlign w:val="bottom"/>
          </w:tcPr>
          <w:p>
            <w:pPr>
              <w:spacing w:after="0"/>
              <w:rPr>
                <w:sz w:val="20"/>
                <w:szCs w:val="20"/>
                <w:color w:val="auto"/>
              </w:rPr>
            </w:pPr>
          </w:p>
        </w:tc>
        <w:tc>
          <w:tcPr>
            <w:tcW w:w="3300" w:type="dxa"/>
            <w:vAlign w:val="bottom"/>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Thirty-Nine Weeks Ended</w:t>
            </w:r>
          </w:p>
        </w:tc>
      </w:tr>
      <w:tr>
        <w:trPr>
          <w:trHeight w:val="223"/>
        </w:trPr>
        <w:tc>
          <w:tcPr>
            <w:tcW w:w="4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October 28, 2023</w:t>
            </w:r>
          </w:p>
        </w:tc>
        <w:tc>
          <w:tcPr>
            <w:tcW w:w="16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October 29, 2022</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October 28, 2023</w:t>
            </w:r>
          </w:p>
        </w:tc>
        <w:tc>
          <w:tcPr>
            <w:tcW w:w="16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October 29, 2022</w:t>
            </w:r>
          </w:p>
        </w:tc>
      </w:tr>
      <w:tr>
        <w:trPr>
          <w:trHeight w:val="223"/>
        </w:trPr>
        <w:tc>
          <w:tcPr>
            <w:tcW w:w="4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99,978</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131,741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351,023</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470,348</w:t>
            </w:r>
          </w:p>
        </w:tc>
      </w:tr>
      <w:tr>
        <w:trPr>
          <w:trHeight w:val="229"/>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10,930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33,473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34,240</w:t>
            </w:r>
          </w:p>
        </w:tc>
      </w:tr>
      <w:tr>
        <w:trPr>
          <w:trHeight w:val="22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29,969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38,156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100,876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141,837</w:t>
            </w: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27,373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79,394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78,852</w:t>
            </w:r>
          </w:p>
        </w:tc>
      </w:tr>
      <w:tr>
        <w:trPr>
          <w:trHeight w:val="22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compensation (a)</w:t>
            </w:r>
          </w:p>
        </w:tc>
        <w:tc>
          <w:tcPr>
            <w:tcW w:w="1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6,245</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26,128</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15,486</w:t>
            </w:r>
          </w:p>
        </w:tc>
      </w:tr>
      <w:tr>
        <w:trPr>
          <w:trHeight w:val="223"/>
        </w:trPr>
        <w:tc>
          <w:tcPr>
            <w:tcW w:w="42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Adjusted EBITDA (b)</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174,495</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214,889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590,894</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740,763</w:t>
            </w:r>
          </w:p>
        </w:tc>
      </w:tr>
      <w:tr>
        <w:trPr>
          <w:trHeight w:val="223"/>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Depreciation and amortization</w:t>
            </w:r>
          </w:p>
        </w:tc>
        <w:tc>
          <w:tcPr>
            <w:tcW w:w="1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(27,373)</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(79,394)</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(78,852)</w:t>
            </w:r>
          </w:p>
        </w:tc>
      </w:tr>
      <w:tr>
        <w:trPr>
          <w:trHeight w:val="223"/>
        </w:trPr>
        <w:tc>
          <w:tcPr>
            <w:tcW w:w="4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Adjusted EBIT (b)</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147,122</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187,889</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511,500</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661,911</w:t>
            </w:r>
          </w:p>
        </w:tc>
      </w:tr>
      <w:tr>
        <w:trPr>
          <w:trHeight w:val="20"/>
        </w:trPr>
        <w:tc>
          <w:tcPr>
            <w:tcW w:w="4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ind w:left="520" w:right="40" w:hanging="494"/>
        <w:spacing w:after="0" w:line="251" w:lineRule="auto"/>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non-cash charges related to equity-based compensation, which vary from period to period depending on certain factors such as timing and valuation of awards, achievement of performance targets and equity award forfeitures.</w:t>
      </w:r>
    </w:p>
    <w:p>
      <w:pPr>
        <w:jc w:val="both"/>
        <w:ind w:left="520" w:right="20" w:hanging="494"/>
        <w:spacing w:after="0" w:line="234" w:lineRule="auto"/>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Effective January 28, 2023, we no longer exclude pre-opening expenses from our computations of Adjusted EBITDA and Adjusted EBIT. Adjusted EBITDA and Adjusted EBIT for the thirteen and thirty-nine weeks ended October 29, 2022 have been revised to the current period computation methodology. See the section entitled </w:t>
      </w:r>
      <w:r>
        <w:rPr>
          <w:rFonts w:ascii="Times New Roman" w:cs="Times New Roman" w:eastAsia="Times New Roman" w:hAnsi="Times New Roman"/>
          <w:sz w:val="14"/>
          <w:szCs w:val="14"/>
          <w:i w:val="1"/>
          <w:iCs w:val="1"/>
          <w:color w:val="auto"/>
        </w:rPr>
        <w:t>Management's Discussion and Analysis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of Financial Condition and Results of Operations - Overview - Selling, General and Administrative Expenses </w:t>
      </w:r>
      <w:r>
        <w:rPr>
          <w:rFonts w:ascii="Times New Roman" w:cs="Times New Roman" w:eastAsia="Times New Roman" w:hAnsi="Times New Roman"/>
          <w:sz w:val="14"/>
          <w:szCs w:val="14"/>
          <w:color w:val="auto"/>
        </w:rPr>
        <w:t>for details of our pre-opening expenses for the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Net Income and Adjusted Earnings per Share</w:t>
      </w:r>
    </w:p>
    <w:p>
      <w:pPr>
        <w:spacing w:after="0" w:line="175"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net income to Adjusted Net Income and Adjusted Earnings per Share for the periods presented (amounts in thousands, except per share data):</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380" w:type="dxa"/>
            <w:vAlign w:val="bottom"/>
            <w:gridSpan w:val="5"/>
          </w:tcPr>
          <w:p>
            <w:pPr>
              <w:ind w:left="68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140" w:type="dxa"/>
            <w:vAlign w:val="bottom"/>
          </w:tcPr>
          <w:p>
            <w:pPr>
              <w:spacing w:after="0"/>
              <w:rPr>
                <w:sz w:val="20"/>
                <w:szCs w:val="20"/>
                <w:color w:val="auto"/>
              </w:rPr>
            </w:pPr>
          </w:p>
        </w:tc>
        <w:tc>
          <w:tcPr>
            <w:tcW w:w="3300" w:type="dxa"/>
            <w:vAlign w:val="bottom"/>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Thirty-Nine Weeks Ended</w:t>
            </w:r>
          </w:p>
        </w:tc>
      </w:tr>
      <w:tr>
        <w:trPr>
          <w:trHeight w:val="223"/>
        </w:trPr>
        <w:tc>
          <w:tcPr>
            <w:tcW w:w="4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October 28, 2023</w:t>
            </w:r>
          </w:p>
        </w:tc>
        <w:tc>
          <w:tcPr>
            <w:tcW w:w="16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October 29, 2022</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October 28, 2023</w:t>
            </w:r>
          </w:p>
        </w:tc>
        <w:tc>
          <w:tcPr>
            <w:tcW w:w="16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October 29, 2022</w:t>
            </w:r>
          </w:p>
        </w:tc>
      </w:tr>
      <w:tr>
        <w:trPr>
          <w:trHeight w:val="223"/>
        </w:trPr>
        <w:tc>
          <w:tcPr>
            <w:tcW w:w="4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99,978</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131,741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351,023</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470,348</w:t>
            </w:r>
          </w:p>
        </w:tc>
      </w:tr>
      <w:tr>
        <w:trPr>
          <w:trHeight w:val="229"/>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compensation (a)</w:t>
            </w: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6,245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26,128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15,486</w:t>
            </w:r>
          </w:p>
        </w:tc>
      </w:tr>
      <w:tr>
        <w:trPr>
          <w:trHeight w:val="22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effects of these adjustments (b)</w:t>
            </w:r>
          </w:p>
        </w:tc>
        <w:tc>
          <w:tcPr>
            <w:tcW w:w="1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(1,531)</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(5,909)</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(3,590)</w:t>
            </w:r>
          </w:p>
        </w:tc>
      </w:tr>
      <w:tr>
        <w:trPr>
          <w:trHeight w:val="223"/>
        </w:trPr>
        <w:tc>
          <w:tcPr>
            <w:tcW w:w="4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Adjusted Net Income (c)</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104,692</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136,245</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371,242</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482,244</w:t>
            </w:r>
          </w:p>
        </w:tc>
      </w:tr>
      <w:tr>
        <w:trPr>
          <w:trHeight w:val="20"/>
        </w:trPr>
        <w:tc>
          <w:tcPr>
            <w:tcW w:w="42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37"/>
        </w:trPr>
        <w:tc>
          <w:tcPr>
            <w:tcW w:w="4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r>
      <w:tr>
        <w:trPr>
          <w:trHeight w:val="230"/>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common share:</w:t>
            </w:r>
          </w:p>
        </w:tc>
        <w:tc>
          <w:tcPr>
            <w:tcW w:w="1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29"/>
        </w:trPr>
        <w:tc>
          <w:tcPr>
            <w:tcW w:w="4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w:t>
            </w:r>
          </w:p>
        </w:tc>
      </w:tr>
      <w:tr>
        <w:trPr>
          <w:trHeight w:val="229"/>
        </w:trPr>
        <w:tc>
          <w:tcPr>
            <w:tcW w:w="4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1.31</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4.51</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w:t>
            </w:r>
          </w:p>
        </w:tc>
      </w:tr>
      <w:tr>
        <w:trPr>
          <w:trHeight w:val="23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Earnings per Share:</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29"/>
        </w:trPr>
        <w:tc>
          <w:tcPr>
            <w:tcW w:w="4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1.41</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4.90</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w:t>
            </w:r>
          </w:p>
        </w:tc>
      </w:tr>
      <w:tr>
        <w:trPr>
          <w:trHeight w:val="230"/>
        </w:trPr>
        <w:tc>
          <w:tcPr>
            <w:tcW w:w="4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r>
      <w:tr>
        <w:trPr>
          <w:trHeight w:val="229"/>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1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29"/>
        </w:trPr>
        <w:tc>
          <w:tcPr>
            <w:tcW w:w="4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74,461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79,085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75,809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82,901</w:t>
            </w:r>
          </w:p>
        </w:tc>
      </w:tr>
      <w:tr>
        <w:trPr>
          <w:trHeight w:val="238"/>
        </w:trPr>
        <w:tc>
          <w:tcPr>
            <w:tcW w:w="4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76,057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81,379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77,893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84,910</w:t>
            </w:r>
          </w:p>
        </w:tc>
      </w:tr>
    </w:tbl>
    <w:p>
      <w:pPr>
        <w:spacing w:after="0" w:line="90" w:lineRule="exact"/>
        <w:rPr>
          <w:sz w:val="20"/>
          <w:szCs w:val="20"/>
          <w:color w:val="auto"/>
        </w:rPr>
      </w:pPr>
    </w:p>
    <w:p>
      <w:pPr>
        <w:ind w:left="520" w:right="40" w:hanging="494"/>
        <w:spacing w:after="0" w:line="251" w:lineRule="auto"/>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non-cash charges related to equity-based compensation, which vary from period to period depending on certain factors such as timing and valuation of awards, achievement of performance targets and equity award forfeitures.</w:t>
      </w:r>
    </w:p>
    <w:p>
      <w:pPr>
        <w:ind w:left="520" w:right="20" w:hanging="494"/>
        <w:spacing w:after="0" w:line="251" w:lineRule="auto"/>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thirteen and thirty-nine weeks ended October 28, 2023 and October 29, 2022, this represents the estimated tax effect (by using the projected full year tax rates for the respective years) of the total adjustments made to arrive at Adjusted Net Income.</w:t>
      </w:r>
    </w:p>
    <w:p>
      <w:pPr>
        <w:jc w:val="both"/>
        <w:ind w:left="520" w:right="20" w:hanging="494"/>
        <w:spacing w:after="0" w:line="234" w:lineRule="auto"/>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Effective January 28, 2023, we no longer exclude pre-opening expenses from our computation of Adjusted Net Income. Adjusted Net Income for the thirteen and thirty-nine weeks ended October 29, 2022 has been revised to the current period computation methodology. See the section entitled </w:t>
      </w:r>
      <w:r>
        <w:rPr>
          <w:rFonts w:ascii="Times New Roman" w:cs="Times New Roman" w:eastAsia="Times New Roman" w:hAnsi="Times New Roman"/>
          <w:sz w:val="14"/>
          <w:szCs w:val="14"/>
          <w:i w:val="1"/>
          <w:iCs w:val="1"/>
          <w:color w:val="auto"/>
        </w:rPr>
        <w:t>Management's Discussion and Analysis of Financial Condition and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Results of Operations - Overview - Selling, General and Administrative Expenses </w:t>
      </w:r>
      <w:r>
        <w:rPr>
          <w:rFonts w:ascii="Times New Roman" w:cs="Times New Roman" w:eastAsia="Times New Roman" w:hAnsi="Times New Roman"/>
          <w:sz w:val="14"/>
          <w:szCs w:val="14"/>
          <w:color w:val="auto"/>
        </w:rPr>
        <w:t>for details of our pre-opening expenses for the periods presented.</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Free Cash Flow</w:t>
      </w:r>
    </w:p>
    <w:p>
      <w:pPr>
        <w:spacing w:after="0" w:line="175"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net cash provided by operating activities to Adjusted Free Cash Flow for the periods presented (amounts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380" w:type="dxa"/>
            <w:vAlign w:val="bottom"/>
            <w:gridSpan w:val="5"/>
          </w:tcPr>
          <w:p>
            <w:pPr>
              <w:ind w:left="68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140" w:type="dxa"/>
            <w:vAlign w:val="bottom"/>
          </w:tcPr>
          <w:p>
            <w:pPr>
              <w:spacing w:after="0"/>
              <w:rPr>
                <w:sz w:val="20"/>
                <w:szCs w:val="20"/>
                <w:color w:val="auto"/>
              </w:rPr>
            </w:pPr>
          </w:p>
        </w:tc>
        <w:tc>
          <w:tcPr>
            <w:tcW w:w="3300" w:type="dxa"/>
            <w:vAlign w:val="bottom"/>
            <w:gridSpan w:val="4"/>
          </w:tcPr>
          <w:p>
            <w:pPr>
              <w:ind w:left="580"/>
              <w:spacing w:after="0"/>
              <w:rPr>
                <w:sz w:val="20"/>
                <w:szCs w:val="20"/>
                <w:color w:val="auto"/>
              </w:rPr>
            </w:pPr>
            <w:r>
              <w:rPr>
                <w:rFonts w:ascii="Times New Roman" w:cs="Times New Roman" w:eastAsia="Times New Roman" w:hAnsi="Times New Roman"/>
                <w:sz w:val="18"/>
                <w:szCs w:val="18"/>
                <w:b w:val="1"/>
                <w:bCs w:val="1"/>
                <w:color w:val="auto"/>
              </w:rPr>
              <w:t>Thirty-Nine Weeks Ended</w:t>
            </w:r>
          </w:p>
        </w:tc>
      </w:tr>
      <w:tr>
        <w:trPr>
          <w:trHeight w:val="223"/>
        </w:trPr>
        <w:tc>
          <w:tcPr>
            <w:tcW w:w="4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October 28, 2023</w:t>
            </w:r>
          </w:p>
        </w:tc>
        <w:tc>
          <w:tcPr>
            <w:tcW w:w="16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October 29, 2022</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October 28, 2023</w:t>
            </w:r>
          </w:p>
        </w:tc>
        <w:tc>
          <w:tcPr>
            <w:tcW w:w="16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October 29, 2022</w:t>
            </w:r>
          </w:p>
        </w:tc>
      </w:tr>
      <w:tr>
        <w:trPr>
          <w:trHeight w:val="223"/>
        </w:trPr>
        <w:tc>
          <w:tcPr>
            <w:tcW w:w="4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tcBorders>
              <w:top w:val="single" w:sz="8" w:color="auto"/>
            </w:tcBorders>
            <w:shd w:val="clear" w:color="auto" w:fill="CCEEFF"/>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rPr>
              <w:t>57,476</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jc w:val="center"/>
              <w:ind w:left="810"/>
              <w:spacing w:after="0"/>
              <w:rPr>
                <w:sz w:val="20"/>
                <w:szCs w:val="20"/>
                <w:color w:val="auto"/>
              </w:rPr>
            </w:pPr>
            <w:r>
              <w:rPr>
                <w:rFonts w:ascii="Times New Roman" w:cs="Times New Roman" w:eastAsia="Times New Roman" w:hAnsi="Times New Roman"/>
                <w:sz w:val="18"/>
                <w:szCs w:val="18"/>
                <w:color w:val="auto"/>
              </w:rPr>
              <w:t>50,763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40" w:type="dxa"/>
            <w:vAlign w:val="bottom"/>
            <w:tcBorders>
              <w:top w:val="single" w:sz="8" w:color="auto"/>
            </w:tcBorders>
            <w:shd w:val="clear" w:color="auto" w:fill="CCEEFF"/>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9"/>
              </w:rPr>
              <w:t>301,042</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309,169</w:t>
            </w:r>
          </w:p>
        </w:tc>
      </w:tr>
      <w:tr>
        <w:trPr>
          <w:trHeight w:val="230"/>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7"/>
              </w:rPr>
              <w:t>(42,345)</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center"/>
              <w:ind w:left="770"/>
              <w:spacing w:after="0"/>
              <w:rPr>
                <w:sz w:val="20"/>
                <w:szCs w:val="20"/>
                <w:color w:val="auto"/>
              </w:rPr>
            </w:pPr>
            <w:r>
              <w:rPr>
                <w:rFonts w:ascii="Times New Roman" w:cs="Times New Roman" w:eastAsia="Times New Roman" w:hAnsi="Times New Roman"/>
                <w:sz w:val="18"/>
                <w:szCs w:val="18"/>
                <w:color w:val="auto"/>
              </w:rPr>
              <w:t>(31,677)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9"/>
              </w:rPr>
              <w:t>(150,191)</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(79,811)</w:t>
            </w:r>
          </w:p>
        </w:tc>
      </w:tr>
      <w:tr>
        <w:trPr>
          <w:trHeight w:val="248"/>
        </w:trPr>
        <w:tc>
          <w:tcPr>
            <w:tcW w:w="42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Adjusted Free Cash Flow</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tcBorders>
              <w:bottom w:val="single" w:sz="8" w:color="auto"/>
            </w:tcBorders>
            <w:shd w:val="clear" w:color="auto" w:fill="CCEEFF"/>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rPr>
              <w:t>15,131</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center"/>
              <w:ind w:left="810"/>
              <w:spacing w:after="0"/>
              <w:rPr>
                <w:sz w:val="20"/>
                <w:szCs w:val="20"/>
                <w:color w:val="auto"/>
              </w:rPr>
            </w:pPr>
            <w:r>
              <w:rPr>
                <w:rFonts w:ascii="Times New Roman" w:cs="Times New Roman" w:eastAsia="Times New Roman" w:hAnsi="Times New Roman"/>
                <w:sz w:val="18"/>
                <w:szCs w:val="18"/>
                <w:color w:val="auto"/>
              </w:rPr>
              <w:t>19,086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40" w:type="dxa"/>
            <w:vAlign w:val="bottom"/>
            <w:tcBorders>
              <w:bottom w:val="single" w:sz="8" w:color="auto"/>
            </w:tcBorders>
            <w:shd w:val="clear" w:color="auto" w:fill="CCEEFF"/>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9"/>
              </w:rPr>
              <w:t>150,851</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229,358</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Liquidity</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principal liquidity requirements are for working capital, capital expenditures and cash used to pay our debt obligations and related interest expense. We also use cash to pay dividends and occasionally use cash to repurchase common stock. We fund these liquidity requirements through cash and cash equivalents, cash generated from operating activities, issuances of debt (such as the Notes) and borrowings under our ABL Facility. On October 28, 2023, our cash and cash equivalents totaled $274.8 million. We believe our cash and cash equivalents, as well as our availability under the ABL Facility, will be sufficient to fund our cash requirements for at least the next 12 months.</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Long-Term Debt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October 28, 2023, the Company's long-term debt and interest rates consist of (see Note 4 to the accompanying financial statements):</w:t>
      </w:r>
    </w:p>
    <w:p>
      <w:pPr>
        <w:spacing w:after="0" w:line="117"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- 6.00% fixed rate senior secured notes with $400 million in principal outstanding and full principal maturing November 15, 2027;</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 Loan - 9.18% variable rate term-loan with $192.5 million in principal outstanding maturing November 6, 2027 and quarterly principal payments of $750 thousand; and</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ABL Facility - $1.0 billion commitment on a variable rate secured asset-based revolving credit facility with no principal outstanding maturing November 6, 2025.</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current debt obligations by fiscal year (amounts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3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2027</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434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Term Loan and related interest </w:t>
            </w:r>
            <w:r>
              <w:rPr>
                <w:rFonts w:ascii="Times New Roman" w:cs="Times New Roman" w:eastAsia="Times New Roman" w:hAnsi="Times New Roman"/>
                <w:sz w:val="23"/>
                <w:szCs w:val="23"/>
                <w:color w:val="auto"/>
                <w:vertAlign w:val="superscript"/>
              </w:rPr>
              <w:t>(1)</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5,179</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19,931</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18,081</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17,551</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194,807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255,549</w:t>
            </w:r>
          </w:p>
        </w:tc>
      </w:tr>
      <w:tr>
        <w:trPr>
          <w:trHeight w:val="230"/>
        </w:trPr>
        <w:tc>
          <w:tcPr>
            <w:tcW w:w="43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Notes and related interest </w:t>
            </w:r>
            <w:r>
              <w:rPr>
                <w:rFonts w:ascii="Times New Roman" w:cs="Times New Roman" w:eastAsia="Times New Roman" w:hAnsi="Times New Roman"/>
                <w:sz w:val="23"/>
                <w:szCs w:val="23"/>
                <w:color w:val="auto"/>
                <w:vertAlign w:val="superscript"/>
              </w:rPr>
              <w:t>(2)</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24,000</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24,000</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24,000</w:t>
            </w:r>
          </w:p>
        </w:tc>
        <w:tc>
          <w:tcPr>
            <w:tcW w:w="280" w:type="dxa"/>
            <w:vAlign w:val="bottom"/>
          </w:tcPr>
          <w:p>
            <w:pPr>
              <w:spacing w:after="0"/>
              <w:rPr>
                <w:sz w:val="19"/>
                <w:szCs w:val="19"/>
                <w:color w:val="auto"/>
              </w:rPr>
            </w:pPr>
          </w:p>
        </w:tc>
        <w:tc>
          <w:tcPr>
            <w:tcW w:w="92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424,000</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508,000</w:t>
            </w:r>
          </w:p>
        </w:tc>
      </w:tr>
      <w:tr>
        <w:trPr>
          <w:trHeight w:val="229"/>
        </w:trPr>
        <w:tc>
          <w:tcPr>
            <w:tcW w:w="43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ABL Facility and related interest </w:t>
            </w:r>
            <w:r>
              <w:rPr>
                <w:rFonts w:ascii="Times New Roman" w:cs="Times New Roman" w:eastAsia="Times New Roman" w:hAnsi="Times New Roman"/>
                <w:sz w:val="23"/>
                <w:szCs w:val="23"/>
                <w:color w:val="auto"/>
                <w:vertAlign w:val="superscript"/>
              </w:rPr>
              <w:t>(3)</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5,063</w:t>
            </w:r>
          </w:p>
        </w:tc>
      </w:tr>
    </w:tbl>
    <w:p>
      <w:pPr>
        <w:spacing w:after="0" w:line="85" w:lineRule="exact"/>
        <w:rPr>
          <w:sz w:val="20"/>
          <w:szCs w:val="20"/>
          <w:color w:val="auto"/>
        </w:rPr>
      </w:pPr>
    </w:p>
    <w:p>
      <w:pPr>
        <w:ind w:left="220" w:hanging="194"/>
        <w:spacing w:after="0"/>
        <w:tabs>
          <w:tab w:leader="none" w:pos="2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payments do not include amortization of discount and debt issuance costs and are approximated based on projected interest rates and assume no unscheduled principal payments.</w:t>
      </w:r>
    </w:p>
    <w:p>
      <w:pPr>
        <w:spacing w:after="0" w:line="41" w:lineRule="exact"/>
        <w:rPr>
          <w:rFonts w:ascii="Times New Roman" w:cs="Times New Roman" w:eastAsia="Times New Roman" w:hAnsi="Times New Roman"/>
          <w:sz w:val="14"/>
          <w:szCs w:val="14"/>
          <w:color w:val="auto"/>
        </w:rPr>
      </w:pPr>
    </w:p>
    <w:p>
      <w:pPr>
        <w:ind w:left="220" w:hanging="194"/>
        <w:spacing w:after="0"/>
        <w:tabs>
          <w:tab w:leader="none" w:pos="2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payments do not include amortization of debt issuance costs and assumes Notes are paid in full at maturity date.</w:t>
      </w:r>
    </w:p>
    <w:p>
      <w:pPr>
        <w:spacing w:after="0" w:line="41" w:lineRule="exact"/>
        <w:rPr>
          <w:rFonts w:ascii="Times New Roman" w:cs="Times New Roman" w:eastAsia="Times New Roman" w:hAnsi="Times New Roman"/>
          <w:sz w:val="14"/>
          <w:szCs w:val="14"/>
          <w:color w:val="auto"/>
        </w:rPr>
      </w:pPr>
    </w:p>
    <w:p>
      <w:pPr>
        <w:ind w:left="220" w:hanging="194"/>
        <w:spacing w:after="0"/>
        <w:tabs>
          <w:tab w:leader="none" w:pos="2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Assumes a minimum revolving credit commitment of $1.0 billion and assumes no balances drawn on our ABL Facility.</w:t>
      </w:r>
    </w:p>
    <w:p>
      <w:pPr>
        <w:spacing w:after="0" w:line="2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Liquidity information related to the ABL Facility is as follows for the periods shown (dollar amounts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500" w:type="dxa"/>
            <w:vAlign w:val="bottom"/>
            <w:tcBorders>
              <w:bottom w:val="single" w:sz="8" w:color="auto"/>
            </w:tcBorders>
            <w:gridSpan w:val="4"/>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Thirty-Nine Weeks Ended</w:t>
            </w:r>
          </w:p>
        </w:tc>
      </w:tr>
      <w:tr>
        <w:trPr>
          <w:trHeight w:val="223"/>
        </w:trPr>
        <w:tc>
          <w:tcPr>
            <w:tcW w:w="7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October 28, 2023</w:t>
            </w:r>
          </w:p>
        </w:tc>
        <w:tc>
          <w:tcPr>
            <w:tcW w:w="180" w:type="dxa"/>
            <w:vAlign w:val="bottom"/>
          </w:tcPr>
          <w:p>
            <w:pPr>
              <w:spacing w:after="0"/>
              <w:rPr>
                <w:sz w:val="19"/>
                <w:szCs w:val="19"/>
                <w:color w:val="auto"/>
              </w:rPr>
            </w:pPr>
          </w:p>
        </w:tc>
        <w:tc>
          <w:tcPr>
            <w:tcW w:w="16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October 29, 2022</w:t>
            </w:r>
          </w:p>
        </w:tc>
      </w:tr>
      <w:tr>
        <w:trPr>
          <w:trHeight w:val="223"/>
        </w:trPr>
        <w:tc>
          <w:tcPr>
            <w:tcW w:w="7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funds drawn</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Number of days with outstanding balance</w:t>
            </w:r>
          </w:p>
        </w:tc>
        <w:tc>
          <w:tcPr>
            <w:tcW w:w="180" w:type="dxa"/>
            <w:vAlign w:val="bottom"/>
          </w:tcPr>
          <w:p>
            <w:pPr>
              <w:spacing w:after="0"/>
              <w:rPr>
                <w:sz w:val="19"/>
                <w:szCs w:val="19"/>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Maximum daily amount outstanding</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Minimum available borrowing capacity</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985,447</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954,516</w:t>
            </w:r>
          </w:p>
        </w:tc>
      </w:tr>
    </w:tbl>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8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Liquidity information related to the ABL Facility (amounts in thousands) as of:</w:t>
            </w: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99"/>
        </w:trPr>
        <w:tc>
          <w:tcPr>
            <w:tcW w:w="5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20" w:type="dxa"/>
            <w:vAlign w:val="bottom"/>
            <w:gridSpan w:val="3"/>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October 28, 2023</w:t>
            </w:r>
          </w:p>
        </w:tc>
        <w:tc>
          <w:tcPr>
            <w:tcW w:w="1980" w:type="dxa"/>
            <w:vAlign w:val="bottom"/>
            <w:gridSpan w:val="3"/>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January 28, 2023</w:t>
            </w:r>
          </w:p>
        </w:tc>
        <w:tc>
          <w:tcPr>
            <w:tcW w:w="16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October 29, 2022</w:t>
            </w:r>
          </w:p>
        </w:tc>
      </w:tr>
      <w:tr>
        <w:trPr>
          <w:trHeight w:val="223"/>
        </w:trPr>
        <w:tc>
          <w:tcPr>
            <w:tcW w:w="5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borrowings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Issued letters of credit</w:t>
            </w:r>
          </w:p>
        </w:tc>
        <w:tc>
          <w:tcPr>
            <w:tcW w:w="2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11,553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17,378</w:t>
            </w:r>
          </w:p>
        </w:tc>
      </w:tr>
      <w:tr>
        <w:trPr>
          <w:trHeight w:val="23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 borrowing capacity</w:t>
            </w:r>
          </w:p>
        </w:tc>
        <w:tc>
          <w:tcPr>
            <w:tcW w:w="2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988,447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947,764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982,622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32" w:name="page33"/>
    <w:bookmarkEnd w:id="32"/>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lease store locations, distribution centers, office space and certain equipment under operating leases expiring between fiscal years 2023 and 2044. Operating lease obligations include future minimum lease payments under all of our non-cancelable operating leases at October 28, 2023. The following table summarizes our remaining operating lease obligations by fiscal year:</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2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2027</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After 2027</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320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Operating lease payments </w:t>
            </w:r>
            <w:r>
              <w:rPr>
                <w:rFonts w:ascii="Times New Roman" w:cs="Times New Roman" w:eastAsia="Times New Roman" w:hAnsi="Times New Roman"/>
                <w:sz w:val="23"/>
                <w:szCs w:val="23"/>
                <w:color w:val="auto"/>
                <w:vertAlign w:val="superscript"/>
              </w:rPr>
              <w:t>(1) (2)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54,569</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220,419</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216,754</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208,723</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194,941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1,033,542</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1,928,948</w:t>
            </w:r>
          </w:p>
        </w:tc>
      </w:tr>
    </w:tbl>
    <w:p>
      <w:pPr>
        <w:spacing w:after="0" w:line="85" w:lineRule="exact"/>
        <w:rPr>
          <w:sz w:val="20"/>
          <w:szCs w:val="20"/>
          <w:color w:val="auto"/>
        </w:rPr>
      </w:pPr>
    </w:p>
    <w:p>
      <w:pPr>
        <w:ind w:left="220" w:hanging="194"/>
        <w:spacing w:after="0"/>
        <w:tabs>
          <w:tab w:leader="none" w:pos="2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Minimum lease payments have not been reduced by sublease rentals of $0.1 million due in the future under non-cancelable sub-leases.</w:t>
      </w:r>
    </w:p>
    <w:p>
      <w:pPr>
        <w:spacing w:after="0" w:line="55" w:lineRule="exact"/>
        <w:rPr>
          <w:rFonts w:ascii="Times New Roman" w:cs="Times New Roman" w:eastAsia="Times New Roman" w:hAnsi="Times New Roman"/>
          <w:sz w:val="14"/>
          <w:szCs w:val="14"/>
          <w:color w:val="auto"/>
        </w:rPr>
      </w:pPr>
    </w:p>
    <w:p>
      <w:pPr>
        <w:ind w:left="220" w:hanging="194"/>
        <w:spacing w:after="0"/>
        <w:tabs>
          <w:tab w:leader="none" w:pos="2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balances include stores where we have an executed contract but have not taken possession of the location as of October 28, 2023.</w:t>
      </w:r>
    </w:p>
    <w:p>
      <w:pPr>
        <w:spacing w:after="0" w:line="370" w:lineRule="exact"/>
        <w:rPr>
          <w:sz w:val="20"/>
          <w:szCs w:val="20"/>
          <w:color w:val="auto"/>
        </w:rPr>
      </w:pPr>
    </w:p>
    <w:p>
      <w:pPr>
        <w:ind w:left="340" w:right="1160"/>
        <w:spacing w:after="0" w:line="438" w:lineRule="auto"/>
        <w:rPr>
          <w:sz w:val="20"/>
          <w:szCs w:val="20"/>
          <w:color w:val="auto"/>
        </w:rPr>
      </w:pPr>
      <w:r>
        <w:rPr>
          <w:rFonts w:ascii="Times New Roman" w:cs="Times New Roman" w:eastAsia="Times New Roman" w:hAnsi="Times New Roman"/>
          <w:sz w:val="18"/>
          <w:szCs w:val="18"/>
          <w:color w:val="auto"/>
        </w:rPr>
        <w:t xml:space="preserve">In the thirty-nine weeks ended October 28, 2023, we opened seven new locations and we intend to open 14 total new locations in 2023. </w:t>
      </w:r>
      <w:r>
        <w:rPr>
          <w:rFonts w:ascii="Times New Roman" w:cs="Times New Roman" w:eastAsia="Times New Roman" w:hAnsi="Times New Roman"/>
          <w:sz w:val="18"/>
          <w:szCs w:val="18"/>
          <w:b w:val="1"/>
          <w:bCs w:val="1"/>
          <w:i w:val="1"/>
          <w:iCs w:val="1"/>
          <w:color w:val="auto"/>
        </w:rPr>
        <w:t>Share Repurchases</w:t>
      </w:r>
    </w:p>
    <w:p>
      <w:pPr>
        <w:spacing w:after="0" w:line="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June 2, 2022, the Board of Directors of the Company authorized a share repurchase program (the "2022 Share Repurchase Program") under which the Company may purchase up to $600 million of its outstanding shares during the three-year period ending June 2, 2025. The 2022 Share Repurchase Program does not obligate the Company to acquire any particular number of common shares, and the program may be suspended, extended, modified or discontinued at any time. As of October 28, 2023, we had $99.4 million available for share repurchases pursuant to the 2022 Share Repurchase Program (see Note 2 to the accompanying financial statements).</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share repurchases for the 2023 third quarter (dollar amounts in thousands, except per share amounts):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80" w:type="dxa"/>
            <w:vAlign w:val="bottom"/>
          </w:tcPr>
          <w:p>
            <w:pPr>
              <w:spacing w:after="0"/>
              <w:rPr>
                <w:sz w:val="17"/>
                <w:szCs w:val="17"/>
                <w:color w:val="auto"/>
              </w:rPr>
            </w:pPr>
          </w:p>
        </w:tc>
        <w:tc>
          <w:tcPr>
            <w:tcW w:w="19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19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Average Price Paid per</w:t>
            </w:r>
          </w:p>
        </w:tc>
        <w:tc>
          <w:tcPr>
            <w:tcW w:w="220" w:type="dxa"/>
            <w:vAlign w:val="bottom"/>
          </w:tcPr>
          <w:p>
            <w:pPr>
              <w:spacing w:after="0"/>
              <w:rPr>
                <w:sz w:val="17"/>
                <w:szCs w:val="17"/>
                <w:color w:val="auto"/>
              </w:rPr>
            </w:pPr>
          </w:p>
        </w:tc>
        <w:tc>
          <w:tcPr>
            <w:tcW w:w="16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 Amount</w:t>
            </w:r>
          </w:p>
        </w:tc>
      </w:tr>
      <w:tr>
        <w:trPr>
          <w:trHeight w:val="243"/>
        </w:trPr>
        <w:tc>
          <w:tcPr>
            <w:tcW w:w="5480" w:type="dxa"/>
            <w:vAlign w:val="bottom"/>
          </w:tcPr>
          <w:p>
            <w:pPr>
              <w:spacing w:after="0"/>
              <w:rPr>
                <w:sz w:val="21"/>
                <w:szCs w:val="21"/>
                <w:color w:val="auto"/>
              </w:rPr>
            </w:pPr>
          </w:p>
        </w:tc>
        <w:tc>
          <w:tcPr>
            <w:tcW w:w="1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Shares Purchased</w:t>
            </w:r>
          </w:p>
        </w:tc>
        <w:tc>
          <w:tcPr>
            <w:tcW w:w="360" w:type="dxa"/>
            <w:vAlign w:val="bottom"/>
          </w:tcPr>
          <w:p>
            <w:pPr>
              <w:spacing w:after="0"/>
              <w:rPr>
                <w:sz w:val="21"/>
                <w:szCs w:val="21"/>
                <w:color w:val="auto"/>
              </w:rPr>
            </w:pPr>
          </w:p>
        </w:tc>
        <w:tc>
          <w:tcPr>
            <w:tcW w:w="1580" w:type="dxa"/>
            <w:vAlign w:val="bottom"/>
            <w:gridSpan w:val="2"/>
          </w:tcPr>
          <w:p>
            <w:pPr>
              <w:ind w:left="240"/>
              <w:spacing w:after="0" w:line="243" w:lineRule="exact"/>
              <w:rPr>
                <w:sz w:val="20"/>
                <w:szCs w:val="20"/>
                <w:color w:val="auto"/>
              </w:rPr>
            </w:pPr>
            <w:r>
              <w:rPr>
                <w:rFonts w:ascii="Times New Roman" w:cs="Times New Roman" w:eastAsia="Times New Roman" w:hAnsi="Times New Roman"/>
                <w:sz w:val="18"/>
                <w:szCs w:val="18"/>
                <w:b w:val="1"/>
                <w:bCs w:val="1"/>
                <w:color w:val="auto"/>
              </w:rPr>
              <w:t xml:space="preserve">Share </w:t>
            </w:r>
            <w:r>
              <w:rPr>
                <w:rFonts w:ascii="Times New Roman" w:cs="Times New Roman" w:eastAsia="Times New Roman" w:hAnsi="Times New Roman"/>
                <w:sz w:val="23"/>
                <w:szCs w:val="23"/>
                <w:b w:val="1"/>
                <w:bCs w:val="1"/>
                <w:color w:val="auto"/>
                <w:vertAlign w:val="superscript"/>
              </w:rPr>
              <w:t>(1)</w:t>
            </w:r>
          </w:p>
        </w:tc>
        <w:tc>
          <w:tcPr>
            <w:tcW w:w="220" w:type="dxa"/>
            <w:vAlign w:val="bottom"/>
          </w:tcPr>
          <w:p>
            <w:pPr>
              <w:spacing w:after="0"/>
              <w:rPr>
                <w:sz w:val="21"/>
                <w:szCs w:val="21"/>
                <w:color w:val="auto"/>
              </w:rPr>
            </w:pPr>
          </w:p>
        </w:tc>
        <w:tc>
          <w:tcPr>
            <w:tcW w:w="1640" w:type="dxa"/>
            <w:vAlign w:val="bottom"/>
          </w:tcPr>
          <w:p>
            <w:pPr>
              <w:jc w:val="right"/>
              <w:ind w:right="250"/>
              <w:spacing w:after="0" w:line="243" w:lineRule="exact"/>
              <w:rPr>
                <w:sz w:val="20"/>
                <w:szCs w:val="20"/>
                <w:color w:val="auto"/>
              </w:rPr>
            </w:pPr>
            <w:r>
              <w:rPr>
                <w:rFonts w:ascii="Times New Roman" w:cs="Times New Roman" w:eastAsia="Times New Roman" w:hAnsi="Times New Roman"/>
                <w:sz w:val="18"/>
                <w:szCs w:val="18"/>
                <w:b w:val="1"/>
                <w:bCs w:val="1"/>
                <w:color w:val="auto"/>
              </w:rPr>
              <w:t xml:space="preserve">Repurchased </w:t>
            </w:r>
            <w:r>
              <w:rPr>
                <w:rFonts w:ascii="Times New Roman" w:cs="Times New Roman" w:eastAsia="Times New Roman" w:hAnsi="Times New Roman"/>
                <w:sz w:val="23"/>
                <w:szCs w:val="23"/>
                <w:b w:val="1"/>
                <w:bCs w:val="1"/>
                <w:color w:val="auto"/>
                <w:vertAlign w:val="superscript"/>
              </w:rPr>
              <w:t>(1)</w:t>
            </w:r>
          </w:p>
        </w:tc>
      </w:tr>
      <w:tr>
        <w:trPr>
          <w:trHeight w:val="223"/>
        </w:trPr>
        <w:tc>
          <w:tcPr>
            <w:tcW w:w="5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Quarter (January 29, 2023 to April 29, 2023)</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750,010</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50,015</w:t>
            </w: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Second Quarter (April 30, 2023 to July 29, 2023)</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1,994,064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106,432</w:t>
            </w:r>
          </w:p>
        </w:tc>
      </w:tr>
      <w:tr>
        <w:trPr>
          <w:trHeight w:val="229"/>
        </w:trPr>
        <w:tc>
          <w:tcPr>
            <w:tcW w:w="54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Third Quarter (July 30, 2023 to October 28, 2023) </w:t>
            </w:r>
            <w:r>
              <w:rPr>
                <w:rFonts w:ascii="Times New Roman" w:cs="Times New Roman" w:eastAsia="Times New Roman" w:hAnsi="Times New Roman"/>
                <w:sz w:val="23"/>
                <w:szCs w:val="23"/>
                <w:color w:val="auto"/>
                <w:vertAlign w:val="superscript"/>
              </w:rPr>
              <w:t>(2)</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863,631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43,625</w:t>
            </w:r>
          </w:p>
        </w:tc>
      </w:tr>
      <w:tr>
        <w:trPr>
          <w:trHeight w:val="223"/>
        </w:trPr>
        <w:tc>
          <w:tcPr>
            <w:tcW w:w="5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Shares Repurchased</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3,607,705</w:t>
            </w:r>
          </w:p>
        </w:tc>
        <w:tc>
          <w:tcPr>
            <w:tcW w:w="100" w:type="dxa"/>
            <w:vAlign w:val="bottom"/>
          </w:tcPr>
          <w:p>
            <w:pPr>
              <w:spacing w:after="0"/>
              <w:rPr>
                <w:sz w:val="19"/>
                <w:szCs w:val="19"/>
                <w:color w:val="auto"/>
              </w:rPr>
            </w:pPr>
          </w:p>
        </w:tc>
        <w:tc>
          <w:tcPr>
            <w:tcW w:w="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200,072</w:t>
            </w:r>
          </w:p>
        </w:tc>
      </w:tr>
      <w:tr>
        <w:trPr>
          <w:trHeight w:val="20"/>
        </w:trPr>
        <w:tc>
          <w:tcPr>
            <w:tcW w:w="548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ind w:left="260" w:hanging="207"/>
        <w:spacing w:after="0"/>
        <w:tabs>
          <w:tab w:leader="none" w:pos="2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the impact of excise taxes.</w:t>
      </w:r>
    </w:p>
    <w:p>
      <w:pPr>
        <w:spacing w:after="0" w:line="41" w:lineRule="exact"/>
        <w:rPr>
          <w:rFonts w:ascii="Times New Roman" w:cs="Times New Roman" w:eastAsia="Times New Roman" w:hAnsi="Times New Roman"/>
          <w:sz w:val="14"/>
          <w:szCs w:val="14"/>
          <w:color w:val="auto"/>
        </w:rPr>
      </w:pPr>
    </w:p>
    <w:p>
      <w:pPr>
        <w:ind w:left="260" w:hanging="207"/>
        <w:spacing w:after="0"/>
        <w:tabs>
          <w:tab w:leader="none" w:pos="2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Part II, Item 2 - Unregistered Sales of Equity Securities and Use of Proceeds for further detail on the 2023 third quarter share repurchases.</w:t>
      </w:r>
    </w:p>
    <w:p>
      <w:pPr>
        <w:spacing w:after="0" w:line="3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November 29, 2023, the Board of Directors of the Company authorized a new share repurchase program (the "2023 Share Repurchase Program") under which the Company may purchase up to $600 million of its outstanding shares during the three-year period ending November 29, 2026. The total availability under the combined 2023 Share Repurchase Program and 2022 Share Repurchase Program is $699.4 million (see Note 11 to the accompanying financial statements).</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quarterly dividend payments for the year-to-date 2023 (amounts in thousands, except per share amounts):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Dividend per Share</w:t>
            </w:r>
          </w:p>
        </w:tc>
        <w:tc>
          <w:tcPr>
            <w:tcW w:w="120" w:type="dxa"/>
            <w:vAlign w:val="bottom"/>
          </w:tcPr>
          <w:p>
            <w:pPr>
              <w:spacing w:after="0"/>
              <w:rPr>
                <w:sz w:val="18"/>
                <w:szCs w:val="18"/>
                <w:color w:val="auto"/>
              </w:rPr>
            </w:pPr>
          </w:p>
        </w:tc>
        <w:tc>
          <w:tcPr>
            <w:tcW w:w="17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Total Dividends Paid</w:t>
            </w:r>
          </w:p>
        </w:tc>
        <w:tc>
          <w:tcPr>
            <w:tcW w:w="1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Stockholder Date of</w:t>
            </w:r>
          </w:p>
        </w:tc>
        <w:tc>
          <w:tcPr>
            <w:tcW w:w="0" w:type="dxa"/>
            <w:vAlign w:val="bottom"/>
          </w:tcPr>
          <w:p>
            <w:pPr>
              <w:spacing w:after="0"/>
              <w:rPr>
                <w:sz w:val="1"/>
                <w:szCs w:val="1"/>
                <w:color w:val="auto"/>
              </w:rPr>
            </w:pPr>
          </w:p>
        </w:tc>
      </w:tr>
      <w:tr>
        <w:trPr>
          <w:trHeight w:val="238"/>
        </w:trPr>
        <w:tc>
          <w:tcPr>
            <w:tcW w:w="5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Record</w:t>
            </w:r>
          </w:p>
        </w:tc>
        <w:tc>
          <w:tcPr>
            <w:tcW w:w="0" w:type="dxa"/>
            <w:vAlign w:val="bottom"/>
          </w:tcPr>
          <w:p>
            <w:pPr>
              <w:spacing w:after="0"/>
              <w:rPr>
                <w:sz w:val="1"/>
                <w:szCs w:val="1"/>
                <w:color w:val="auto"/>
              </w:rPr>
            </w:pPr>
          </w:p>
        </w:tc>
      </w:tr>
      <w:tr>
        <w:trPr>
          <w:trHeight w:val="223"/>
        </w:trPr>
        <w:tc>
          <w:tcPr>
            <w:tcW w:w="5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Quarter (January 29, 2023 to April 29, 2023)</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6,929</w:t>
            </w:r>
          </w:p>
        </w:tc>
        <w:tc>
          <w:tcPr>
            <w:tcW w:w="100" w:type="dxa"/>
            <w:vAlign w:val="bottom"/>
            <w:tcBorders>
              <w:top w:val="single" w:sz="8" w:color="CCEEFF"/>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March 23, 2023</w:t>
            </w:r>
          </w:p>
        </w:tc>
        <w:tc>
          <w:tcPr>
            <w:tcW w:w="0" w:type="dxa"/>
            <w:vAlign w:val="bottom"/>
          </w:tcPr>
          <w:p>
            <w:pPr>
              <w:spacing w:after="0"/>
              <w:rPr>
                <w:sz w:val="1"/>
                <w:szCs w:val="1"/>
                <w:color w:val="auto"/>
              </w:rPr>
            </w:pPr>
          </w:p>
        </w:tc>
      </w:tr>
      <w:tr>
        <w:trPr>
          <w:trHeight w:val="230"/>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Second Quarter (April 30, 2023 to July 29, 2023)</w:t>
            </w:r>
          </w:p>
        </w:tc>
        <w:tc>
          <w:tcPr>
            <w:tcW w:w="1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6,896</w:t>
            </w:r>
          </w:p>
        </w:tc>
        <w:tc>
          <w:tcPr>
            <w:tcW w:w="100" w:type="dxa"/>
            <w:vAlign w:val="bottom"/>
          </w:tcPr>
          <w:p>
            <w:pPr>
              <w:spacing w:after="0"/>
              <w:rPr>
                <w:sz w:val="19"/>
                <w:szCs w:val="19"/>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15, 2023</w:t>
            </w: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Third Quarter (July 30, 2023 to October 28, 2023)</w:t>
            </w:r>
          </w:p>
        </w:tc>
        <w:tc>
          <w:tcPr>
            <w:tcW w:w="1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6,718</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September 13, 2023</w:t>
            </w:r>
          </w:p>
        </w:tc>
        <w:tc>
          <w:tcPr>
            <w:tcW w:w="0" w:type="dxa"/>
            <w:vAlign w:val="bottom"/>
          </w:tcPr>
          <w:p>
            <w:pPr>
              <w:spacing w:after="0"/>
              <w:rPr>
                <w:sz w:val="1"/>
                <w:szCs w:val="1"/>
                <w:color w:val="auto"/>
              </w:rPr>
            </w:pPr>
          </w:p>
        </w:tc>
      </w:tr>
      <w:tr>
        <w:trPr>
          <w:trHeight w:val="223"/>
        </w:trPr>
        <w:tc>
          <w:tcPr>
            <w:tcW w:w="5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Dividends Paid</w:t>
            </w:r>
          </w:p>
        </w:tc>
        <w:tc>
          <w:tcPr>
            <w:tcW w:w="1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20,543</w:t>
            </w:r>
          </w:p>
        </w:tc>
        <w:tc>
          <w:tcPr>
            <w:tcW w:w="1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33" w:name="page34"/>
    <w:bookmarkEnd w:id="33"/>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November 29, 2023, the Company's Board of Directors declared a quarterly cash dividend with respect to the fiscal quarter ended October 28, 2023, of $0.09 per share of the Company's common stock, payable on January 10, 2024, to stockholders of record as of the close of business on December 13, 2023.</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175" w:lineRule="exact"/>
        <w:rPr>
          <w:sz w:val="20"/>
          <w:szCs w:val="20"/>
          <w:color w:val="auto"/>
        </w:rPr>
      </w:pPr>
    </w:p>
    <w:p>
      <w:pPr>
        <w:jc w:val="both"/>
        <w:ind w:right="20" w:firstLine="324"/>
        <w:spacing w:after="0" w:line="271" w:lineRule="auto"/>
        <w:rPr>
          <w:sz w:val="20"/>
          <w:szCs w:val="20"/>
          <w:color w:val="auto"/>
        </w:rPr>
      </w:pPr>
      <w:r>
        <w:rPr>
          <w:rFonts w:ascii="Times New Roman" w:cs="Times New Roman" w:eastAsia="Times New Roman" w:hAnsi="Times New Roman"/>
          <w:sz w:val="18"/>
          <w:szCs w:val="18"/>
          <w:color w:val="auto"/>
        </w:rPr>
        <w:t>The following table summarizes our capital expenditures for the thirty-nine weeks ended October 28, 2023 and October 29, 2022 (amounts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4160" w:type="dxa"/>
            <w:vAlign w:val="bottom"/>
            <w:tcBorders>
              <w:bottom w:val="single" w:sz="8" w:color="auto"/>
            </w:tcBorders>
            <w:gridSpan w:val="4"/>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Thirty-Nine Weeks Ended</w:t>
            </w:r>
          </w:p>
        </w:tc>
      </w:tr>
      <w:tr>
        <w:trPr>
          <w:trHeight w:val="223"/>
        </w:trPr>
        <w:tc>
          <w:tcPr>
            <w:tcW w:w="6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October 28, 2023</w:t>
            </w:r>
          </w:p>
        </w:tc>
        <w:tc>
          <w:tcPr>
            <w:tcW w:w="280" w:type="dxa"/>
            <w:vAlign w:val="bottom"/>
          </w:tcPr>
          <w:p>
            <w:pPr>
              <w:spacing w:after="0"/>
              <w:rPr>
                <w:sz w:val="19"/>
                <w:szCs w:val="19"/>
                <w:color w:val="auto"/>
              </w:rPr>
            </w:pPr>
          </w:p>
        </w:tc>
        <w:tc>
          <w:tcPr>
            <w:tcW w:w="19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October 29, 2022</w:t>
            </w:r>
          </w:p>
        </w:tc>
      </w:tr>
      <w:tr>
        <w:trPr>
          <w:trHeight w:val="223"/>
        </w:trPr>
        <w:tc>
          <w:tcPr>
            <w:tcW w:w="6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stores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75,156</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30,108</w:t>
            </w:r>
          </w:p>
        </w:tc>
      </w:tr>
      <w:tr>
        <w:trPr>
          <w:trHeight w:val="22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e-commerce and information technology programs</w:t>
            </w:r>
          </w:p>
        </w:tc>
        <w:tc>
          <w:tcPr>
            <w:tcW w:w="26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52,357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35,979</w:t>
            </w:r>
          </w:p>
        </w:tc>
      </w:tr>
      <w:tr>
        <w:trPr>
          <w:trHeight w:val="23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Updates for existing stores and distribution centers</w:t>
            </w:r>
          </w:p>
        </w:tc>
        <w:tc>
          <w:tcPr>
            <w:tcW w:w="26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24,450</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13,367</w:t>
            </w:r>
          </w:p>
        </w:tc>
      </w:tr>
      <w:tr>
        <w:trPr>
          <w:trHeight w:val="223"/>
        </w:trPr>
        <w:tc>
          <w:tcPr>
            <w:tcW w:w="6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151,963</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79,454</w:t>
            </w:r>
          </w:p>
        </w:tc>
      </w:tr>
      <w:tr>
        <w:trPr>
          <w:trHeight w:val="21"/>
        </w:trPr>
        <w:tc>
          <w:tcPr>
            <w:tcW w:w="6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324"/>
        <w:spacing w:after="0" w:line="271" w:lineRule="auto"/>
        <w:rPr>
          <w:sz w:val="20"/>
          <w:szCs w:val="20"/>
          <w:color w:val="auto"/>
        </w:rPr>
      </w:pPr>
      <w:r>
        <w:rPr>
          <w:rFonts w:ascii="Times New Roman" w:cs="Times New Roman" w:eastAsia="Times New Roman" w:hAnsi="Times New Roman"/>
          <w:sz w:val="18"/>
          <w:szCs w:val="18"/>
          <w:color w:val="auto"/>
        </w:rPr>
        <w:t>We expect capital expenditures for fiscal year 2023 to be between $175 million and $225 million. The following table summarizes our forecasted allocation of capital expenditures for fiscal year 2023:</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940" w:type="dxa"/>
            <w:vAlign w:val="bottom"/>
            <w:tcBorders>
              <w:bottom w:val="single" w:sz="8" w:color="CCEEFF"/>
            </w:tcBorders>
          </w:tcPr>
          <w:p>
            <w:pPr>
              <w:spacing w:after="0"/>
              <w:rPr>
                <w:sz w:val="20"/>
                <w:szCs w:val="20"/>
                <w:color w:val="auto"/>
              </w:rPr>
            </w:pPr>
          </w:p>
        </w:tc>
        <w:tc>
          <w:tcPr>
            <w:tcW w:w="230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stores</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r>
      <w:tr>
        <w:trPr>
          <w:trHeight w:val="229"/>
        </w:trPr>
        <w:tc>
          <w:tcPr>
            <w:tcW w:w="8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e-commerce and information technology programs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w:t>
            </w:r>
          </w:p>
        </w:tc>
      </w:tr>
      <w:tr>
        <w:trPr>
          <w:trHeight w:val="229"/>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Updates for existing stores and distribution centers</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r>
    </w:tbl>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We review forecasted capital expenditures throughout the year and will adjust or our capital expenditures based on business conditions at that time.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for the Thirty-Nine Weeks Ended October 28, 2023 and October 29, 2022</w:t>
            </w:r>
          </w:p>
        </w:tc>
        <w:tc>
          <w:tcPr>
            <w:tcW w:w="2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459"/>
        </w:trPr>
        <w:tc>
          <w:tcPr>
            <w:tcW w:w="7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Our unaudited statements of cash flows are summarized as follows (in thousands):</w:t>
            </w:r>
          </w:p>
        </w:tc>
        <w:tc>
          <w:tcPr>
            <w:tcW w:w="2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56"/>
        </w:trPr>
        <w:tc>
          <w:tcPr>
            <w:tcW w:w="7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3900" w:type="dxa"/>
            <w:vAlign w:val="bottom"/>
            <w:tcBorders>
              <w:bottom w:val="single" w:sz="8" w:color="auto"/>
            </w:tcBorders>
            <w:gridSpan w:val="4"/>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Thirty-Nine Weeks Ended</w:t>
            </w:r>
          </w:p>
        </w:tc>
      </w:tr>
      <w:tr>
        <w:trPr>
          <w:trHeight w:val="223"/>
        </w:trPr>
        <w:tc>
          <w:tcPr>
            <w:tcW w:w="7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October 28, 2023</w:t>
            </w:r>
          </w:p>
        </w:tc>
        <w:tc>
          <w:tcPr>
            <w:tcW w:w="220" w:type="dxa"/>
            <w:vAlign w:val="bottom"/>
          </w:tcPr>
          <w:p>
            <w:pPr>
              <w:spacing w:after="0"/>
              <w:rPr>
                <w:sz w:val="19"/>
                <w:szCs w:val="19"/>
                <w:color w:val="auto"/>
              </w:rPr>
            </w:pPr>
          </w:p>
        </w:tc>
        <w:tc>
          <w:tcPr>
            <w:tcW w:w="18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October 29, 2022</w:t>
            </w:r>
          </w:p>
        </w:tc>
      </w:tr>
      <w:tr>
        <w:trPr>
          <w:trHeight w:val="223"/>
        </w:trPr>
        <w:tc>
          <w:tcPr>
            <w:tcW w:w="7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301,042</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309,169</w:t>
            </w:r>
          </w:p>
        </w:tc>
      </w:tr>
      <w:tr>
        <w:trPr>
          <w:trHeight w:val="229"/>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(150,191)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(79,811)</w:t>
            </w:r>
          </w:p>
        </w:tc>
      </w:tr>
      <w:tr>
        <w:trPr>
          <w:trHeight w:val="230"/>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(213,169)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(397,189)</w:t>
            </w:r>
          </w:p>
        </w:tc>
      </w:tr>
      <w:tr>
        <w:trPr>
          <w:trHeight w:val="223"/>
        </w:trPr>
        <w:tc>
          <w:tcPr>
            <w:tcW w:w="7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(62,318)</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(167,831)</w:t>
            </w:r>
          </w:p>
        </w:tc>
      </w:tr>
      <w:tr>
        <w:trPr>
          <w:trHeight w:val="20"/>
        </w:trPr>
        <w:tc>
          <w:tcPr>
            <w:tcW w:w="7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Activities. </w:t>
      </w:r>
      <w:r>
        <w:rPr>
          <w:rFonts w:ascii="Times New Roman" w:cs="Times New Roman" w:eastAsia="Times New Roman" w:hAnsi="Times New Roman"/>
          <w:sz w:val="18"/>
          <w:szCs w:val="18"/>
          <w:color w:val="auto"/>
        </w:rPr>
        <w:t>Cash flows from operating activities are seasonal in our business. Typically, cash flows from operations are used to build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inventory in advance of peak selling seasons, with the fourth quarter pre-holiday season inventory increase being the most significant.</w:t>
      </w:r>
    </w:p>
    <w:p>
      <w:pPr>
        <w:spacing w:after="0" w:line="186" w:lineRule="exact"/>
        <w:rPr>
          <w:sz w:val="20"/>
          <w:szCs w:val="20"/>
          <w:color w:val="auto"/>
        </w:rPr>
      </w:pPr>
    </w:p>
    <w:p>
      <w:pPr>
        <w:ind w:right="520" w:firstLine="324"/>
        <w:spacing w:after="0" w:line="281" w:lineRule="auto"/>
        <w:rPr>
          <w:sz w:val="20"/>
          <w:szCs w:val="20"/>
          <w:color w:val="auto"/>
        </w:rPr>
      </w:pPr>
      <w:r>
        <w:rPr>
          <w:rFonts w:ascii="Times New Roman" w:cs="Times New Roman" w:eastAsia="Times New Roman" w:hAnsi="Times New Roman"/>
          <w:sz w:val="18"/>
          <w:szCs w:val="18"/>
          <w:color w:val="auto"/>
        </w:rPr>
        <w:t>Cash provided by operating activities in the year-to-date 2023 decreased $8.1 million, compared to year-to-date 2022. This decrease in cash was attributable to:</w:t>
      </w:r>
    </w:p>
    <w:p>
      <w:pPr>
        <w:spacing w:after="0" w:line="1"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$119.3 million decrease in net income;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 million net decrease in non-cash charges; partially offset by a</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$116.5 million net increase in cash flows provided by operating assets and liabilities.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34" w:name="page35"/>
    <w:bookmarkEnd w:id="34"/>
    <w:p>
      <w:pPr>
        <w:ind w:left="340"/>
        <w:spacing w:after="0"/>
        <w:rPr>
          <w:sz w:val="20"/>
          <w:szCs w:val="20"/>
          <w:color w:val="auto"/>
        </w:rPr>
      </w:pPr>
      <w:r>
        <w:rPr>
          <w:rFonts w:ascii="Times New Roman" w:cs="Times New Roman" w:eastAsia="Times New Roman" w:hAnsi="Times New Roman"/>
          <w:sz w:val="18"/>
          <w:szCs w:val="18"/>
          <w:color w:val="auto"/>
        </w:rPr>
        <w:t>The increase in cash flows from operating assets and liabilities was primarily attributable to:</w:t>
      </w:r>
    </w:p>
    <w:p>
      <w:pPr>
        <w:spacing w:after="0" w:line="63" w:lineRule="exact"/>
        <w:rPr>
          <w:sz w:val="20"/>
          <w:szCs w:val="20"/>
          <w:color w:val="auto"/>
        </w:rPr>
      </w:pPr>
    </w:p>
    <w:p>
      <w:pPr>
        <w:ind w:left="660" w:hanging="328"/>
        <w:spacing w:after="0" w:line="281"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$115.0 million increase in cash flows from merchandise inventories, net related to a reduction in inventory replenishment in the year-to-date 2023 when compared to the prior year period;</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$33.7 million increase in cash flows from accrued expenses and other current liabilities, primarily driven by a decrease in performance compensation payments made in the year-to-date 2023 relative to the prior year; and</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$33.1 million increase in cash flows from accounts payable, due to decreased inventory receipts relative to the prior year third quarter; partially offset by</w:t>
      </w:r>
    </w:p>
    <w:p>
      <w:pPr>
        <w:spacing w:after="0" w:line="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$60.0 million decrease in cash flows from prepaid expenses and other current assets, largely driven by increased construction reimbursement receivables in the year-to-date 2023 relative to the prior year.</w:t>
      </w:r>
    </w:p>
    <w:p>
      <w:pPr>
        <w:spacing w:after="0" w:line="185" w:lineRule="exact"/>
        <w:rPr>
          <w:sz w:val="20"/>
          <w:szCs w:val="20"/>
          <w:color w:val="auto"/>
        </w:rPr>
      </w:pPr>
    </w:p>
    <w:p>
      <w:pPr>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Investing Activities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Cash used in investing activities increased $70.4 million in the year-to-date 2023 compared to the year-to-date 2022. The increase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cash used in investing activities is primarily due to:</w:t>
      </w:r>
    </w:p>
    <w:p>
      <w:pPr>
        <w:spacing w:after="0" w:line="105"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$72.5 million higher capital expenditures, primarily driven by increased investments in new stores in the year-to-date 2023.</w:t>
      </w:r>
    </w:p>
    <w:p>
      <w:pPr>
        <w:spacing w:after="0" w:line="248" w:lineRule="exact"/>
        <w:rPr>
          <w:sz w:val="20"/>
          <w:szCs w:val="20"/>
          <w:color w:val="auto"/>
        </w:rPr>
      </w:pPr>
    </w:p>
    <w:p>
      <w:pPr>
        <w:ind w:right="20" w:firstLine="324"/>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Financing Activities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Cash used in financing activities decreased $184.0 million in the year-to-date 2023, compared to the year-to-date 2022.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primary drivers of the decrease were:</w:t>
      </w: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$189.4 million decrease in cash outflows caused by a reduction in repurchases and simultaneous retirement of common stock in the current year.</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This management's discussion and analysis of our financial condition and results of operations is based upon our unaudited financial statements, which have been prepared in accordance with GAAP. The preparation of financial statements in conformity with GAAP requires our management to make estimates and assumptions that affect the reported amounts of assets and liabilities and the disclosure of contingent assets and liabilities as of the date of the financial statements, as well as the reported amounts of revenues and expenses during the reporting period. Our management bases its estimates on historical experience and other assumptions it believes to be reasonable under the circumstances. Actual results could differ significantly from those estimates.</w:t>
      </w:r>
    </w:p>
    <w:p>
      <w:pPr>
        <w:spacing w:after="0" w:line="13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Management evaluated the development and selection of our critical accounting policies and estimates used in the preparation of the Company's unaudited financial statements and related notes and believes these policies to be reasonable and appropriate. Certain of these policies involve a higher degree of judgment or complexity and are most significant to reporting our results of operations and financial position, and are, therefore, discussed as critical. Our most significant estimates and assumptions that materially affect the financial statements involve difficult, subjective or complex judgments by management, including the valuation of merchandise inventories and performing goodwill, intangible and long-lived asset impairment analyses. Given the global economic climate, these estimates remain challenging, and actual results could differ materially from our estimates. More information on all of our significant accounting policies can be found in the "Critical Accounting Policies and Estimates" section of the Annual Report entitled "Management's Discussion and Analysis of Financial Condition and Results of Operations." There have been no material changes to our critical accounting policies as compared to the critical accounting policies described in the Annual Report, other than the following:</w:t>
      </w:r>
    </w:p>
    <w:p>
      <w:pPr>
        <w:spacing w:after="0" w:line="13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Effective January 29, 2023, the Company changed the method of accounting for its inventories from the last-in-first-out (“LIFO”) method to the weighted average cost method. The Company believes that this inventory method change is preferable because we believe it improves comparability with industry peers and is a more accurate representation of merchandise inventories, net and cost of goods sold. Due to historical price deflation on the Company’s merchandise purchases, the Company was in a position where the LIFO merchandise inventories value exceeded the cost of its inventory for all periods presented in the consolidated financial statements. In considering the lower of cost or market principle, merchandise inventories valued at LIFO, including necessary valuation adjustments, approximated the cost of such inventories using the weighted average inventory method (see Note 2 to the accompanying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information set forth in Note 2 to our unaudited consolidated financial statements under Part I, Item 1 of this Quarterly Report is incorporated herein by reference.</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56"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in our primary risk exposures or management of market risks from those disclosed in the Annual Report under "Management’s Discussion and Analysis of Financial Condition and Results of Operations – Quantitative and Qualitative Disclosures About Market Risk."</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maintain disclosure controls and procedures (as that term is defined in Rules 13a-15(e) and 15d-15(e) of the Securities Exchange Act of 1934, as amended (the "Exchange Act")) that are designed to ensure that information required to be disclosed in our reports under the Exchange Act, is recorded, processed, summarized and reported within the time periods specified in the SEC’s rules and forms, and that such information is accumulated and communicated to our management, including our Chief Executive Officer ("CEO") and our Chief Financial Officer ("CFO"), as appropriate, to allow timely decisions regarding required disclosures. Any controls and procedures, no matter how well designed and operated, can provide only reasonable assurance of achieving the desired control objectives.</w:t>
      </w:r>
    </w:p>
    <w:p>
      <w:pPr>
        <w:spacing w:after="0" w:line="13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CEO and our CFO, evaluated the effectiveness of the design and operation of our disclosure controls and procedures as of the end of the period covered by this Quarterly Report. Based on such evaluation, our CEO and CFO have concluded that, as of the end of the period covered by this Quarterly Report, the design and operation of the Company's disclosure controls and procedures were effective to accomplish their objectives at the reasonable assurance level.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rely extensively on information systems to manage our business and report operating results. During the 2023 second quarter, we completed the implementation of our new Enterprise Resource Planning ("ERP") system, which resulted in considerable changes to our processes and control environment, including modifications to existing applications and reports. The new ERP replaced our legacy system, in which our business transactions are processed and recorded. The new ERP is intended to facilitate transactional processing and enhance management tools and is expected to improve internal controls over financial reporting.</w:t>
      </w:r>
    </w:p>
    <w:p>
      <w:pPr>
        <w:spacing w:after="0" w:line="1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Other than as described above, no changes in our internal control over financial reporting (as defined in Rules 13a-15(f) and 15d-15(f) under the Exchange Act) occurred during the period covered by this Quarterly Report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75"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We are a defendant or co-defendant in lawsuits, claims and demands brought by various parties relating to matters normally incident to our business. No individual case, or group of cases against us, presenting substantially similar issues of law or fact, is expected to have a material effect on the manner in which we conduct our business or on our consolidated results of operations, financial position or liquidity. The majority of these cases are alleging product, premises, employment and/or commercial liability. Reserves have been established that we believe to be adequate based on our current evaluations and experience in these types of claim situations; however, the ultimate outcome of these cases cannot be determined at this time. We believe, taking into consideration our indemnities, defenses, insurance and reserves, the ultimate resolution of these matters will not have a material impact on our financial position, results of operations or cash flows. In addition, government agencies and self-regulatory organizations have the ability to conduct periodic examinations of and administrative proceedings regarding our business. On May 9, 2023, the U.S. Customs and Border Protection (the "CBP") notified us we owed additional duties relating to certain products that we imported from China that CBP believes are subject to certain anti-dumping and/or countervailing duties. We do not believe that these products are subject to such duties and are contesting CBP’s determination vigorously. While we contest CBP’s determination, we were required to deposit with CBP an amount of duties relating to these products, which are included in prepaid expenses and other current assets on the Company’s consolidated balance sheet while this matter is pending. We do not believe this matter will have a material adverse effect on our financial position, results of operations or cash flows. However, the ultimate outcome of this matter cannot be determined at this time, and we cannot assure you that we will be successful in contesting CBP's determination or that we will not need to accrue or pay additional amounts in the future.</w:t>
      </w:r>
    </w:p>
    <w:p>
      <w:pPr>
        <w:spacing w:after="0" w:line="14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have been no material developments during the fiscal quarter ended October 28, 2023, with respect to any of the matters discussed under the heading "Legal Proceedings" in the Annual Report. We are not currently party to any other legal proceedings that we believe would have a material adverse effect on our financial position, results of operations or cash flows.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You should carefully consider the risk factors discussed in the section of the Annual Report entitled "Risk Factors", which could materially affect our business, financial condition or future results. The risks described in the Annual Report are not the only risks facing the Company. Additional risks and uncertainties not currently known to us or that we currently deem to be immaterial also may materially adversely affect our business, financial condition or future results. There have been no material changes to the risk factors discussed in the section of the Annual Report entitled "Risk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38"/>
        </w:trPr>
        <w:tc>
          <w:tcPr>
            <w:tcW w:w="794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9640" w:type="dxa"/>
            <w:vAlign w:val="bottom"/>
            <w:gridSpan w:val="9"/>
          </w:tcPr>
          <w:p>
            <w:pPr>
              <w:jc w:val="right"/>
              <w:ind w:right="180"/>
              <w:spacing w:after="0"/>
              <w:rPr>
                <w:sz w:val="20"/>
                <w:szCs w:val="20"/>
                <w:color w:val="auto"/>
              </w:rPr>
            </w:pPr>
            <w:r>
              <w:rPr>
                <w:rFonts w:ascii="Times New Roman" w:cs="Times New Roman" w:eastAsia="Times New Roman" w:hAnsi="Times New Roman"/>
                <w:sz w:val="18"/>
                <w:szCs w:val="18"/>
                <w:color w:val="auto"/>
              </w:rPr>
              <w:t>The following table summarizes the repurchases and cancellations of shares of our common stock during the 2023 third quarter:</w:t>
            </w: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4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160" w:type="dxa"/>
            <w:vAlign w:val="bottom"/>
          </w:tcPr>
          <w:p>
            <w:pPr>
              <w:spacing w:after="0"/>
              <w:rPr>
                <w:sz w:val="24"/>
                <w:szCs w:val="24"/>
                <w:color w:val="auto"/>
              </w:rPr>
            </w:pPr>
          </w:p>
        </w:tc>
        <w:tc>
          <w:tcPr>
            <w:tcW w:w="14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Dollar Value of</w:t>
            </w:r>
          </w:p>
        </w:tc>
        <w:tc>
          <w:tcPr>
            <w:tcW w:w="0" w:type="dxa"/>
            <w:vAlign w:val="bottom"/>
          </w:tcPr>
          <w:p>
            <w:pPr>
              <w:spacing w:after="0"/>
              <w:rPr>
                <w:sz w:val="1"/>
                <w:szCs w:val="1"/>
                <w:color w:val="auto"/>
              </w:rPr>
            </w:pPr>
          </w:p>
        </w:tc>
      </w:tr>
      <w:tr>
        <w:trPr>
          <w:trHeight w:val="184"/>
        </w:trPr>
        <w:tc>
          <w:tcPr>
            <w:tcW w:w="4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Total Number of</w:t>
            </w:r>
          </w:p>
        </w:tc>
        <w:tc>
          <w:tcPr>
            <w:tcW w:w="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00" w:type="dxa"/>
            <w:vAlign w:val="bottom"/>
            <w:gridSpan w:val="2"/>
          </w:tcPr>
          <w:p>
            <w:pPr>
              <w:jc w:val="center"/>
              <w:ind w:right="100"/>
              <w:spacing w:after="0" w:line="184" w:lineRule="exact"/>
              <w:rPr>
                <w:sz w:val="20"/>
                <w:szCs w:val="20"/>
                <w:color w:val="auto"/>
              </w:rPr>
            </w:pPr>
            <w:r>
              <w:rPr>
                <w:rFonts w:ascii="Times New Roman" w:cs="Times New Roman" w:eastAsia="Times New Roman" w:hAnsi="Times New Roman"/>
                <w:sz w:val="18"/>
                <w:szCs w:val="18"/>
                <w:b w:val="1"/>
                <w:bCs w:val="1"/>
                <w:color w:val="auto"/>
                <w:w w:val="98"/>
              </w:rPr>
              <w:t>Shares Purchased</w:t>
            </w:r>
          </w:p>
        </w:tc>
        <w:tc>
          <w:tcPr>
            <w:tcW w:w="160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w w:val="98"/>
              </w:rPr>
              <w:t>Shares that May Yet</w:t>
            </w:r>
          </w:p>
        </w:tc>
        <w:tc>
          <w:tcPr>
            <w:tcW w:w="0" w:type="dxa"/>
            <w:vAlign w:val="bottom"/>
          </w:tcPr>
          <w:p>
            <w:pPr>
              <w:spacing w:after="0"/>
              <w:rPr>
                <w:sz w:val="1"/>
                <w:szCs w:val="1"/>
                <w:color w:val="auto"/>
              </w:rPr>
            </w:pPr>
          </w:p>
        </w:tc>
      </w:tr>
      <w:tr>
        <w:trPr>
          <w:trHeight w:val="176"/>
        </w:trPr>
        <w:tc>
          <w:tcPr>
            <w:tcW w:w="4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gridSpan w:val="2"/>
            <w:vMerge w:val="continue"/>
          </w:tcPr>
          <w:p>
            <w:pPr>
              <w:spacing w:after="0"/>
              <w:rPr>
                <w:sz w:val="15"/>
                <w:szCs w:val="15"/>
                <w:color w:val="auto"/>
              </w:rPr>
            </w:pPr>
          </w:p>
        </w:tc>
        <w:tc>
          <w:tcPr>
            <w:tcW w:w="16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Average Price Paid</w:t>
            </w:r>
          </w:p>
        </w:tc>
        <w:tc>
          <w:tcPr>
            <w:tcW w:w="1700" w:type="dxa"/>
            <w:vAlign w:val="bottom"/>
            <w:gridSpan w:val="2"/>
          </w:tcPr>
          <w:p>
            <w:pPr>
              <w:jc w:val="right"/>
              <w:ind w:right="200"/>
              <w:spacing w:after="0" w:line="176" w:lineRule="exact"/>
              <w:rPr>
                <w:sz w:val="20"/>
                <w:szCs w:val="20"/>
                <w:color w:val="auto"/>
              </w:rPr>
            </w:pPr>
            <w:r>
              <w:rPr>
                <w:rFonts w:ascii="Times New Roman" w:cs="Times New Roman" w:eastAsia="Times New Roman" w:hAnsi="Times New Roman"/>
                <w:sz w:val="18"/>
                <w:szCs w:val="18"/>
                <w:b w:val="1"/>
                <w:bCs w:val="1"/>
                <w:color w:val="auto"/>
              </w:rPr>
              <w:t>as Part of Publicly</w:t>
            </w:r>
          </w:p>
        </w:tc>
        <w:tc>
          <w:tcPr>
            <w:tcW w:w="16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be Purchased Under</w:t>
            </w:r>
          </w:p>
        </w:tc>
        <w:tc>
          <w:tcPr>
            <w:tcW w:w="0" w:type="dxa"/>
            <w:vAlign w:val="bottom"/>
          </w:tcPr>
          <w:p>
            <w:pPr>
              <w:spacing w:after="0"/>
              <w:rPr>
                <w:sz w:val="1"/>
                <w:szCs w:val="1"/>
                <w:color w:val="auto"/>
              </w:rPr>
            </w:pPr>
          </w:p>
        </w:tc>
      </w:tr>
      <w:tr>
        <w:trPr>
          <w:trHeight w:val="189"/>
        </w:trPr>
        <w:tc>
          <w:tcPr>
            <w:tcW w:w="4580" w:type="dxa"/>
            <w:vAlign w:val="bottom"/>
            <w:gridSpan w:val="2"/>
            <w:vMerge w:val="restart"/>
          </w:tcPr>
          <w:p>
            <w:pPr>
              <w:ind w:left="198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68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8"/>
                <w:szCs w:val="18"/>
                <w:b w:val="1"/>
                <w:bCs w:val="1"/>
                <w:color w:val="auto"/>
              </w:rPr>
              <w:t>Shares Purchased</w:t>
            </w:r>
          </w:p>
        </w:tc>
        <w:tc>
          <w:tcPr>
            <w:tcW w:w="1680" w:type="dxa"/>
            <w:vAlign w:val="bottom"/>
            <w:gridSpan w:val="3"/>
            <w:vMerge w:val="continue"/>
          </w:tcPr>
          <w:p>
            <w:pPr>
              <w:spacing w:after="0"/>
              <w:rPr>
                <w:sz w:val="16"/>
                <w:szCs w:val="16"/>
                <w:color w:val="auto"/>
              </w:rPr>
            </w:pPr>
          </w:p>
        </w:tc>
        <w:tc>
          <w:tcPr>
            <w:tcW w:w="1700" w:type="dxa"/>
            <w:vAlign w:val="bottom"/>
            <w:gridSpan w:val="2"/>
          </w:tcPr>
          <w:p>
            <w:pPr>
              <w:jc w:val="center"/>
              <w:ind w:right="80"/>
              <w:spacing w:after="0" w:line="189" w:lineRule="exact"/>
              <w:rPr>
                <w:sz w:val="20"/>
                <w:szCs w:val="20"/>
                <w:color w:val="auto"/>
              </w:rPr>
            </w:pPr>
            <w:r>
              <w:rPr>
                <w:rFonts w:ascii="Times New Roman" w:cs="Times New Roman" w:eastAsia="Times New Roman" w:hAnsi="Times New Roman"/>
                <w:sz w:val="18"/>
                <w:szCs w:val="18"/>
                <w:b w:val="1"/>
                <w:bCs w:val="1"/>
                <w:color w:val="auto"/>
                <w:w w:val="99"/>
              </w:rPr>
              <w:t>Announced Plans</w:t>
            </w:r>
          </w:p>
        </w:tc>
        <w:tc>
          <w:tcPr>
            <w:tcW w:w="160" w:type="dxa"/>
            <w:vAlign w:val="bottom"/>
          </w:tcPr>
          <w:p>
            <w:pPr>
              <w:spacing w:after="0"/>
              <w:rPr>
                <w:sz w:val="16"/>
                <w:szCs w:val="16"/>
                <w:color w:val="auto"/>
              </w:rPr>
            </w:pPr>
          </w:p>
        </w:tc>
        <w:tc>
          <w:tcPr>
            <w:tcW w:w="1440" w:type="dxa"/>
            <w:vAlign w:val="bottom"/>
          </w:tcPr>
          <w:p>
            <w:pPr>
              <w:jc w:val="center"/>
              <w:ind w:right="70"/>
              <w:spacing w:after="0" w:line="189" w:lineRule="exact"/>
              <w:rPr>
                <w:sz w:val="20"/>
                <w:szCs w:val="20"/>
                <w:color w:val="auto"/>
              </w:rPr>
            </w:pPr>
            <w:r>
              <w:rPr>
                <w:rFonts w:ascii="Times New Roman" w:cs="Times New Roman" w:eastAsia="Times New Roman" w:hAnsi="Times New Roman"/>
                <w:sz w:val="18"/>
                <w:szCs w:val="18"/>
                <w:b w:val="1"/>
                <w:bCs w:val="1"/>
                <w:color w:val="auto"/>
                <w:w w:val="99"/>
              </w:rPr>
              <w:t>the Plans or</w:t>
            </w:r>
          </w:p>
        </w:tc>
        <w:tc>
          <w:tcPr>
            <w:tcW w:w="0" w:type="dxa"/>
            <w:vAlign w:val="bottom"/>
          </w:tcPr>
          <w:p>
            <w:pPr>
              <w:spacing w:after="0"/>
              <w:rPr>
                <w:sz w:val="1"/>
                <w:szCs w:val="1"/>
                <w:color w:val="auto"/>
              </w:rPr>
            </w:pPr>
          </w:p>
        </w:tc>
      </w:tr>
      <w:tr>
        <w:trPr>
          <w:trHeight w:val="229"/>
        </w:trPr>
        <w:tc>
          <w:tcPr>
            <w:tcW w:w="4580" w:type="dxa"/>
            <w:vAlign w:val="bottom"/>
            <w:gridSpan w:val="2"/>
            <w:vMerge w:val="continue"/>
          </w:tcPr>
          <w:p>
            <w:pPr>
              <w:spacing w:after="0"/>
              <w:rPr>
                <w:sz w:val="19"/>
                <w:szCs w:val="19"/>
                <w:color w:val="auto"/>
              </w:rPr>
            </w:pP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w:t>
            </w:r>
          </w:p>
        </w:tc>
        <w:tc>
          <w:tcPr>
            <w:tcW w:w="200" w:type="dxa"/>
            <w:vAlign w:val="bottom"/>
          </w:tcPr>
          <w:p>
            <w:pPr>
              <w:spacing w:after="0"/>
              <w:rPr>
                <w:sz w:val="19"/>
                <w:szCs w:val="19"/>
                <w:color w:val="auto"/>
              </w:rPr>
            </w:pPr>
          </w:p>
        </w:tc>
        <w:tc>
          <w:tcPr>
            <w:tcW w:w="14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per Share (b)</w:t>
            </w:r>
          </w:p>
        </w:tc>
        <w:tc>
          <w:tcPr>
            <w:tcW w:w="17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or Programs (c)</w:t>
            </w:r>
          </w:p>
        </w:tc>
        <w:tc>
          <w:tcPr>
            <w:tcW w:w="160" w:type="dxa"/>
            <w:vAlign w:val="bottom"/>
          </w:tcPr>
          <w:p>
            <w:pPr>
              <w:spacing w:after="0"/>
              <w:rPr>
                <w:sz w:val="19"/>
                <w:szCs w:val="19"/>
                <w:color w:val="auto"/>
              </w:rPr>
            </w:pPr>
          </w:p>
        </w:tc>
        <w:tc>
          <w:tcPr>
            <w:tcW w:w="14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Programs (c)</w:t>
            </w:r>
          </w:p>
        </w:tc>
        <w:tc>
          <w:tcPr>
            <w:tcW w:w="0" w:type="dxa"/>
            <w:vAlign w:val="bottom"/>
          </w:tcPr>
          <w:p>
            <w:pPr>
              <w:spacing w:after="0"/>
              <w:rPr>
                <w:sz w:val="1"/>
                <w:szCs w:val="1"/>
                <w:color w:val="auto"/>
              </w:rPr>
            </w:pPr>
          </w:p>
        </w:tc>
      </w:tr>
      <w:tr>
        <w:trPr>
          <w:trHeight w:val="223"/>
        </w:trPr>
        <w:tc>
          <w:tcPr>
            <w:tcW w:w="4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30, 2023 to August 26, 2023</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317,428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58.65</w:t>
            </w:r>
          </w:p>
        </w:tc>
        <w:tc>
          <w:tcPr>
            <w:tcW w:w="8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317,428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124,411,651</w:t>
            </w:r>
          </w:p>
        </w:tc>
        <w:tc>
          <w:tcPr>
            <w:tcW w:w="0" w:type="dxa"/>
            <w:vAlign w:val="bottom"/>
          </w:tcPr>
          <w:p>
            <w:pPr>
              <w:spacing w:after="0"/>
              <w:rPr>
                <w:sz w:val="1"/>
                <w:szCs w:val="1"/>
                <w:color w:val="auto"/>
              </w:rPr>
            </w:pPr>
          </w:p>
        </w:tc>
      </w:tr>
      <w:tr>
        <w:trPr>
          <w:trHeight w:val="229"/>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August 27, 2023 to September 30, 2023</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157,203</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45.99</w:t>
            </w:r>
          </w:p>
        </w:tc>
        <w:tc>
          <w:tcPr>
            <w:tcW w:w="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157,203</w:t>
            </w:r>
          </w:p>
        </w:tc>
        <w:tc>
          <w:tcPr>
            <w:tcW w:w="10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117,184,383</w:t>
            </w:r>
          </w:p>
        </w:tc>
        <w:tc>
          <w:tcPr>
            <w:tcW w:w="0" w:type="dxa"/>
            <w:vAlign w:val="bottom"/>
          </w:tcPr>
          <w:p>
            <w:pPr>
              <w:spacing w:after="0"/>
              <w:rPr>
                <w:sz w:val="1"/>
                <w:szCs w:val="1"/>
                <w:color w:val="auto"/>
              </w:rPr>
            </w:pPr>
          </w:p>
        </w:tc>
      </w:tr>
      <w:tr>
        <w:trPr>
          <w:trHeight w:val="229"/>
        </w:trPr>
        <w:tc>
          <w:tcPr>
            <w:tcW w:w="4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1, 2023 to October 28, 2023</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389,000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45.71</w:t>
            </w:r>
          </w:p>
        </w:tc>
        <w:tc>
          <w:tcPr>
            <w:tcW w:w="8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389,000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99,411,688</w:t>
            </w:r>
          </w:p>
        </w:tc>
        <w:tc>
          <w:tcPr>
            <w:tcW w:w="0" w:type="dxa"/>
            <w:vAlign w:val="bottom"/>
          </w:tcPr>
          <w:p>
            <w:pPr>
              <w:spacing w:after="0"/>
              <w:rPr>
                <w:sz w:val="1"/>
                <w:szCs w:val="1"/>
                <w:color w:val="auto"/>
              </w:rPr>
            </w:pPr>
          </w:p>
        </w:tc>
      </w:tr>
      <w:tr>
        <w:trPr>
          <w:trHeight w:val="223"/>
        </w:trPr>
        <w:tc>
          <w:tcPr>
            <w:tcW w:w="45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863,631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50.51</w:t>
            </w:r>
          </w:p>
        </w:tc>
        <w:tc>
          <w:tcPr>
            <w:tcW w:w="8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863,631</w:t>
            </w:r>
          </w:p>
        </w:tc>
        <w:tc>
          <w:tcPr>
            <w:tcW w:w="100" w:type="dxa"/>
            <w:vAlign w:val="bottom"/>
          </w:tcPr>
          <w:p>
            <w:pPr>
              <w:spacing w:after="0"/>
              <w:rPr>
                <w:sz w:val="19"/>
                <w:szCs w:val="19"/>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99,411,688</w:t>
            </w:r>
          </w:p>
        </w:tc>
        <w:tc>
          <w:tcPr>
            <w:tcW w:w="0" w:type="dxa"/>
            <w:vAlign w:val="bottom"/>
          </w:tcPr>
          <w:p>
            <w:pPr>
              <w:spacing w:after="0"/>
              <w:rPr>
                <w:sz w:val="1"/>
                <w:szCs w:val="1"/>
                <w:color w:val="auto"/>
              </w:rPr>
            </w:pPr>
          </w:p>
        </w:tc>
      </w:tr>
      <w:tr>
        <w:trPr>
          <w:trHeight w:val="21"/>
        </w:trPr>
        <w:tc>
          <w:tcPr>
            <w:tcW w:w="4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260" w:right="20" w:hanging="252"/>
        <w:spacing w:after="0" w:line="261" w:lineRule="auto"/>
        <w:tabs>
          <w:tab w:leader="none" w:pos="229"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number of shares repurchased excludes shares which were net-settled, and therefore not issued, to cover employee withholding related to the vesting of certain restricted stock awards and exercise of certain stock option awards.</w:t>
      </w:r>
    </w:p>
    <w:p>
      <w:pPr>
        <w:ind w:left="220" w:hanging="212"/>
        <w:spacing w:after="0"/>
        <w:tabs>
          <w:tab w:leader="none" w:pos="2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the impact of excise taxes.</w:t>
      </w:r>
    </w:p>
    <w:p>
      <w:pPr>
        <w:spacing w:after="0" w:line="4" w:lineRule="exact"/>
        <w:rPr>
          <w:rFonts w:ascii="Times New Roman" w:cs="Times New Roman" w:eastAsia="Times New Roman" w:hAnsi="Times New Roman"/>
          <w:sz w:val="14"/>
          <w:szCs w:val="14"/>
          <w:color w:val="auto"/>
        </w:rPr>
      </w:pPr>
    </w:p>
    <w:p>
      <w:pPr>
        <w:jc w:val="both"/>
        <w:ind w:left="260" w:hanging="252"/>
        <w:spacing w:after="0" w:line="253" w:lineRule="auto"/>
        <w:tabs>
          <w:tab w:leader="none" w:pos="216"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June 2, 2022, the Board of Directors of the Company authorized a share repurchase program (the "2022 Share Repurchase Program") under which the Company may purchase up to $600 million of its outstanding shares during the three-year period ending June 2, 2025. As of October 28, 2023, $99.4 million remained available for share repurchases pursuant to our 2022 Share Repurchase Program (see Note 11 to the accompanying financial statements). The 2022 Share Repurchase Program does not obligate the Company to acquire any particular number of common shares, and the programs may be suspended, extended, modified or discontinued at any time.</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Trading Plans</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During the quarter ended October 28, 2023, no director or officer (as defined in Rule 16a-1(f) under the Exchange Act) of the Company adopted or terminated any Rule 10b5-1 trading arrangements or non-Rule 10b5-1 trading arrangements (in each case, as defined in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9740" w:type="dxa"/>
            <w:vAlign w:val="bottom"/>
            <w:tcBorders>
              <w:bottom w:val="single" w:sz="8" w:color="auto"/>
            </w:tcBorders>
          </w:tcPr>
          <w:p>
            <w:pPr>
              <w:ind w:left="406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183"/>
        </w:trPr>
        <w:tc>
          <w:tcPr>
            <w:tcW w:w="440" w:type="dxa"/>
            <w:vAlign w:val="bottom"/>
            <w:gridSpan w:val="3"/>
            <w:shd w:val="clear" w:color="auto" w:fill="CCEEFF"/>
          </w:tcPr>
          <w:p>
            <w:pPr>
              <w:ind w:left="20"/>
              <w:spacing w:after="0" w:line="182" w:lineRule="exact"/>
              <w:rPr>
                <w:rFonts w:ascii="Times New Roman" w:cs="Times New Roman" w:eastAsia="Times New Roman" w:hAnsi="Times New Roman"/>
                <w:sz w:val="18"/>
                <w:szCs w:val="18"/>
                <w:color w:val="0000FF"/>
              </w:rPr>
            </w:pPr>
            <w:hyperlink r:id="rId49">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w:t>
              </w:r>
            </w:hyperlink>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9740" w:type="dxa"/>
            <w:vAlign w:val="bottom"/>
            <w:shd w:val="clear" w:color="auto" w:fill="CCEEFF"/>
          </w:tcPr>
          <w:p>
            <w:pPr>
              <w:ind w:left="80"/>
              <w:spacing w:after="0" w:line="182" w:lineRule="exact"/>
              <w:rPr>
                <w:sz w:val="20"/>
                <w:szCs w:val="20"/>
                <w:color w:val="auto"/>
              </w:rPr>
            </w:pPr>
            <w:r>
              <w:rPr>
                <w:rFonts w:ascii="Times New Roman" w:cs="Times New Roman" w:eastAsia="Times New Roman" w:hAnsi="Times New Roman"/>
                <w:sz w:val="18"/>
                <w:szCs w:val="18"/>
                <w:color w:val="auto"/>
              </w:rPr>
              <w:t>Amended and Restated Certificate of Incorporation of the Registrant (incorporated by reference to Exhibit 3.1 to the Registrant’s</w:t>
            </w:r>
          </w:p>
        </w:tc>
      </w:tr>
      <w:tr>
        <w:trPr>
          <w:trHeight w:val="209"/>
        </w:trPr>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0000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974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Current Report on Form 8-K filed on October 6, 2020).</w:t>
            </w:r>
          </w:p>
        </w:tc>
      </w:tr>
      <w:tr>
        <w:trPr>
          <w:trHeight w:val="189"/>
        </w:trPr>
        <w:tc>
          <w:tcPr>
            <w:tcW w:w="440" w:type="dxa"/>
            <w:vAlign w:val="bottom"/>
            <w:gridSpan w:val="3"/>
          </w:tcPr>
          <w:p>
            <w:pPr>
              <w:ind w:left="20"/>
              <w:spacing w:after="0" w:line="189" w:lineRule="exact"/>
              <w:rPr>
                <w:rFonts w:ascii="Times New Roman" w:cs="Times New Roman" w:eastAsia="Times New Roman" w:hAnsi="Times New Roman"/>
                <w:sz w:val="18"/>
                <w:szCs w:val="18"/>
                <w:color w:val="0000FF"/>
              </w:rPr>
            </w:pPr>
            <w:hyperlink r:id="rId50">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2</w:t>
              </w:r>
            </w:hyperlink>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740" w:type="dxa"/>
            <w:vAlign w:val="bottom"/>
          </w:tcPr>
          <w:p>
            <w:pPr>
              <w:ind w:left="80"/>
              <w:spacing w:after="0" w:line="189" w:lineRule="exact"/>
              <w:rPr>
                <w:sz w:val="20"/>
                <w:szCs w:val="20"/>
                <w:color w:val="auto"/>
              </w:rPr>
            </w:pPr>
            <w:r>
              <w:rPr>
                <w:rFonts w:ascii="Times New Roman" w:cs="Times New Roman" w:eastAsia="Times New Roman" w:hAnsi="Times New Roman"/>
                <w:sz w:val="18"/>
                <w:szCs w:val="18"/>
                <w:color w:val="auto"/>
              </w:rPr>
              <w:t>Certificate of Change of Registered Agent and/or Registered Office of the Registrant (incorporated by reference to Exhibit 3.1 to the</w:t>
            </w:r>
          </w:p>
        </w:tc>
      </w:tr>
      <w:tr>
        <w:trPr>
          <w:trHeight w:val="209"/>
        </w:trPr>
        <w:tc>
          <w:tcPr>
            <w:tcW w:w="2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Registrant’s Current Report on Form 8-K filed on June 1, 2023).</w:t>
            </w:r>
          </w:p>
        </w:tc>
      </w:tr>
      <w:tr>
        <w:trPr>
          <w:trHeight w:val="189"/>
        </w:trPr>
        <w:tc>
          <w:tcPr>
            <w:tcW w:w="440" w:type="dxa"/>
            <w:vAlign w:val="bottom"/>
            <w:gridSpan w:val="3"/>
            <w:shd w:val="clear" w:color="auto" w:fill="CCEEFF"/>
          </w:tcPr>
          <w:p>
            <w:pPr>
              <w:ind w:left="20"/>
              <w:spacing w:after="0" w:line="189" w:lineRule="exact"/>
              <w:rPr>
                <w:rFonts w:ascii="Times New Roman" w:cs="Times New Roman" w:eastAsia="Times New Roman" w:hAnsi="Times New Roman"/>
                <w:sz w:val="18"/>
                <w:szCs w:val="18"/>
                <w:color w:val="0000FF"/>
              </w:rPr>
            </w:pPr>
            <w:hyperlink r:id="rId51">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3</w:t>
              </w:r>
            </w:hyperlink>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9740" w:type="dxa"/>
            <w:vAlign w:val="bottom"/>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auto"/>
              </w:rPr>
              <w:t>Amended and Restated Bylaws of the Registrant (incorporated by reference to Exhibit 3.2 to the Registrant's Quarterly Report on</w:t>
            </w:r>
          </w:p>
        </w:tc>
      </w:tr>
      <w:tr>
        <w:trPr>
          <w:trHeight w:val="209"/>
        </w:trPr>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0000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974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Form 10-Q filed on December 7, 2022).</w:t>
            </w:r>
          </w:p>
        </w:tc>
      </w:tr>
      <w:tr>
        <w:trPr>
          <w:trHeight w:val="189"/>
        </w:trPr>
        <w:tc>
          <w:tcPr>
            <w:tcW w:w="20" w:type="dxa"/>
            <w:vAlign w:val="bottom"/>
          </w:tcPr>
          <w:p>
            <w:pPr>
              <w:spacing w:after="0"/>
              <w:rPr>
                <w:sz w:val="16"/>
                <w:szCs w:val="16"/>
                <w:color w:val="auto"/>
              </w:rPr>
            </w:pPr>
          </w:p>
        </w:tc>
        <w:tc>
          <w:tcPr>
            <w:tcW w:w="1480" w:type="dxa"/>
            <w:vAlign w:val="bottom"/>
            <w:gridSpan w:val="4"/>
          </w:tcPr>
          <w:p>
            <w:pPr>
              <w:spacing w:after="0" w:line="189" w:lineRule="exact"/>
              <w:rPr>
                <w:rFonts w:ascii="Times New Roman" w:cs="Times New Roman" w:eastAsia="Times New Roman" w:hAnsi="Times New Roman"/>
                <w:sz w:val="18"/>
                <w:szCs w:val="18"/>
                <w:color w:val="0000FF"/>
              </w:rPr>
            </w:pPr>
            <w:hyperlink r:id="rId52">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hyperlink>
          </w:p>
        </w:tc>
        <w:tc>
          <w:tcPr>
            <w:tcW w:w="9740" w:type="dxa"/>
            <w:vAlign w:val="bottom"/>
          </w:tcPr>
          <w:p>
            <w:pPr>
              <w:ind w:left="80"/>
              <w:spacing w:after="0" w:line="189" w:lineRule="exact"/>
              <w:rPr>
                <w:sz w:val="20"/>
                <w:szCs w:val="20"/>
                <w:color w:val="auto"/>
              </w:rPr>
            </w:pPr>
            <w:r>
              <w:rPr>
                <w:rFonts w:ascii="Times New Roman" w:cs="Times New Roman" w:eastAsia="Times New Roman" w:hAnsi="Times New Roman"/>
                <w:sz w:val="18"/>
                <w:szCs w:val="18"/>
                <w:color w:val="auto"/>
              </w:rPr>
              <w:t>Samuel J. Johnson Amended and Restated Employment Agreement, dated October 23, 2023 (incorporated by reference to Exhibit</w:t>
            </w:r>
          </w:p>
        </w:tc>
      </w:tr>
      <w:tr>
        <w:trPr>
          <w:trHeight w:val="209"/>
        </w:trPr>
        <w:tc>
          <w:tcPr>
            <w:tcW w:w="2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10.1 to the Registrant’s Current Report on Form 8-K filed on October 23, 2023).</w:t>
            </w: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0000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31.</w:t>
            </w:r>
            <w:r>
              <w:rPr>
                <w:rFonts w:ascii="Times New Roman" w:cs="Times New Roman" w:eastAsia="Times New Roman" w:hAnsi="Times New Roman"/>
                <w:sz w:val="18"/>
                <w:szCs w:val="18"/>
                <w:u w:val="single" w:color="auto"/>
                <w:color w:val="0000FF"/>
                <w:w w:val="98"/>
              </w:rPr>
              <w:t>1*</w:t>
            </w:r>
          </w:p>
        </w:tc>
        <w:tc>
          <w:tcPr>
            <w:tcW w:w="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9740" w:type="dxa"/>
            <w:vAlign w:val="bottom"/>
            <w:tcBorders>
              <w:bottom w:val="single" w:sz="8" w:color="CCEEFF"/>
            </w:tcBorders>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auto"/>
              </w:rPr>
              <w:t>Certification of Periodic Report by Chief Executive Officer under Section 302 of the Sarbanes-Oxley Act of 2002.</w:t>
            </w:r>
          </w:p>
        </w:tc>
      </w:tr>
      <w:tr>
        <w:trPr>
          <w:trHeight w:val="189"/>
        </w:trPr>
        <w:tc>
          <w:tcPr>
            <w:tcW w:w="520" w:type="dxa"/>
            <w:vAlign w:val="bottom"/>
            <w:gridSpan w:val="4"/>
          </w:tcPr>
          <w:p>
            <w:pPr>
              <w:ind w:left="20"/>
              <w:spacing w:after="0" w:line="189" w:lineRule="exact"/>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p>
        </w:tc>
        <w:tc>
          <w:tcPr>
            <w:tcW w:w="980" w:type="dxa"/>
            <w:vAlign w:val="bottom"/>
          </w:tcPr>
          <w:p>
            <w:pPr>
              <w:spacing w:after="0"/>
              <w:rPr>
                <w:sz w:val="16"/>
                <w:szCs w:val="16"/>
                <w:color w:val="auto"/>
              </w:rPr>
            </w:pPr>
          </w:p>
        </w:tc>
        <w:tc>
          <w:tcPr>
            <w:tcW w:w="9740" w:type="dxa"/>
            <w:vAlign w:val="bottom"/>
          </w:tcPr>
          <w:p>
            <w:pPr>
              <w:ind w:left="80"/>
              <w:spacing w:after="0" w:line="189" w:lineRule="exact"/>
              <w:rPr>
                <w:sz w:val="20"/>
                <w:szCs w:val="20"/>
                <w:color w:val="auto"/>
              </w:rPr>
            </w:pPr>
            <w:r>
              <w:rPr>
                <w:rFonts w:ascii="Times New Roman" w:cs="Times New Roman" w:eastAsia="Times New Roman" w:hAnsi="Times New Roman"/>
                <w:sz w:val="18"/>
                <w:szCs w:val="18"/>
                <w:color w:val="auto"/>
              </w:rPr>
              <w:t>Certification of Periodic Report by Chief Financial Officer under Section 302 of the Sarbanes-Oxley Act of 2002.</w:t>
            </w:r>
          </w:p>
        </w:tc>
      </w:tr>
      <w:tr>
        <w:trPr>
          <w:trHeight w:val="20"/>
        </w:trPr>
        <w:tc>
          <w:tcPr>
            <w:tcW w:w="20" w:type="dxa"/>
            <w:vAlign w:val="bottom"/>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740" w:type="dxa"/>
            <w:vAlign w:val="bottom"/>
          </w:tcPr>
          <w:p>
            <w:pPr>
              <w:spacing w:after="0" w:line="20" w:lineRule="exact"/>
              <w:rPr>
                <w:sz w:val="1"/>
                <w:szCs w:val="1"/>
                <w:color w:val="auto"/>
              </w:rPr>
            </w:pPr>
          </w:p>
        </w:tc>
      </w:tr>
      <w:tr>
        <w:trPr>
          <w:trHeight w:val="189"/>
        </w:trPr>
        <w:tc>
          <w:tcPr>
            <w:tcW w:w="1500" w:type="dxa"/>
            <w:vAlign w:val="bottom"/>
            <w:gridSpan w:val="5"/>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p>
        </w:tc>
        <w:tc>
          <w:tcPr>
            <w:tcW w:w="9740" w:type="dxa"/>
            <w:vAlign w:val="bottom"/>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auto"/>
              </w:rPr>
              <w:t>Certification of Chief Executive Officer Pursuant to 18 U.S.C. Section 1350 as Adopted Pursuant to Section 906 of the Sarbanes-</w:t>
            </w:r>
          </w:p>
        </w:tc>
      </w:tr>
      <w:tr>
        <w:trPr>
          <w:trHeight w:val="209"/>
        </w:trPr>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0000FF"/>
            </w:tcBorders>
            <w:shd w:val="clear" w:color="auto" w:fill="CCEEFF"/>
          </w:tcPr>
          <w:p>
            <w:pPr>
              <w:spacing w:after="0"/>
              <w:rPr>
                <w:sz w:val="18"/>
                <w:szCs w:val="18"/>
                <w:color w:val="auto"/>
              </w:rPr>
            </w:pPr>
          </w:p>
        </w:tc>
        <w:tc>
          <w:tcPr>
            <w:tcW w:w="180" w:type="dxa"/>
            <w:vAlign w:val="bottom"/>
            <w:tcBorders>
              <w:top w:val="single" w:sz="8" w:color="0000FF"/>
            </w:tcBorders>
            <w:shd w:val="clear" w:color="auto" w:fill="CCEEFF"/>
          </w:tcPr>
          <w:p>
            <w:pPr>
              <w:spacing w:after="0"/>
              <w:rPr>
                <w:sz w:val="18"/>
                <w:szCs w:val="18"/>
                <w:color w:val="auto"/>
              </w:rPr>
            </w:pPr>
          </w:p>
        </w:tc>
        <w:tc>
          <w:tcPr>
            <w:tcW w:w="80" w:type="dxa"/>
            <w:vAlign w:val="bottom"/>
            <w:tcBorders>
              <w:top w:val="single" w:sz="8" w:color="0000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974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Oxley Act of 2002.</w:t>
            </w:r>
          </w:p>
        </w:tc>
      </w:tr>
      <w:tr>
        <w:trPr>
          <w:trHeight w:val="189"/>
        </w:trPr>
        <w:tc>
          <w:tcPr>
            <w:tcW w:w="1500" w:type="dxa"/>
            <w:vAlign w:val="bottom"/>
            <w:gridSpan w:val="5"/>
          </w:tcPr>
          <w:p>
            <w:pPr>
              <w:ind w:left="20"/>
              <w:spacing w:after="0" w:line="189" w:lineRule="exact"/>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2**</w:t>
            </w:r>
          </w:p>
        </w:tc>
        <w:tc>
          <w:tcPr>
            <w:tcW w:w="9740" w:type="dxa"/>
            <w:vAlign w:val="bottom"/>
          </w:tcPr>
          <w:p>
            <w:pPr>
              <w:ind w:left="80"/>
              <w:spacing w:after="0" w:line="189" w:lineRule="exact"/>
              <w:rPr>
                <w:sz w:val="20"/>
                <w:szCs w:val="20"/>
                <w:color w:val="auto"/>
              </w:rPr>
            </w:pPr>
            <w:r>
              <w:rPr>
                <w:rFonts w:ascii="Times New Roman" w:cs="Times New Roman" w:eastAsia="Times New Roman" w:hAnsi="Times New Roman"/>
                <w:sz w:val="18"/>
                <w:szCs w:val="18"/>
                <w:color w:val="auto"/>
              </w:rPr>
              <w:t>Certification of Chief Financial Officer Pursuant to 18 U.S.C. Section 1350 as Adopted Pursuant to Section 906 of the Sarbanes-</w:t>
            </w:r>
          </w:p>
        </w:tc>
      </w:tr>
      <w:tr>
        <w:trPr>
          <w:trHeight w:val="209"/>
        </w:trPr>
        <w:tc>
          <w:tcPr>
            <w:tcW w:w="2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980" w:type="dxa"/>
            <w:vAlign w:val="bottom"/>
          </w:tcPr>
          <w:p>
            <w:pPr>
              <w:spacing w:after="0"/>
              <w:rPr>
                <w:sz w:val="18"/>
                <w:szCs w:val="18"/>
                <w:color w:val="auto"/>
              </w:rPr>
            </w:pPr>
          </w:p>
        </w:tc>
        <w:tc>
          <w:tcPr>
            <w:tcW w:w="9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Oxley Act of 2002.</w:t>
            </w:r>
          </w:p>
        </w:tc>
      </w:tr>
      <w:tr>
        <w:trPr>
          <w:trHeight w:val="176"/>
        </w:trPr>
        <w:tc>
          <w:tcPr>
            <w:tcW w:w="20" w:type="dxa"/>
            <w:vAlign w:val="bottom"/>
            <w:shd w:val="clear" w:color="auto" w:fill="CCEEFF"/>
          </w:tcPr>
          <w:p>
            <w:pPr>
              <w:spacing w:after="0"/>
              <w:rPr>
                <w:sz w:val="15"/>
                <w:szCs w:val="15"/>
                <w:color w:val="auto"/>
              </w:rPr>
            </w:pPr>
          </w:p>
        </w:tc>
        <w:tc>
          <w:tcPr>
            <w:tcW w:w="148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101.INS</w:t>
            </w:r>
          </w:p>
        </w:tc>
        <w:tc>
          <w:tcPr>
            <w:tcW w:w="974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 embedded</w:t>
            </w:r>
          </w:p>
        </w:tc>
      </w:tr>
      <w:tr>
        <w:trPr>
          <w:trHeight w:val="243"/>
        </w:trPr>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9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29"/>
        </w:trPr>
        <w:tc>
          <w:tcPr>
            <w:tcW w:w="20" w:type="dxa"/>
            <w:vAlign w:val="bottom"/>
          </w:tcPr>
          <w:p>
            <w:pPr>
              <w:spacing w:after="0"/>
              <w:rPr>
                <w:sz w:val="19"/>
                <w:szCs w:val="19"/>
                <w:color w:val="auto"/>
              </w:rPr>
            </w:pPr>
          </w:p>
        </w:tc>
        <w:tc>
          <w:tcPr>
            <w:tcW w:w="14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101.SCH</w:t>
            </w:r>
          </w:p>
        </w:tc>
        <w:tc>
          <w:tcPr>
            <w:tcW w:w="9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29"/>
        </w:trPr>
        <w:tc>
          <w:tcPr>
            <w:tcW w:w="20" w:type="dxa"/>
            <w:vAlign w:val="bottom"/>
            <w:shd w:val="clear" w:color="auto" w:fill="CCEEFF"/>
          </w:tcPr>
          <w:p>
            <w:pPr>
              <w:spacing w:after="0"/>
              <w:rPr>
                <w:sz w:val="19"/>
                <w:szCs w:val="19"/>
                <w:color w:val="auto"/>
              </w:rPr>
            </w:pPr>
          </w:p>
        </w:tc>
        <w:tc>
          <w:tcPr>
            <w:tcW w:w="14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101.CAL</w:t>
            </w:r>
          </w:p>
        </w:tc>
        <w:tc>
          <w:tcPr>
            <w:tcW w:w="9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XBRL Taxonomy Calculation Linkbase Document</w:t>
            </w:r>
          </w:p>
        </w:tc>
      </w:tr>
      <w:tr>
        <w:trPr>
          <w:trHeight w:val="230"/>
        </w:trPr>
        <w:tc>
          <w:tcPr>
            <w:tcW w:w="20" w:type="dxa"/>
            <w:vAlign w:val="bottom"/>
          </w:tcPr>
          <w:p>
            <w:pPr>
              <w:spacing w:after="0"/>
              <w:rPr>
                <w:sz w:val="19"/>
                <w:szCs w:val="19"/>
                <w:color w:val="auto"/>
              </w:rPr>
            </w:pPr>
          </w:p>
        </w:tc>
        <w:tc>
          <w:tcPr>
            <w:tcW w:w="14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101.DEF</w:t>
            </w:r>
          </w:p>
        </w:tc>
        <w:tc>
          <w:tcPr>
            <w:tcW w:w="9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XBRL Taxonomy Definition Linkbase Document</w:t>
            </w:r>
          </w:p>
        </w:tc>
      </w:tr>
      <w:tr>
        <w:trPr>
          <w:trHeight w:val="229"/>
        </w:trPr>
        <w:tc>
          <w:tcPr>
            <w:tcW w:w="20" w:type="dxa"/>
            <w:vAlign w:val="bottom"/>
            <w:shd w:val="clear" w:color="auto" w:fill="CCEEFF"/>
          </w:tcPr>
          <w:p>
            <w:pPr>
              <w:spacing w:after="0"/>
              <w:rPr>
                <w:sz w:val="19"/>
                <w:szCs w:val="19"/>
                <w:color w:val="auto"/>
              </w:rPr>
            </w:pPr>
          </w:p>
        </w:tc>
        <w:tc>
          <w:tcPr>
            <w:tcW w:w="14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101.LAB</w:t>
            </w:r>
          </w:p>
        </w:tc>
        <w:tc>
          <w:tcPr>
            <w:tcW w:w="9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XBRL Taxonomy Label Linkbase Document</w:t>
            </w:r>
          </w:p>
        </w:tc>
      </w:tr>
      <w:tr>
        <w:trPr>
          <w:trHeight w:val="230"/>
        </w:trPr>
        <w:tc>
          <w:tcPr>
            <w:tcW w:w="20" w:type="dxa"/>
            <w:vAlign w:val="bottom"/>
          </w:tcPr>
          <w:p>
            <w:pPr>
              <w:spacing w:after="0"/>
              <w:rPr>
                <w:sz w:val="19"/>
                <w:szCs w:val="19"/>
                <w:color w:val="auto"/>
              </w:rPr>
            </w:pPr>
          </w:p>
        </w:tc>
        <w:tc>
          <w:tcPr>
            <w:tcW w:w="14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101.PRE</w:t>
            </w:r>
          </w:p>
        </w:tc>
        <w:tc>
          <w:tcPr>
            <w:tcW w:w="9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XBRL Taxonomy Presentation Linkbase Document</w:t>
            </w:r>
          </w:p>
        </w:tc>
      </w:tr>
      <w:tr>
        <w:trPr>
          <w:trHeight w:val="270"/>
        </w:trPr>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9740" w:type="dxa"/>
            <w:vAlign w:val="bottom"/>
            <w:shd w:val="clear" w:color="auto" w:fill="CCEEFF"/>
          </w:tcPr>
          <w:p>
            <w:pPr>
              <w:spacing w:after="0"/>
              <w:rPr>
                <w:sz w:val="23"/>
                <w:szCs w:val="23"/>
                <w:color w:val="auto"/>
              </w:rPr>
            </w:pPr>
          </w:p>
        </w:tc>
      </w:tr>
      <w:tr>
        <w:trPr>
          <w:trHeight w:val="229"/>
        </w:trPr>
        <w:tc>
          <w:tcPr>
            <w:tcW w:w="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30"/>
        </w:trPr>
        <w:tc>
          <w:tcPr>
            <w:tcW w:w="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9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Furnished herewith</w:t>
            </w:r>
          </w:p>
        </w:tc>
      </w:tr>
      <w:tr>
        <w:trPr>
          <w:trHeight w:val="257"/>
        </w:trPr>
        <w:tc>
          <w:tcPr>
            <w:tcW w:w="20" w:type="dxa"/>
            <w:vAlign w:val="bottom"/>
          </w:tcPr>
          <w:p>
            <w:pPr>
              <w:spacing w:after="0"/>
              <w:rPr>
                <w:sz w:val="22"/>
                <w:szCs w:val="22"/>
                <w:color w:val="auto"/>
              </w:rPr>
            </w:pPr>
          </w:p>
        </w:tc>
        <w:tc>
          <w:tcPr>
            <w:tcW w:w="14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p>
        </w:tc>
        <w:tc>
          <w:tcPr>
            <w:tcW w:w="9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Management contract or compensatory plans or arrangements.</w:t>
            </w:r>
          </w:p>
        </w:tc>
      </w:tr>
    </w:tbl>
    <w:p>
      <w:pPr>
        <w:spacing w:after="0" w:line="23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agreements and other documents filed as exhibits to this report are not intended to provide factual information or other disclosure other than with respect to the terms of the agreements or other documents themselves, and you should not rely on them for that purpose. In particular, any representations and warranties made by us in these agreements or other documents were made solely within the specific context of the relevant agreement or document and may not describe the actual state of affairs as of the date they were made or at any other time.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Quarterly Report on Form 10-Q to be signed on November 30, 2023 on its behalf by the undersigned, thereto duly authorized.</w:t>
      </w:r>
    </w:p>
    <w:p>
      <w:pPr>
        <w:spacing w:after="0" w:line="229"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ACADEMY SPORTS AND OUTDOORS, INC.</w:t>
      </w:r>
    </w:p>
    <w:p>
      <w:pPr>
        <w:spacing w:after="0" w:line="200" w:lineRule="exact"/>
        <w:rPr>
          <w:sz w:val="20"/>
          <w:szCs w:val="20"/>
          <w:color w:val="auto"/>
        </w:rPr>
      </w:pPr>
    </w:p>
    <w:p>
      <w:pPr>
        <w:spacing w:after="0" w:line="214" w:lineRule="exact"/>
        <w:rPr>
          <w:sz w:val="20"/>
          <w:szCs w:val="20"/>
          <w:color w:val="auto"/>
        </w:rPr>
      </w:pPr>
    </w:p>
    <w:p>
      <w:pPr>
        <w:ind w:left="6000"/>
        <w:spacing w:after="0"/>
        <w:tabs>
          <w:tab w:leader="none" w:pos="6460" w:val="left"/>
          <w:tab w:leader="none" w:pos="6860" w:val="left"/>
        </w:tabs>
        <w:rPr>
          <w:sz w:val="20"/>
          <w:szCs w:val="20"/>
          <w:color w:val="auto"/>
        </w:rPr>
      </w:pPr>
      <w:r>
        <w:rPr>
          <w:rFonts w:ascii="Times New Roman" w:cs="Times New Roman" w:eastAsia="Times New Roman" w:hAnsi="Times New Roman"/>
          <w:sz w:val="18"/>
          <w:szCs w:val="18"/>
          <w:color w:val="auto"/>
        </w:rPr>
        <w:t>By:</w:t>
        <w:tab/>
        <w:t>/s/</w:t>
      </w:r>
      <w:r>
        <w:rPr>
          <w:sz w:val="20"/>
          <w:szCs w:val="20"/>
          <w:color w:val="auto"/>
        </w:rPr>
        <w:tab/>
      </w:r>
      <w:r>
        <w:rPr>
          <w:rFonts w:ascii="Times New Roman" w:cs="Times New Roman" w:eastAsia="Times New Roman" w:hAnsi="Times New Roman"/>
          <w:sz w:val="17"/>
          <w:szCs w:val="17"/>
          <w:color w:val="auto"/>
        </w:rPr>
        <w:t>EARL CARLTON FORD,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17145</wp:posOffset>
            </wp:positionV>
            <wp:extent cx="303466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4">
                      <a:extLst>
                        <a:ext uri="{28A0092B-C50C-407E-A947-70E740481C1C}"/>
                      </a:extLst>
                    </a:blip>
                    <a:srcRect/>
                    <a:stretch>
                      <a:fillRect/>
                    </a:stretch>
                  </pic:blipFill>
                  <pic:spPr bwMode="auto">
                    <a:xfrm>
                      <a:off x="0" y="0"/>
                      <a:ext cx="3034665" cy="8255"/>
                    </a:xfrm>
                    <a:prstGeom prst="rect">
                      <a:avLst/>
                    </a:prstGeom>
                    <a:noFill/>
                  </pic:spPr>
                </pic:pic>
              </a:graphicData>
            </a:graphic>
          </wp:anchor>
        </w:drawing>
      </w:r>
    </w:p>
    <w:p>
      <w:pPr>
        <w:spacing w:after="0" w:line="16"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Earl Carlton Ford, IV</w:t>
      </w:r>
    </w:p>
    <w:p>
      <w:pPr>
        <w:spacing w:after="0" w:line="27"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3"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(principal financial officer and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220"/>
          </w:cols>
          <w:pgMar w:left="320" w:top="1089" w:right="35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Steven Lawrence, certify that:</w:t>
      </w:r>
    </w:p>
    <w:p>
      <w:pPr>
        <w:spacing w:after="0" w:line="117" w:lineRule="exact"/>
        <w:rPr>
          <w:sz w:val="20"/>
          <w:szCs w:val="20"/>
          <w:color w:val="auto"/>
        </w:rPr>
      </w:pPr>
    </w:p>
    <w:p>
      <w:pPr>
        <w:ind w:left="66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October 28, 2023 (this “Report”) of Academy Sports and Outdoors, Inc. (the “Registrant”);</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STEVEN LAWRENCE</w:t>
            </w:r>
          </w:p>
        </w:tc>
        <w:tc>
          <w:tcPr>
            <w:tcW w:w="6280" w:type="dxa"/>
            <w:vAlign w:val="bottom"/>
          </w:tcPr>
          <w:p>
            <w:pPr>
              <w:ind w:left="4420"/>
              <w:spacing w:after="0"/>
              <w:rPr>
                <w:sz w:val="20"/>
                <w:szCs w:val="20"/>
                <w:color w:val="auto"/>
              </w:rPr>
            </w:pPr>
            <w:r>
              <w:rPr>
                <w:rFonts w:ascii="Times New Roman" w:cs="Times New Roman" w:eastAsia="Times New Roman" w:hAnsi="Times New Roman"/>
                <w:sz w:val="18"/>
                <w:szCs w:val="18"/>
                <w:color w:val="auto"/>
                <w:w w:val="98"/>
              </w:rPr>
              <w:t>Date: November 30, 2023</w:t>
            </w:r>
          </w:p>
        </w:tc>
      </w:tr>
      <w:tr>
        <w:trPr>
          <w:trHeight w:val="218"/>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Steven Lawrence</w:t>
            </w:r>
          </w:p>
        </w:tc>
        <w:tc>
          <w:tcPr>
            <w:tcW w:w="6280" w:type="dxa"/>
            <w:vAlign w:val="bottom"/>
          </w:tcPr>
          <w:p>
            <w:pPr>
              <w:spacing w:after="0"/>
              <w:rPr>
                <w:sz w:val="18"/>
                <w:szCs w:val="18"/>
                <w:color w:val="auto"/>
              </w:rPr>
            </w:pPr>
          </w:p>
        </w:tc>
      </w:tr>
      <w:tr>
        <w:trPr>
          <w:trHeight w:val="23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c>
          <w:tcPr>
            <w:tcW w:w="6280" w:type="dxa"/>
            <w:vAlign w:val="bottom"/>
          </w:tcPr>
          <w:p>
            <w:pPr>
              <w:spacing w:after="0"/>
              <w:rPr>
                <w:sz w:val="19"/>
                <w:szCs w:val="19"/>
                <w:color w:val="auto"/>
              </w:rPr>
            </w:pPr>
          </w:p>
        </w:tc>
      </w:tr>
      <w:tr>
        <w:trPr>
          <w:trHeight w:val="234"/>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6280" w:type="dxa"/>
            <w:vAlign w:val="bottom"/>
          </w:tcPr>
          <w:p>
            <w:pPr>
              <w:spacing w:after="0"/>
              <w:rPr>
                <w:sz w:val="20"/>
                <w:szCs w:val="20"/>
                <w:color w:val="auto"/>
              </w:rPr>
            </w:pPr>
          </w:p>
        </w:tc>
      </w:tr>
    </w:tbl>
    <w:p>
      <w:pPr>
        <w:sectPr>
          <w:pgSz w:w="11900" w:h="16838" w:orient="portrait"/>
          <w:cols w:equalWidth="0" w:num="1">
            <w:col w:w="11240"/>
          </w:cols>
          <w:pgMar w:left="320" w:top="1089"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Earl Carlton Ford, IV, certify that:</w:t>
      </w:r>
    </w:p>
    <w:p>
      <w:pPr>
        <w:spacing w:after="0" w:line="117" w:lineRule="exact"/>
        <w:rPr>
          <w:sz w:val="20"/>
          <w:szCs w:val="20"/>
          <w:color w:val="auto"/>
        </w:rPr>
      </w:pPr>
    </w:p>
    <w:p>
      <w:pPr>
        <w:ind w:left="66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October 28, 2023 (this “Report”) of Academy Sports and Outdoors, Inc. (the “Registrant”);</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EARL CARLTON FORD, IV</w:t>
            </w:r>
          </w:p>
        </w:tc>
        <w:tc>
          <w:tcPr>
            <w:tcW w:w="6280" w:type="dxa"/>
            <w:vAlign w:val="bottom"/>
          </w:tcPr>
          <w:p>
            <w:pPr>
              <w:ind w:left="4420"/>
              <w:spacing w:after="0"/>
              <w:rPr>
                <w:sz w:val="20"/>
                <w:szCs w:val="20"/>
                <w:color w:val="auto"/>
              </w:rPr>
            </w:pPr>
            <w:r>
              <w:rPr>
                <w:rFonts w:ascii="Times New Roman" w:cs="Times New Roman" w:eastAsia="Times New Roman" w:hAnsi="Times New Roman"/>
                <w:sz w:val="18"/>
                <w:szCs w:val="18"/>
                <w:color w:val="auto"/>
                <w:w w:val="98"/>
              </w:rPr>
              <w:t>Date: November 30, 2023</w:t>
            </w:r>
          </w:p>
        </w:tc>
      </w:tr>
      <w:tr>
        <w:trPr>
          <w:trHeight w:val="218"/>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Earl Carlton Ford, IV</w:t>
            </w:r>
          </w:p>
        </w:tc>
        <w:tc>
          <w:tcPr>
            <w:tcW w:w="6280" w:type="dxa"/>
            <w:vAlign w:val="bottom"/>
          </w:tcPr>
          <w:p>
            <w:pPr>
              <w:spacing w:after="0"/>
              <w:rPr>
                <w:sz w:val="18"/>
                <w:szCs w:val="18"/>
                <w:color w:val="auto"/>
              </w:rPr>
            </w:pPr>
          </w:p>
        </w:tc>
      </w:tr>
      <w:tr>
        <w:trPr>
          <w:trHeight w:val="23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c>
          <w:tcPr>
            <w:tcW w:w="6280" w:type="dxa"/>
            <w:vAlign w:val="bottom"/>
          </w:tcPr>
          <w:p>
            <w:pPr>
              <w:spacing w:after="0"/>
              <w:rPr>
                <w:sz w:val="19"/>
                <w:szCs w:val="19"/>
                <w:color w:val="auto"/>
              </w:rPr>
            </w:pPr>
          </w:p>
        </w:tc>
      </w:tr>
      <w:tr>
        <w:trPr>
          <w:trHeight w:val="234"/>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6280" w:type="dxa"/>
            <w:vAlign w:val="bottom"/>
          </w:tcPr>
          <w:p>
            <w:pPr>
              <w:spacing w:after="0"/>
              <w:rPr>
                <w:sz w:val="20"/>
                <w:szCs w:val="20"/>
                <w:color w:val="auto"/>
              </w:rPr>
            </w:pPr>
          </w:p>
        </w:tc>
      </w:tr>
    </w:tbl>
    <w:p>
      <w:pPr>
        <w:sectPr>
          <w:pgSz w:w="11900" w:h="16838" w:orient="portrait"/>
          <w:cols w:equalWidth="0" w:num="1">
            <w:col w:w="11240"/>
          </w:cols>
          <w:pgMar w:left="320" w:top="1089"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Academy Sports and Outdoors, Inc.. (the “Company”) for the quarterly period ended October 28, 2023, as filed with the Securities and Exchange Commission on the date hereof (the “Report”), I, Steven Lawrence, Chief Executive Officer of the Company, certify, pursuant to 18 U.S.C. Section 1350, as adopted pursuant to Section 906 of the Sarbanes-Oxley Act of 2002, that to my knowledge:</w:t>
      </w:r>
    </w:p>
    <w:p>
      <w:pPr>
        <w:spacing w:after="0" w:line="68"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17"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periods presented therein.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STEVEN LAWRENCE</w:t>
            </w:r>
          </w:p>
        </w:tc>
        <w:tc>
          <w:tcPr>
            <w:tcW w:w="334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98"/>
              </w:rPr>
              <w:t>Date: November 30, 2023</w:t>
            </w:r>
          </w:p>
        </w:tc>
      </w:tr>
      <w:tr>
        <w:trPr>
          <w:trHeight w:val="218"/>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Steven Lawrence</w:t>
            </w:r>
          </w:p>
        </w:tc>
        <w:tc>
          <w:tcPr>
            <w:tcW w:w="3340" w:type="dxa"/>
            <w:vAlign w:val="bottom"/>
          </w:tcPr>
          <w:p>
            <w:pPr>
              <w:spacing w:after="0"/>
              <w:rPr>
                <w:sz w:val="18"/>
                <w:szCs w:val="18"/>
                <w:color w:val="auto"/>
              </w:rPr>
            </w:pPr>
          </w:p>
        </w:tc>
      </w:tr>
      <w:tr>
        <w:trPr>
          <w:trHeight w:val="230"/>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c>
          <w:tcPr>
            <w:tcW w:w="3340" w:type="dxa"/>
            <w:vAlign w:val="bottom"/>
          </w:tcPr>
          <w:p>
            <w:pPr>
              <w:spacing w:after="0"/>
              <w:rPr>
                <w:sz w:val="19"/>
                <w:szCs w:val="19"/>
                <w:color w:val="auto"/>
              </w:rPr>
            </w:pPr>
          </w:p>
        </w:tc>
      </w:tr>
      <w:tr>
        <w:trPr>
          <w:trHeight w:val="234"/>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3340" w:type="dxa"/>
            <w:vAlign w:val="bottom"/>
          </w:tcPr>
          <w:p>
            <w:pPr>
              <w:spacing w:after="0"/>
              <w:rPr>
                <w:sz w:val="20"/>
                <w:szCs w:val="20"/>
                <w:color w:val="auto"/>
              </w:rPr>
            </w:pPr>
          </w:p>
        </w:tc>
      </w:tr>
    </w:tbl>
    <w:p>
      <w:pPr>
        <w:sectPr>
          <w:pgSz w:w="11900" w:h="16838" w:orient="portrait"/>
          <w:cols w:equalWidth="0" w:num="1">
            <w:col w:w="11240"/>
          </w:cols>
          <w:pgMar w:left="320" w:top="1089"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Academy Sports and Outdoors, Inc. (the “Company”) for the quarterly period ended October 28, 2023, as filed with the Securities and Exchange Commission on the date hereof (the “Report”), I, Earl Carlton Ford, IV, Executive Vice President and Chief Financial Officer of the Company, certify, pursuant to 18 U.S.C. Section 1350, as adopted pursuant to Section 906 of the Sarbanes-Oxley Act of 2002, that to my knowledge:</w:t>
      </w:r>
    </w:p>
    <w:p>
      <w:pPr>
        <w:spacing w:after="0" w:line="72"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17"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periods presented therein.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EARL CARLTON FORD, IV</w:t>
            </w:r>
          </w:p>
        </w:tc>
        <w:tc>
          <w:tcPr>
            <w:tcW w:w="334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98"/>
              </w:rPr>
              <w:t>Date: November 30, 2023</w:t>
            </w:r>
          </w:p>
        </w:tc>
      </w:tr>
      <w:tr>
        <w:trPr>
          <w:trHeight w:val="218"/>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Earl Carlton Ford, IV</w:t>
            </w:r>
          </w:p>
        </w:tc>
        <w:tc>
          <w:tcPr>
            <w:tcW w:w="3340" w:type="dxa"/>
            <w:vAlign w:val="bottom"/>
          </w:tcPr>
          <w:p>
            <w:pPr>
              <w:spacing w:after="0"/>
              <w:rPr>
                <w:sz w:val="18"/>
                <w:szCs w:val="18"/>
                <w:color w:val="auto"/>
              </w:rPr>
            </w:pPr>
          </w:p>
        </w:tc>
      </w:tr>
      <w:tr>
        <w:trPr>
          <w:trHeight w:val="229"/>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c>
          <w:tcPr>
            <w:tcW w:w="3340" w:type="dxa"/>
            <w:vAlign w:val="bottom"/>
          </w:tcPr>
          <w:p>
            <w:pPr>
              <w:spacing w:after="0"/>
              <w:rPr>
                <w:sz w:val="19"/>
                <w:szCs w:val="19"/>
                <w:color w:val="auto"/>
              </w:rPr>
            </w:pPr>
          </w:p>
        </w:tc>
      </w:tr>
      <w:tr>
        <w:trPr>
          <w:trHeight w:val="234"/>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3340" w:type="dxa"/>
            <w:vAlign w:val="bottom"/>
          </w:tcPr>
          <w:p>
            <w:pPr>
              <w:spacing w:after="0"/>
              <w:rPr>
                <w:sz w:val="20"/>
                <w:szCs w:val="20"/>
                <w:color w:val="auto"/>
              </w:rPr>
            </w:pPr>
          </w:p>
        </w:tc>
      </w:tr>
    </w:tbl>
    <w:p>
      <w:pPr>
        <w:spacing w:after="0" w:line="1" w:lineRule="exact"/>
        <w:rPr>
          <w:sz w:val="20"/>
          <w:szCs w:val="20"/>
          <w:color w:val="auto"/>
        </w:rPr>
      </w:pPr>
    </w:p>
    <w:sectPr>
      <w:pgSz w:w="11900" w:h="16838" w:orient="portrait"/>
      <w:cols w:equalWidth="0" w:num="1">
        <w:col w:w="11240"/>
      </w:cols>
      <w:pgMar w:left="320" w:top="108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1"/>
      <w:numFmt w:val="decimal"/>
      <w:start w:val="90"/>
    </w:lvl>
  </w:abstractNum>
  <w:abstractNum w:abstractNumId="3">
    <w:nsid w:val="519B500D"/>
    <w:multiLevelType w:val="hybridMultilevel"/>
    <w:lvl w:ilvl="0">
      <w:lvlJc w:val="left"/>
      <w:lvlText w:val="(%1)"/>
      <w:numFmt w:val="decimal"/>
      <w:start w:val="1"/>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
      <w:numFmt w:val="bullet"/>
      <w:start w:val="1"/>
    </w:lvl>
  </w:abstractNum>
  <w:abstractNum w:abstractNumId="7">
    <w:nsid w:val="257130A3"/>
    <w:multiLevelType w:val="hybridMultilevel"/>
    <w:lvl w:ilvl="0">
      <w:lvlJc w:val="left"/>
      <w:lvlText w:val="•"/>
      <w:numFmt w:val="bullet"/>
      <w:start w:val="1"/>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1)"/>
      <w:numFmt w:val="lowerLetter"/>
      <w:start w:val="1"/>
    </w:lvl>
  </w:abstractNum>
  <w:abstractNum w:abstractNumId="17">
    <w:nsid w:val="8EDBDAB"/>
    <w:multiLevelType w:val="hybridMultilevel"/>
    <w:lvl w:ilvl="0">
      <w:lvlJc w:val="left"/>
      <w:lvlText w:val="(%1)"/>
      <w:numFmt w:val="lowerLetter"/>
      <w:start w:val="1"/>
    </w:lvl>
  </w:abstractNum>
  <w:abstractNum w:abstractNumId="18">
    <w:nsid w:val="79838CB2"/>
    <w:multiLevelType w:val="hybridMultilevel"/>
    <w:lvl w:ilvl="0">
      <w:lvlJc w:val="left"/>
      <w:lvlText w:val="•"/>
      <w:numFmt w:val="bullet"/>
      <w:start w:val="1"/>
    </w:lvl>
  </w:abstractNum>
  <w:abstractNum w:abstractNumId="19">
    <w:nsid w:val="4353D0CD"/>
    <w:multiLevelType w:val="hybridMultilevel"/>
    <w:lvl w:ilvl="0">
      <w:lvlJc w:val="left"/>
      <w:lvlText w:val="(%1)"/>
      <w:numFmt w:val="decimal"/>
      <w:start w:val="1"/>
    </w:lvl>
  </w:abstractNum>
  <w:abstractNum w:abstractNumId="20">
    <w:nsid w:val="B03E0C6"/>
    <w:multiLevelType w:val="hybridMultilevel"/>
    <w:lvl w:ilvl="0">
      <w:lvlJc w:val="left"/>
      <w:lvlText w:val="(%1)"/>
      <w:numFmt w:val="decimal"/>
      <w:start w:val="1"/>
    </w:lvl>
  </w:abstractNum>
  <w:abstractNum w:abstractNumId="21">
    <w:nsid w:val="189A769B"/>
    <w:multiLevelType w:val="hybridMultilevel"/>
    <w:lvl w:ilvl="0">
      <w:lvlJc w:val="left"/>
      <w:lvlText w:val="(%1)"/>
      <w:numFmt w:val="decimal"/>
      <w:start w:val="1"/>
    </w:lvl>
  </w:abstractNum>
  <w:abstractNum w:abstractNumId="22">
    <w:nsid w:val="54E49EB4"/>
    <w:multiLevelType w:val="hybridMultilevel"/>
    <w:lvl w:ilvl="0">
      <w:lvlJc w:val="left"/>
      <w:lvlText w:val="•"/>
      <w:numFmt w:val="bullet"/>
      <w:start w:val="1"/>
    </w:lvl>
  </w:abstractNum>
  <w:abstractNum w:abstractNumId="23">
    <w:nsid w:val="71F32454"/>
    <w:multiLevelType w:val="hybridMultilevel"/>
    <w:lvl w:ilvl="0">
      <w:lvlJc w:val="left"/>
      <w:lvlText w:val="•"/>
      <w:numFmt w:val="bullet"/>
      <w:start w:val="1"/>
    </w:lvl>
  </w:abstractNum>
  <w:abstractNum w:abstractNumId="24">
    <w:nsid w:val="2CA88611"/>
    <w:multiLevelType w:val="hybridMultilevel"/>
    <w:lvl w:ilvl="0">
      <w:lvlJc w:val="left"/>
      <w:lvlText w:val="•"/>
      <w:numFmt w:val="bullet"/>
      <w:start w:val="1"/>
    </w:lvl>
  </w:abstractNum>
  <w:abstractNum w:abstractNumId="25">
    <w:nsid w:val="836C40E"/>
    <w:multiLevelType w:val="hybridMultilevel"/>
    <w:lvl w:ilvl="0">
      <w:lvlJc w:val="left"/>
      <w:lvlText w:val="•"/>
      <w:numFmt w:val="bullet"/>
      <w:start w:val="1"/>
    </w:lvl>
  </w:abstractNum>
  <w:abstractNum w:abstractNumId="26">
    <w:nsid w:val="2901D82"/>
    <w:multiLevelType w:val="hybridMultilevel"/>
    <w:lvl w:ilvl="0">
      <w:lvlJc w:val="left"/>
      <w:lvlText w:val="(%1)"/>
      <w:numFmt w:val="lowerLetter"/>
      <w:start w:val="1"/>
    </w:lvl>
  </w:abstractNum>
  <w:abstractNum w:abstractNumId="27">
    <w:nsid w:val="3A95F874"/>
    <w:multiLevelType w:val="hybridMultilevel"/>
    <w:lvl w:ilvl="0">
      <w:lvlJc w:val="left"/>
      <w:lvlText w:val="%1."/>
      <w:numFmt w:val="decimal"/>
      <w:start w:val="1"/>
    </w:lvl>
    <w:lvl w:ilvl="1">
      <w:lvlJc w:val="left"/>
      <w:lvlText w:val="%2."/>
      <w:numFmt w:val="lowerLetter"/>
      <w:start w:val="1"/>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53" Type="http://schemas.openxmlformats.org/officeDocument/2006/relationships/image" Target="media/image42.png"/><Relationship Id="rId54" Type="http://schemas.openxmlformats.org/officeDocument/2006/relationships/image" Target="media/image43.png"/><Relationship Id="rId49" Type="http://schemas.openxmlformats.org/officeDocument/2006/relationships/hyperlink" Target="http://www.sec.gov/Archives/edgar/data/1817358/000119312520264744/d910645dex31.htm" TargetMode="External"/><Relationship Id="rId50" Type="http://schemas.openxmlformats.org/officeDocument/2006/relationships/hyperlink" Target="http://www.sec.gov/Archives/edgar/data/1817358/000181735823000123/ex31toformcertofchangeofre.htm" TargetMode="External"/><Relationship Id="rId51" Type="http://schemas.openxmlformats.org/officeDocument/2006/relationships/hyperlink" Target="http://www.sec.gov/Archives/edgar/data/1817358/000181735822000182/exhibit32-amendedandrestat.htm" TargetMode="External"/><Relationship Id="rId52" Type="http://schemas.openxmlformats.org/officeDocument/2006/relationships/hyperlink" Target="http://www.sec.gov/Archives/edgar/data/1817358/000181735823000215/exhibit101toformjohnsonemp.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2023-11-30T15:31:07Z</dcterms:created>
  <dcterms:modified xsi:type="dcterms:W3CDTF">2023-11-30T15:31:07Z</dcterms:modified>
</cp:coreProperties>
</file>