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780" w:right="1180" w:hanging="2587"/>
        <w:spacing w:after="0" w:line="280" w:lineRule="auto"/>
        <w:tabs>
          <w:tab w:leader="none" w:pos="13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April 30, 2022</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9940" w:firstLine="2"/>
        <w:spacing w:after="0" w:line="214"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8"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31, 2022, Academy Sports and Outdoors, Inc. had 85,096,754 shares of common stock, par value $0.01 per share, outstanding.</w:t>
      </w:r>
    </w:p>
    <w:p>
      <w:pPr>
        <w:sectPr>
          <w:pgSz w:w="11900" w:h="16838" w:orient="portrait"/>
          <w:cols w:equalWidth="0" w:num="1">
            <w:col w:w="10800"/>
          </w:cols>
          <w:pgMar w:left="540" w:top="581" w:right="55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581"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gridSpan w:val="4"/>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9"/>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4"/>
          </w:tcPr>
          <w:p>
            <w:pPr>
              <w:spacing w:after="0"/>
              <w:rPr>
                <w:sz w:val="15"/>
                <w:szCs w:val="15"/>
                <w:color w:val="auto"/>
              </w:rPr>
            </w:pPr>
          </w:p>
        </w:tc>
        <w:tc>
          <w:tcPr>
            <w:tcW w:w="520" w:type="dxa"/>
            <w:vAlign w:val="bottom"/>
            <w:gridSpan w:val="4"/>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260" w:type="dxa"/>
            <w:vAlign w:val="bottom"/>
            <w:gridSpan w:val="8"/>
            <w:shd w:val="clear" w:color="auto" w:fill="CCEEFF"/>
          </w:tcPr>
          <w:p>
            <w:pPr>
              <w:spacing w:after="0"/>
              <w:rPr>
                <w:sz w:val="16"/>
                <w:szCs w:val="16"/>
                <w:color w:val="auto"/>
              </w:rPr>
            </w:pPr>
          </w:p>
        </w:tc>
        <w:tc>
          <w:tcPr>
            <w:tcW w:w="8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8"/>
          </w:tcPr>
          <w:p>
            <w:pPr>
              <w:spacing w:after="0"/>
              <w:rPr>
                <w:sz w:val="16"/>
                <w:szCs w:val="16"/>
                <w:color w:val="auto"/>
              </w:rPr>
            </w:pPr>
          </w:p>
        </w:tc>
        <w:tc>
          <w:tcPr>
            <w:tcW w:w="8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620" w:type="dxa"/>
            <w:vAlign w:val="bottom"/>
            <w:gridSpan w:val="1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436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5260" w:type="dxa"/>
            <w:vAlign w:val="bottom"/>
            <w:gridSpan w:val="3"/>
          </w:tcPr>
          <w:p>
            <w:pPr>
              <w:spacing w:after="0"/>
              <w:rPr>
                <w:sz w:val="16"/>
                <w:szCs w:val="16"/>
                <w:color w:val="auto"/>
              </w:rPr>
            </w:pPr>
          </w:p>
        </w:tc>
        <w:tc>
          <w:tcPr>
            <w:tcW w:w="8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April 30, 2022</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January 29, 2022</w:t>
            </w:r>
          </w:p>
        </w:tc>
        <w:tc>
          <w:tcPr>
            <w:tcW w:w="240" w:type="dxa"/>
            <w:vAlign w:val="bottom"/>
          </w:tcPr>
          <w:p>
            <w:pPr>
              <w:spacing w:after="0"/>
              <w:rPr>
                <w:sz w:val="20"/>
                <w:szCs w:val="20"/>
                <w:color w:val="auto"/>
              </w:rPr>
            </w:pP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May 1, 2021</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472,395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485,998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593,288</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$808, $732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12,666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19,718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10,831</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$1,450, respectively</w:t>
            </w: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1,323,886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1,171,808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1,080,804</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39,578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30,369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Assets held for sale</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1,850,288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1,715,747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1,717,055</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339,529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366,005</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1,085,805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1,079,546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1,127,645</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577,246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577,215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577,000</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4,368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7,685</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4,719,156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4,584,940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4,657,310</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825,456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737,826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864,966</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274,399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287,592</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85,719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82,676</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1,188,574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1,127,110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1,239,234</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683,325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781,035</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1,081,871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1,077,667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1,132,196</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224,366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217,212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164,038</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26,932</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3,190,648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3,117,994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3,343,435</w:t>
            </w:r>
          </w:p>
        </w:tc>
        <w:tc>
          <w:tcPr>
            <w:tcW w:w="0" w:type="dxa"/>
            <w:vAlign w:val="bottom"/>
          </w:tcPr>
          <w:p>
            <w:pPr>
              <w:spacing w:after="0"/>
              <w:rPr>
                <w:sz w:val="1"/>
                <w:szCs w:val="1"/>
                <w:color w:val="auto"/>
              </w:rPr>
            </w:pPr>
          </w:p>
        </w:tc>
      </w:tr>
      <w:tr>
        <w:trPr>
          <w:trHeight w:val="76"/>
        </w:trPr>
        <w:tc>
          <w:tcPr>
            <w:tcW w:w="6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12)</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200" w:type="dxa"/>
            <w:vAlign w:val="bottom"/>
          </w:tcPr>
          <w:p>
            <w:pPr>
              <w:spacing w:after="0"/>
              <w:rPr>
                <w:sz w:val="14"/>
                <w:szCs w:val="14"/>
                <w:color w:val="auto"/>
              </w:rPr>
            </w:pPr>
          </w:p>
        </w:tc>
        <w:tc>
          <w:tcPr>
            <w:tcW w:w="1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2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Common stock, $0.01 par value, authorized 300,000,000 shares; 85,071,234;</w:t>
            </w: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87,079,394 and 93,887,109 issued and outstanding as of April 30, 2022, January 29,</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2022 and May 1, 2021, respectively.</w:t>
            </w: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199,559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150,370</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1,328,099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1,268,060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1,164,964</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1,528,508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1,466,946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1,313,875</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4,719,156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4,584,940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4,657,310</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4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1,467,730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1,580,333</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946,306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1,016,632</w:t>
            </w:r>
          </w:p>
        </w:tc>
      </w:tr>
      <w:tr>
        <w:trPr>
          <w:trHeight w:val="223"/>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521,424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563,701</w:t>
            </w:r>
          </w:p>
        </w:tc>
      </w:tr>
      <w:tr>
        <w:trPr>
          <w:trHeight w:val="270"/>
        </w:trPr>
        <w:tc>
          <w:tcPr>
            <w:tcW w:w="6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315,931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324,627</w:t>
            </w:r>
          </w:p>
        </w:tc>
      </w:tr>
      <w:tr>
        <w:trPr>
          <w:trHeight w:val="223"/>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205,493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239,074</w:t>
            </w:r>
          </w:p>
        </w:tc>
      </w:tr>
      <w:tr>
        <w:trPr>
          <w:trHeight w:val="270"/>
        </w:trPr>
        <w:tc>
          <w:tcPr>
            <w:tcW w:w="6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224,922</w:t>
            </w:r>
          </w:p>
        </w:tc>
      </w:tr>
      <w:tr>
        <w:trPr>
          <w:trHeight w:val="270"/>
        </w:trPr>
        <w:tc>
          <w:tcPr>
            <w:tcW w:w="6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47,126</w:t>
            </w:r>
          </w:p>
        </w:tc>
      </w:tr>
      <w:tr>
        <w:trPr>
          <w:trHeight w:val="248"/>
        </w:trPr>
        <w:tc>
          <w:tcPr>
            <w:tcW w:w="6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92,088</w:t>
            </w:r>
          </w:p>
        </w:tc>
      </w:tr>
      <w:tr>
        <w:trPr>
          <w:trHeight w:val="238"/>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96,472</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251" w:right="6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4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10"/>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interest expense on interest rate swaps</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expense</w:t>
            </w:r>
          </w:p>
        </w:tc>
        <w:tc>
          <w:tcPr>
            <w:tcW w:w="22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089" w:right="6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29,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198,016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$ 1,268,060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1,466,946</w:t>
            </w:r>
          </w:p>
        </w:tc>
        <w:tc>
          <w:tcPr>
            <w:tcW w:w="0" w:type="dxa"/>
            <w:vAlign w:val="bottom"/>
          </w:tcPr>
          <w:p>
            <w:pPr>
              <w:spacing w:after="0"/>
              <w:rPr>
                <w:sz w:val="1"/>
                <w:szCs w:val="1"/>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(2,272)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(88,501)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3,292</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(6,536)</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85,071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199,559</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$ 1,328,099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1,528,508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196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0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4"/>
                <w:szCs w:val="14"/>
                <w:color w:val="auto"/>
              </w:rPr>
            </w:pPr>
          </w:p>
        </w:tc>
        <w:tc>
          <w:tcPr>
            <w:tcW w:w="9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30,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987,168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1,111,983</w:t>
            </w:r>
          </w:p>
        </w:tc>
        <w:tc>
          <w:tcPr>
            <w:tcW w:w="0" w:type="dxa"/>
            <w:vAlign w:val="bottom"/>
          </w:tcPr>
          <w:p>
            <w:pPr>
              <w:spacing w:after="0"/>
              <w:rPr>
                <w:sz w:val="1"/>
                <w:szCs w:val="1"/>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 Payments adjustment for forfeitures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0" w:type="dxa"/>
            <w:vAlign w:val="bottom"/>
          </w:tcPr>
          <w:p>
            <w:pPr>
              <w:spacing w:after="0"/>
              <w:rPr>
                <w:sz w:val="1"/>
                <w:szCs w:val="1"/>
                <w:color w:val="auto"/>
              </w:rPr>
            </w:pPr>
          </w:p>
        </w:tc>
      </w:tr>
      <w:tr>
        <w:trPr>
          <w:trHeight w:val="175"/>
        </w:trPr>
        <w:tc>
          <w:tcPr>
            <w:tcW w:w="4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Recognized interest expense on interest rate swaps (net of tax</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$270)</w:t>
            </w: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1, 2021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150,370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1,164,964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1,313,875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177,796</w:t>
            </w: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w:t>
            </w:r>
          </w:p>
        </w:tc>
      </w:tr>
      <w:tr>
        <w:trPr>
          <w:trHeight w:val="229"/>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30"/>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terminated interest rate swaps, deferred loan and other costs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29"/>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25,064</w:t>
            </w:r>
          </w:p>
        </w:tc>
      </w:tr>
      <w:tr>
        <w:trPr>
          <w:trHeight w:val="230"/>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r>
      <w:tr>
        <w:trPr>
          <w:trHeight w:val="229"/>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(90,769)</w:t>
            </w:r>
          </w:p>
        </w:tc>
      </w:tr>
      <w:tr>
        <w:trPr>
          <w:trHeight w:val="230"/>
        </w:trPr>
        <w:tc>
          <w:tcPr>
            <w:tcW w:w="7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29"/>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7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85,640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77,326</w:t>
            </w:r>
          </w:p>
        </w:tc>
      </w:tr>
      <w:tr>
        <w:trPr>
          <w:trHeight w:val="230"/>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(29,039)</w:t>
            </w:r>
          </w:p>
        </w:tc>
      </w:tr>
      <w:tr>
        <w:trPr>
          <w:trHeight w:val="229"/>
        </w:trPr>
        <w:tc>
          <w:tcPr>
            <w:tcW w:w="7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21,357</w:t>
            </w:r>
          </w:p>
        </w:tc>
      </w:tr>
      <w:tr>
        <w:trPr>
          <w:trHeight w:val="230"/>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23"/>
        </w:trPr>
        <w:tc>
          <w:tcPr>
            <w:tcW w:w="744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97,097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219,228</w:t>
            </w:r>
          </w:p>
        </w:tc>
      </w:tr>
      <w:tr>
        <w:trPr>
          <w:trHeight w:val="196"/>
        </w:trPr>
        <w:tc>
          <w:tcPr>
            <w:tcW w:w="7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230"/>
        </w:trPr>
        <w:tc>
          <w:tcPr>
            <w:tcW w:w="7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196"/>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 Payments</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29"/>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17,257</w:t>
            </w: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(88,501)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(93,388)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w:t>
            </w:r>
          </w:p>
        </w:tc>
      </w:tr>
      <w:tr>
        <w:trPr>
          <w:trHeight w:val="196"/>
        </w:trPr>
        <w:tc>
          <w:tcPr>
            <w:tcW w:w="7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215,684</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485,998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377,604</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472,395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593,288</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3,909</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issuance of common shares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capital expenditures in accounts payable and accrued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38"/>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30,019</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63" w:right="459" w:bottom="1440" w:gutter="0" w:footer="0" w:header="0"/>
        </w:sectPr>
      </w:pPr>
    </w:p>
    <w:bookmarkStart w:id="7" w:name="page8"/>
    <w:bookmarkEnd w:id="7"/>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On October 6, 2020, ASO, Inc. completed an initial public offering and as of September 17, 2021, KKR no longer held an ownership interest in the Company.</w:t>
      </w:r>
    </w:p>
    <w:p>
      <w:pPr>
        <w:spacing w:after="0" w:line="13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April 30, 2022, we operated 260 "Academy Sports + Outdoors" retail locations in 16 states and three distribution centers located in Katy, Texas, Twiggs County, Georgia and Cookeville, Tennessee.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approximately $20.69 per share. The Company did not receive any proceeds from the Secondary Offering.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29, 2022, as filed with the Securities and Exchange Commission on March 29, 2022 (the "Annual Report"). The information furnished herein reflects all normal recurring adjustments which are, in the opinion of management, necessary for a fair presentation of the results for the interim periods presented. The results of operations for the thirteen weeks ended April 30, 2022 are not necessarily indicative of the results that will be realized for the fiscal year ending January 28, 2023 or any other period. The balance sheet as of January 29, 2022 has been derived from our audited financial statements as of that date. For further information, refer to our audited financial statements and notes thereto included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May 1, 2021 for comparability purposes. This reclassification is in divisional presentation only and did not impact the overall net sales balances previously disclosed.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Under the 2021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under the 2021 Share Repurchase Program will be determined by the Company in its discretion and will depend on a variety of factors, including legal requirements, price and economic and market conditions. The 2021 Share Repurchase Program does not obligate the Company to acquire any particular number of common shares, and the program may be suspended, extended, modified or discontinued at any time.</w:t>
      </w:r>
    </w:p>
    <w:p>
      <w:pPr>
        <w:spacing w:after="0" w:line="8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color w:val="auto"/>
        </w:rPr>
        <w:t>During the thirteen weeks ended April 30, 2022, we repurchased and concurrently retired 2,272,349 shares of ASO, Inc. common stock for an aggregate amount of $88.5 million pursuant to the 2021 Share Repurchase Program. 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April 30, 2022, approximately $100.2 million remained available for share repurchases pursuant to our 2021 Share Repurchase Program (see Note 13).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adoption of this guidance is effective for all entities as of March 12, 2020 through December 31, 2022. The Company is currently evaluating the expedients and exceptions provided by this amendment as it relates to our transition from LIBOR to another reference rate to determine the impact.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8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09"/>
        </w:trPr>
        <w:tc>
          <w:tcPr>
            <w:tcW w:w="71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457,854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485,661</w:t>
            </w:r>
          </w:p>
        </w:tc>
      </w:tr>
      <w:tr>
        <w:trPr>
          <w:trHeight w:val="22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402,424</w:t>
            </w:r>
          </w:p>
        </w:tc>
      </w:tr>
      <w:tr>
        <w:trPr>
          <w:trHeight w:val="229"/>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342,368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375,757</w:t>
            </w:r>
          </w:p>
        </w:tc>
      </w:tr>
      <w:tr>
        <w:trPr>
          <w:trHeight w:val="230"/>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303,132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310,447</w:t>
            </w:r>
          </w:p>
        </w:tc>
      </w:tr>
      <w:tr>
        <w:trPr>
          <w:trHeight w:val="223"/>
        </w:trPr>
        <w:tc>
          <w:tcPr>
            <w:tcW w:w="712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1,457,403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1,574,289</w:t>
            </w:r>
          </w:p>
        </w:tc>
      </w:tr>
      <w:tr>
        <w:trPr>
          <w:trHeight w:val="230"/>
        </w:trPr>
        <w:tc>
          <w:tcPr>
            <w:tcW w:w="7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23"/>
        </w:trPr>
        <w:tc>
          <w:tcPr>
            <w:tcW w:w="7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1,467,730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1,580,333</w:t>
            </w:r>
          </w:p>
        </w:tc>
      </w:tr>
      <w:tr>
        <w:trPr>
          <w:trHeight w:val="21"/>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420" w:hanging="168"/>
        <w:spacing w:after="0" w:line="239" w:lineRule="auto"/>
        <w:tabs>
          <w:tab w:leader="none" w:pos="464"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weeks ended May 1, 2021 for comparability purposes. This reclassification is in divisional presentation only and did not impact the overall net sales balances previously disclosed (see Note 2).</w:t>
      </w:r>
    </w:p>
    <w:p>
      <w:pPr>
        <w:ind w:left="420" w:hanging="168"/>
        <w:spacing w:after="0" w:line="214" w:lineRule="auto"/>
        <w:tabs>
          <w:tab w:leader="none" w:pos="4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E-commerce sales consisted of 9.5% and 7.4% of merchandise sales for the thirteen weeks ended April 30, 2022 and May 1, 2021, respectively.</w:t>
      </w:r>
    </w:p>
    <w:p>
      <w:pPr>
        <w:spacing w:after="0" w:line="2" w:lineRule="exact"/>
        <w:rPr>
          <w:rFonts w:ascii="Times New Roman" w:cs="Times New Roman" w:eastAsia="Times New Roman" w:hAnsi="Times New Roman"/>
          <w:sz w:val="21"/>
          <w:szCs w:val="21"/>
          <w:color w:val="auto"/>
          <w:vertAlign w:val="superscript"/>
        </w:rPr>
      </w:pPr>
    </w:p>
    <w:p>
      <w:pPr>
        <w:ind w:left="420" w:hanging="168"/>
        <w:spacing w:after="0" w:line="219" w:lineRule="auto"/>
        <w:tabs>
          <w:tab w:leader="none" w:pos="456"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4"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6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4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74,253</w:t>
            </w:r>
          </w:p>
        </w:tc>
      </w:tr>
      <w:tr>
        <w:trPr>
          <w:trHeight w:val="223"/>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w:t>
            </w:r>
          </w:p>
        </w:tc>
      </w:tr>
      <w:tr>
        <w:trPr>
          <w:trHeight w:val="230"/>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w:t>
            </w:r>
          </w:p>
        </w:tc>
      </w:tr>
      <w:tr>
        <w:trPr>
          <w:trHeight w:val="230"/>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60" w:type="dxa"/>
            <w:vAlign w:val="bottom"/>
          </w:tcPr>
          <w:p>
            <w:pPr>
              <w:spacing w:after="0"/>
              <w:rPr>
                <w:sz w:val="22"/>
                <w:szCs w:val="22"/>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November 2025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683,325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781,035</w:t>
            </w:r>
          </w:p>
        </w:tc>
      </w:tr>
      <w:tr>
        <w:trPr>
          <w:trHeight w:val="20"/>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Deferred loan costs are related to the Term Loan and Notes.</w:t>
      </w:r>
    </w:p>
    <w:p>
      <w:pPr>
        <w:spacing w:after="0" w:line="117"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As of April 30, 2022, January 29, 2022 and May 1, 2021, the balance in deferred loan costs related to the ABL Facility (as defined below) was approximately $4.0 million, $4.3 million and $5.2 million, respectively, and was included in other noncurrent assets on our consolidated balance sheets. Total amortization of deferred loan costs was $0.7 million and $0.7 million for the thirteen weeks ended April 30, 2022 and May 1, 2021, respectively. Total expenses related to accretion of original issuance discount were $0.1 million and $0.1 million for the thirteen weeks ended April 30, 2022 and May 1, 2021, respectively. The expenses related to amortization of deferred loan costs and accretion of original issuance discount are included in interest expense, net on the consolidated statements of income.</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Term Loan and the Amendment collectively as the "Term Loan".</w:t>
      </w:r>
    </w:p>
    <w:p>
      <w:pPr>
        <w:spacing w:after="0" w:line="171"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were required through September 30, 2027, with the balance due in full on the maturity date of November 6, 2027.</w:t>
      </w:r>
    </w:p>
    <w:p>
      <w:pPr>
        <w:spacing w:after="0" w:line="133"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 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Quarterly principal payments of $750.0 thousand are required through September 30, 2027 and borrowings under the Amended Credit Agreement will continue to mature on November 6, 2027. All other material terms and provisions of the 2020 Term Loan remain substantially the same as the terms and provisions in place immediately prior to the effectiveness of the Amendment. As of April 30, 2022, the weighted average interest rate was 4.50%, with interest payable monthly. The terms and conditions of the Amendment also require that the outstanding balance under the Loan is prepaid under certain circumstances. As of April 30, 2022, no prepayment was due under the terms and conditions of the Term Loan.</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amended the previously existing secured asset-based revolving credit facility by entering into an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"ABL Facility").</w:t>
      </w:r>
    </w:p>
    <w:p>
      <w:pPr>
        <w:spacing w:after="0" w:line="12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April 30, 2022, we had outstanding letters of credit of approximately $21.4 million, of which $17.8 million were issued under the ABL Facility, and we had no borrowings outstanding under the ABL Facility, leaving the available borrowing capacity under the ABL Facility of $982.2 million.</w:t>
      </w:r>
    </w:p>
    <w:p>
      <w:pPr>
        <w:spacing w:after="0" w:line="12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April 30, 2022, no future prepayments of outstanding loans have been triggered under the terms and conditions of the ABL Facility.</w:t>
      </w:r>
    </w:p>
    <w:p>
      <w:pPr>
        <w:spacing w:after="0" w:line="125" w:lineRule="exact"/>
        <w:rPr>
          <w:sz w:val="20"/>
          <w:szCs w:val="20"/>
          <w:color w:val="auto"/>
        </w:rPr>
      </w:pPr>
    </w:p>
    <w:p>
      <w:pPr>
        <w:jc w:val="both"/>
        <w:ind w:left="2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April 30,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used interest rate swap agreements to hedge market risk relating to possible adverse changes in interest rates. All interest rate swaps had been designated as cash flow hedges of variable rate interest payments on borrowings under the Term Loan. As of April 30, 2022, we do not have any derivative financial instruments outstanding.</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For derivatives which were designated as hedging instruments, amounts included in Accumulated Other Comprehensive Income (Loss) ("AOCI") were reclassified to interest expense in the same period during which the hedged transaction affected earnings, which was as interest expense was recorded on the underlying Term Loan. The impact of gains and losses related to interest rate swaps that were deferred into AOCI and subsequently reclassified into expense are as follows (amounts in thousands):</w:t>
      </w:r>
    </w:p>
    <w:p>
      <w:pPr>
        <w:spacing w:after="0" w:line="243"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beginning</w:t>
            </w:r>
          </w:p>
        </w:tc>
        <w:tc>
          <w:tcPr>
            <w:tcW w:w="146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175"/>
        </w:trPr>
        <w:tc>
          <w:tcPr>
            <w:tcW w:w="69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 to interest expense (net of tax impact of $270 for the thirteen weeks ended May 1,</w:t>
            </w:r>
          </w:p>
        </w:tc>
        <w:tc>
          <w:tcPr>
            <w:tcW w:w="1460" w:type="dxa"/>
            <w:vAlign w:val="bottom"/>
          </w:tcPr>
          <w:p>
            <w:pPr>
              <w:spacing w:after="0"/>
              <w:rPr>
                <w:sz w:val="15"/>
                <w:szCs w:val="15"/>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46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ending</w:t>
            </w:r>
          </w:p>
        </w:tc>
        <w:tc>
          <w:tcPr>
            <w:tcW w:w="146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ectPr>
          <w:pgSz w:w="11900" w:h="16838" w:orient="portrait"/>
          <w:cols w:equalWidth="0" w:num="1">
            <w:col w:w="11160"/>
          </w:cols>
          <w:pgMar w:left="40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type w:val="continuous"/>
        </w:sectPr>
      </w:pPr>
    </w:p>
    <w:bookmarkStart w:id="12" w:name="page13"/>
    <w:bookmarkEnd w:id="12"/>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right="2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April 30, 2022, January 29, 2022 and May 1, 2021, we held $357.1 million, $401.0 million and $476.0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April 30, 2022, January 29, 2022, and May 1, 2021 the estimated fair value of the Term Loan and Notes was $0.7 billion, $0.7 billion, and $0.8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70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4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60" w:type="dxa"/>
            <w:vAlign w:val="bottom"/>
          </w:tcPr>
          <w:p>
            <w:pPr>
              <w:spacing w:after="0"/>
              <w:rPr>
                <w:sz w:val="22"/>
                <w:szCs w:val="22"/>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458,752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456,918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443,513</w:t>
            </w: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607,752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565,873</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339,265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322,326</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1,429,881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1,359,336</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(1,090,352)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(993,331)</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339,529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366,005</w:t>
            </w: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$25.6 million and $25.3 million in the thirteen weeks ended April 30, 2022 and May 1, 2021, respectively, and is included in selling, general and administrative expenses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2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4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260" w:type="dxa"/>
            <w:vAlign w:val="bottom"/>
          </w:tcPr>
          <w:p>
            <w:pPr>
              <w:spacing w:after="0"/>
              <w:rPr>
                <w:sz w:val="22"/>
                <w:szCs w:val="22"/>
                <w:color w:val="auto"/>
              </w:rPr>
            </w:pP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260" w:type="dxa"/>
            <w:vAlign w:val="bottom"/>
          </w:tcPr>
          <w:p>
            <w:pPr>
              <w:spacing w:after="0"/>
              <w:rPr>
                <w:sz w:val="19"/>
                <w:szCs w:val="19"/>
                <w:color w:val="auto"/>
              </w:rPr>
            </w:pPr>
          </w:p>
        </w:tc>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r>
      <w:tr>
        <w:trPr>
          <w:trHeight w:val="230"/>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w:t>
            </w:r>
          </w:p>
        </w:tc>
      </w:tr>
      <w:tr>
        <w:trPr>
          <w:trHeight w:val="229"/>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30"/>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w:t>
            </w:r>
          </w:p>
        </w:tc>
      </w:tr>
      <w:tr>
        <w:trPr>
          <w:trHeight w:val="229"/>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66,309</w:t>
            </w:r>
          </w:p>
        </w:tc>
      </w:tr>
      <w:tr>
        <w:trPr>
          <w:trHeight w:val="230"/>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45,087</w:t>
            </w:r>
          </w:p>
        </w:tc>
      </w:tr>
      <w:tr>
        <w:trPr>
          <w:trHeight w:val="229"/>
        </w:trPr>
        <w:tc>
          <w:tcPr>
            <w:tcW w:w="2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24,798</w:t>
            </w:r>
          </w:p>
        </w:tc>
      </w:tr>
      <w:tr>
        <w:trPr>
          <w:trHeight w:val="229"/>
        </w:trPr>
        <w:tc>
          <w:tcPr>
            <w:tcW w:w="2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30"/>
        </w:trPr>
        <w:tc>
          <w:tcPr>
            <w:tcW w:w="260" w:type="dxa"/>
            <w:vAlign w:val="bottom"/>
          </w:tcPr>
          <w:p>
            <w:pPr>
              <w:spacing w:after="0"/>
              <w:rPr>
                <w:sz w:val="19"/>
                <w:szCs w:val="19"/>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23,394</w:t>
            </w:r>
          </w:p>
        </w:tc>
      </w:tr>
      <w:tr>
        <w:trPr>
          <w:trHeight w:val="248"/>
        </w:trPr>
        <w:tc>
          <w:tcPr>
            <w:tcW w:w="2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287,592</w:t>
            </w:r>
          </w:p>
        </w:tc>
      </w:tr>
      <w:tr>
        <w:trPr>
          <w:trHeight w:val="20"/>
        </w:trPr>
        <w:tc>
          <w:tcPr>
            <w:tcW w:w="26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As of April 30, 2022, there were 2,445,685 shares that were authorized and available for future issuance under the 2020 Omnibus Incentive Plan.</w:t>
      </w:r>
    </w:p>
    <w:p>
      <w:pPr>
        <w:spacing w:after="0" w:line="134"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under the ESPP and as of April 30, 2022, there were 1,885,546 shares authorized and available for future issuance under the ESPP.</w:t>
      </w:r>
    </w:p>
    <w:p>
      <w:pPr>
        <w:spacing w:after="0" w:line="122"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Equity compensation expense was $3.5 million and $5.9 million for the thirteen weeks ended April 30, 2022 and May 1, 2021, respectively. These costs are included in selling, general and administrative expenses in the statements of income.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August 28, 2020, New Academy Holding Company, LLC, the parent holding company for our operations prior to our initial public offering, paid a $257.0 million distribution to its members of record as of August 25, 2020. Cash payments ("Share-Based Award Payments") of $32.2 million for unvested Awards were paid upon vesting of such Awards, which was completed and paid in-full as of July 31, 2021. No further Share-Based Award Payments relative to the distribution are payable as of April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Service Option Fair Value Assumptions</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granted was estimated using a Black-Scholes option-pricing model. The expected lives of the Service Options granted were based on the "SEC simplified" method.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calculated based on the most recent annualized quarterly dividend and the valuation date closing stock price. The assumptions used to calculate the fair value of Awards granted are evaluated and modified, as necessary, to reflect current market conditions and experience.</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granted in the thirteen weeks ended April 30, 2022:</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to 2.8%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553"/>
        </w:trPr>
        <w:tc>
          <w:tcPr>
            <w:tcW w:w="71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w w:val="99"/>
              </w:rPr>
              <w:t>The following table presents the Award grants during the thirteen weeks ended April 30, 2022:</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168,703</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April 30, 2022:</w:t>
      </w:r>
    </w:p>
    <w:p>
      <w:pPr>
        <w:spacing w:after="0" w:line="2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21,176,307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14,048,722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8,374,632</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5" w:name="page16"/>
    <w:bookmarkEnd w:id="15"/>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60" w:type="dxa"/>
            <w:vAlign w:val="bottom"/>
          </w:tcPr>
          <w:p>
            <w:pPr>
              <w:spacing w:after="0"/>
              <w:rPr>
                <w:sz w:val="19"/>
                <w:szCs w:val="19"/>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177,796</w:t>
            </w:r>
          </w:p>
        </w:tc>
      </w:tr>
      <w:tr>
        <w:trPr>
          <w:trHeight w:val="88"/>
        </w:trPr>
        <w:tc>
          <w:tcPr>
            <w:tcW w:w="6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92,088</w:t>
            </w:r>
          </w:p>
        </w:tc>
      </w:tr>
      <w:tr>
        <w:trPr>
          <w:trHeight w:val="22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Service Restricted Units and Service Restricted Stock Units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Performance Restricted Stock Units and Liquidity Event Restricted Units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2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Performance Unit Options and Performance Stock Options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2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108"/>
        </w:trPr>
        <w:tc>
          <w:tcPr>
            <w:tcW w:w="68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stock-based awards excluded from diluted calculation</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January 27, 2021, in connection with the Secondary Offering, the Company entered into an Underwriting Agreement with affiliates of KKR (as selling stockholders), the several other selling stockholders named therein, and the several underwriters named therein, including KCM (as underwriter). The Secondary Offering was completed on February 1, 2021. The Company did not pay KCM any fees in connection with this secondary offering.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Freight, Technology Related and Other Commitments</w:t>
      </w:r>
    </w:p>
    <w:p>
      <w:pPr>
        <w:spacing w:after="0" w:line="175"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April 30, 2022, we have obligations under freight, technology-related, construction and other contractual commitments in the amount of $73.9 million. Of such commitments, approximately $45.4 million is payable in the next 12 months.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April 30, 2022, we have $19.5 million in related commitments through 2027, of which $6.8 million is payable in the next 12 months.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April 30, 2022 through June 7, 2022, the issuance date of the consolidated financial statements, and identified the following matters to report:</w:t>
      </w:r>
    </w:p>
    <w:p>
      <w:pPr>
        <w:spacing w:after="0" w:line="18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On June 2, 2022, the Company's Board of Directors declared a quarterly cash dividend with respect to the fiscal quarter ended April 30, 2022, of $0.075 per share of the Company's common stock, payable on July 14, 2022, to stockholders of record as of the close of business on June 16, 2022.</w:t>
      </w:r>
    </w:p>
    <w:p>
      <w:pPr>
        <w:spacing w:after="0" w:line="189"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On June 2, 2022, the Company's Board of Directors authorized a new share repurchase program under which the Company may purchase up to $600 million of its outstanding shares during the three-year period ending June 2, 2025 (the "2022 Share Repurchase Program"). Under the 2022 Share Repurchase Program repurchases can be made using a variety of methods, which may include open market purchases, block trades, accelerated share repurchase programs, privately negotiated transactions and/or a non-discretionary trading plan, all in compliance with the rules of the SEC and other applicable legal requirements. The timing, manner, price and amount of any common share repurchases under the 2022 Share Repurchase Program will be determined by the Company in its discretion and will depend on a variety of factors, including legal requirements, price and economic and market conditions. The 2022 Share Repurchase Program does not obligate the Company to acquire any particular number of common shares, and the program may be suspended, extended, modified or discontinued at any time.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availability under the 2022 Share Repurchase Program and the 2021 Share Repurchase Program is approximately $700.2 million.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29, 2022 (the "Annual Report"), as filed with the Securities and Exchange Commission (the "SEC") on March 29, 2022, and in this Quarterly Report, as such risk factors have been updated from time to time in our periodic filings with the SEC, and are accessible on the SEC's website at www.sec.gov.</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7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the communities we 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 costs and availability;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costs, risks, and additional regulations and requirements as a result of becoming a public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effective internal controls;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may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negative coverage by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and designate shares of preferred stock without stockholder approval;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weeks ended April 30, 2022 and our audited financial statements for the fiscal year ended January 29, 2022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w:t>
      </w:r>
    </w:p>
    <w:p>
      <w:pPr>
        <w:spacing w:after="0" w:line="12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"2022 first quarter" or similar reference refers to the thirteen week period ended April 30, 2022, and any reference to the "prior year quarter", "2021 first quarter" or similar reference refers to the thirteen week period ended May 1, 2021. Unless otherwise specified, all comparisons regarding the current period of 2022 are made to the corresponding period of 2021.</w:t>
      </w:r>
    </w:p>
    <w:p>
      <w:pPr>
        <w:spacing w:after="0" w:line="20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All statements in this Quarterly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Our mission is to provide “Fun for All” and fulfill this mission with a localized merchandising strategy and value proposition that deeply connect with a broad range of consumers. Our product assortment focuses on key categories of outdoor, sports &amp; recreation, apparel, and footwear (representing 31%, 24%, 24% and 21% of our 2022 first quarter net sales, respectively) through both leading national brands and a portfolio of owned brands and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April 30, 2022, we operated 260 stores that range in size from approximately 40,000 to 130,000 gross square feet, with an average size of approximately 70,000 gross square feet, throughout 16 contiguous states located primarily in the southern United States. Our stores are supported by approximately 22,000 team members, three distribution centers, and our rapidly growing e-commerce platform, which includes our website at www.academy.com and our mobile app, newly introduced in the 2021 second quarter.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0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7"/>
              </w:rPr>
              <w:t>April 30, 2022</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259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4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seen a significant comparable store sales increase in recent full year results from (0.7%) in 2019 to 16.1% and 18.9% in 2020 and 2021, respectively. However, we experienced a decrease in comparable sales of (7.5)% for the 2022 first quarter as compared to an increase in the 2021 first quarter of 38.9%. The large 2021 first quarter comparable sales were affected by U.S. government stimulus packages, which had a positive impact on sales in the first quarter of 2021 and a negative impact to comparable sales for the first quarter of 2022. See the discussion on Net Sales below for some contributing factors to these changes.</w:t>
      </w:r>
    </w:p>
    <w:p>
      <w:pPr>
        <w:spacing w:after="0" w:line="1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anticipate that the increased popularity of isolated recreation, outdoor and leisure activity products brought on by customer demand during the COVID-19 pandemic will continue and will result in a long-term increase to our customer base. Additionally, we have benefited from recent shifting of customer spend towards in-home health and wellness and dedicating more time to memory-making experiences.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and we expect that it will continue to be a driver of growth in our net sales and gross margin. We continue to invest in initiatives that will increase traffic to our e-commerce platform, which includes our website and mobile app, and drive increased online sales conversion.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which, together with recent enhancements made to our website and omnichannel capabilities, contributed to the increase in e-commerce sales during 2021 and in the first quarter of 2022. During the year-to-date 2022,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significant investments by us.</w:t>
      </w:r>
    </w:p>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Our results of operations have been and will continue to be materially affected by the timing and number of new store openings. We are continually assessing the number of locations available that could accommodate our preferred size of stores in markets we would consider, and we expect to open at least eight new stores in 2022. Additionally, we intend to open a significant number of new stores over the next five years. Most of our stores achieve profitability within the first twelve months of opening. We believe our real estate strategy has positioned us well for further expansion.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These costs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past several quarters, we have seen increased competition across the industry for resources throughout the supply chain, which has resulted in disruptions to the flow of products from our vendors, labor shortages, reduced shipping container availability, and longer delays at the port. As a result, we have begun to experience a period of decreased or delayed supply and high inflationary levels. These factors have negatively impacted transportation and inventory costs, as we continue to pay higher prices to maintain our inventory levels. To help mitigate these constraints and potential disruptions to our supply chain, we continue to work with our partners by ordering merchandise earlier, securing transportation capacity, and utilizing different ports of entry.</w:t>
      </w:r>
    </w:p>
    <w:p>
      <w:pPr>
        <w:spacing w:after="0" w:line="1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As sales increase at a higher rate than our SG&amp;A, this results in sales leverage and a higher sales flow through to net income, which we have experienced in recent years with SG&amp;A expenses as a percentage of sales declining from 25.9% to 23.1% to 21.3% for the full years of 2019, 2020 and 2021, respectively. SG&amp;A expenses as a percentage of sales increased from 20.5% in the 2021 first quarter to 21.5% in the 2022 first quarter.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spacing w:after="0" w:line="121"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included in this Quarterly Report) and the amortization of our deferred loan costs and original issuance discounts associated with the acquisition of the debt. In November of 2020, we refinanced our debt resulting in an approximate $630 million reduction in our overall debt outstanding. Subsequently, in May of 2021 we entered into an amendment to our Term Loan which reduced the applicable margin on our LIBOR rate by 1.25% and paid down $99 million. These actions have resulted in interest expense reductions in the full year 2021 and in the 2022 first quarter.</w:t>
      </w:r>
    </w:p>
    <w:p>
      <w:pPr>
        <w:spacing w:after="0" w:line="14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COVID-19 pandemic continues to affect our business, as well as our customers, team members and suppliers. Governmental authority safety recommendations and requirements such as stay at home orders and business closures aimed at mitigating the spread of the virus, both in the U.S. and internationally, have contributed to the recent supply chain disruptions. These disruptions have resulted in decreased transportation, goods and labor availability and increased inflationary levels. Additionally, the U.S. government released stimulus packages throughout 2020 and 2021 as a result of the economic situation caused by the pandemic, which had a positive impact on sales during those periods.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including whether there are additional periods of increases or spikes in the number of COVID-19 cases, further mutations or related strains of the virus (or even the threat or perception that this could occur), within the markets in which we operate and from which we and our suppliers source products and materials and the related impact on consumer confidence and spending, labor supply or product supply, all of which are highly uncertain. We continue to monitor the evolving situation. See the section of the Annual Report entitled "Risk Factors—Risks Related to Our Business—The impact of COVID-19 may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April 30, 2022 Compared to Thirteen Weeks Ended May 1, 2021</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1,467,730</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1,580,333</w:t>
            </w: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946,306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1,016,632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521,424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315,931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r>
      <w:tr>
        <w:trPr>
          <w:trHeight w:val="22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195,270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177,796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*Percentages in table may not sum properly due to rounding.</w:t>
      </w:r>
    </w:p>
    <w:p>
      <w:pPr>
        <w:spacing w:after="0" w:line="21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$112.6 million, or 7.1%, for the 2022 first quarter compared to 2021 first quarter as a result of decreased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7.5% and partially offset by increased sales from the addition of one new store during the period. The decrease in sales was the result of fewer transactions partially offset by an increase in average ticket.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decrease of 7.5% in comparable sales was driven by lower sales across all merchandise divisions and higher comparable sales in the prior year quarter that were partially due to stimulus payments issued by the U.S. government during that period. The sports and recreation division sales were lower, primarily driven by recreation and fitness as these divisions were particularly impacted by increased prior year isolated recreation demands brought on by the COVID-19 pandemic, especially in categories such as bikes, outdoor games and fitness equipment. These decreases in the current year were partially offset by increased sales in team sports, including baseball, basketball and soccer. The apparel division experienced declining sales largely due to athletic apparel, youth apparel, and outdoor and seasonal apparel, which were partially offset by increased sales in licensed apparel. The outdoor merchandise division had declines in fishing and shooting sports, partially offset by an increase in camping. The footwear division decreased due to lower sales in the casual and seasonal category and the team sports category, partially offset by increases in the youth category.</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increased $21.9 million, or 18.8%, in the 2022 first quarter compared to the 2021 first quarter and represented 9.5% of merchandise sales in the 2022 first quarter compared to 7.4% in the 2021 first quarter.</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$42.3 million, or 7.5%, to $521.4 million for the 2022 first quarter from $563.7 million for the 2021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decreased 0.2% from 35.7% in the 2021 first quarter to 35.5% in the 2022 first quarter. The decrease of 20 basis points in gross margin is primarily attributable to:</w:t>
      </w:r>
    </w:p>
    <w:p>
      <w:pPr>
        <w:spacing w:after="0" w:line="12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basis points of unfavorability on inventory valuation adjustments;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points of unfavorability in e-commerce shipping costs due to an increase in e-commerce sales during the 2022 first quarter; partially offset by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basis points of favorability related to merchandise margins.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4" w:name="page25"/>
    <w:bookmarkEnd w:id="24"/>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$8.7 million, or 2.7%, to $315.9 million for the 2022 first quarter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$324.6 million for the 2021 first quarter. As a percentage of net sales, SG&amp;A expenses were up 1.0% to 21.5% in the 2022 first quarter compared to 20.5% in the 2021 first quarter. The increase of 100 basis points in SG&amp;A is primarily attributable to deleverage from decreased sales on decreased SG&amp;A costs.</w:t>
      </w:r>
    </w:p>
    <w:p>
      <w:pPr>
        <w:spacing w:after="0" w:line="19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$3.6 million, or 24.9%, for the 2022 first quarter when compared to the 2021 first quarter, resulting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lower outstanding balance and a reduction in interest rates on our long-term debt as a result of the repricing of our Term Loan which occurred in May 2021.</w:t>
      </w:r>
    </w:p>
    <w:p>
      <w:pPr>
        <w:spacing w:after="0" w:line="19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remained relatively flat, increasing $0.3 million in the 2022 first quarter when compared to the 2021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w:t>
      </w:r>
    </w:p>
    <w:p>
      <w:pPr>
        <w:spacing w:after="0" w:line="16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$1.7 million to $45.5 million for the 2022 first quarter as compared to $47.1 million for the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resulting primarily from decreased income before income taxes. ASO, Inc.’s effective tax rate for the 2022 first quarter was 23.3% compared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20.9% in the 2021 first quarter. The change in effective tax rate was primarily driven by a prior year benefit from tax deductions related to the exercise of several equity compensation awards during the 2021 first quarter.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consulting fees, private equity sponsor monitoring fees, equity compensation expense, (gain) loss on early retirement of debt, net, severance and executive transition costs, costs related to the COVID-19 pandemic, pre-opening expenses and other adjustments. We define Adjusted EBIT as net income (loss) before interest expense, net, and income tax expense, further adjusted to exclude consulting fees, private equity sponsor monitoring fees, equity compensation expense, (gain) loss on early retirement of debt, net, severance and executive transition costs, costs related to the COVID-19 pandemic, pre-opening expenses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loss on early retirement of debt, net, severance and executive transition costs, costs related to the COVID-19 pandemic, pre-opening expenses and other adjustments,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4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60" w:type="dxa"/>
            <w:vAlign w:val="bottom"/>
          </w:tcPr>
          <w:p>
            <w:pPr>
              <w:spacing w:after="0"/>
              <w:rPr>
                <w:sz w:val="19"/>
                <w:szCs w:val="19"/>
                <w:color w:val="auto"/>
              </w:rPr>
            </w:pP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177,796</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47,126</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(b)</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7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236,229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270,993</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w:t>
            </w:r>
          </w:p>
        </w:tc>
      </w:tr>
      <w:tr>
        <w:trPr>
          <w:trHeight w:val="223"/>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210,651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245,695</w:t>
            </w:r>
          </w:p>
        </w:tc>
      </w:tr>
      <w:tr>
        <w:trPr>
          <w:trHeight w:val="21"/>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40" w:right="20" w:hanging="514"/>
        <w:spacing w:after="0" w:line="237"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9" w:lineRule="exact"/>
        <w:rPr>
          <w:rFonts w:ascii="Times New Roman" w:cs="Times New Roman" w:eastAsia="Times New Roman" w:hAnsi="Times New Roman"/>
          <w:sz w:val="18"/>
          <w:szCs w:val="18"/>
          <w:color w:val="auto"/>
        </w:rPr>
      </w:pPr>
    </w:p>
    <w:p>
      <w:pPr>
        <w:ind w:left="540" w:right="20" w:hanging="514"/>
        <w:spacing w:after="0" w:line="237"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9" w:lineRule="exact"/>
        <w:rPr>
          <w:rFonts w:ascii="Times New Roman" w:cs="Times New Roman" w:eastAsia="Times New Roman" w:hAnsi="Times New Roman"/>
          <w:sz w:val="18"/>
          <w:szCs w:val="18"/>
          <w:color w:val="auto"/>
        </w:rPr>
      </w:pPr>
    </w:p>
    <w:p>
      <w:pPr>
        <w:jc w:val="both"/>
        <w:ind w:left="540" w:right="20" w:hanging="514"/>
        <w:spacing w:after="0" w:line="231"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EBIT)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177,796</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expenses (b)</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w:t>
            </w:r>
          </w:p>
        </w:tc>
        <w:tc>
          <w:tcPr>
            <w:tcW w:w="2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(d)</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182,531</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92,088</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96,472</w:t>
            </w:r>
          </w:p>
        </w:tc>
      </w:tr>
    </w:tbl>
    <w:p>
      <w:pPr>
        <w:spacing w:after="0" w:line="103" w:lineRule="exact"/>
        <w:rPr>
          <w:sz w:val="20"/>
          <w:szCs w:val="20"/>
          <w:color w:val="auto"/>
        </w:rPr>
      </w:pPr>
    </w:p>
    <w:p>
      <w:pPr>
        <w:ind w:left="520" w:right="20" w:hanging="494"/>
        <w:spacing w:after="0" w:line="237"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9" w:lineRule="exact"/>
        <w:rPr>
          <w:rFonts w:ascii="Times New Roman" w:cs="Times New Roman" w:eastAsia="Times New Roman" w:hAnsi="Times New Roman"/>
          <w:sz w:val="18"/>
          <w:szCs w:val="18"/>
          <w:color w:val="auto"/>
        </w:rPr>
      </w:pPr>
    </w:p>
    <w:p>
      <w:pPr>
        <w:ind w:left="520" w:right="20" w:hanging="494"/>
        <w:spacing w:after="0" w:line="237"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pre-opening expenses which are non-capital expenditures associated with opening new stores and incurred prior to the store opening and generating sales. These costs consist primarily of occupancy costs, marketing, payroll and recruiting costs. These costs are expensed as incurred.</w:t>
      </w:r>
    </w:p>
    <w:p>
      <w:pPr>
        <w:spacing w:after="0" w:line="9" w:lineRule="exact"/>
        <w:rPr>
          <w:rFonts w:ascii="Times New Roman" w:cs="Times New Roman" w:eastAsia="Times New Roman" w:hAnsi="Times New Roman"/>
          <w:sz w:val="18"/>
          <w:szCs w:val="18"/>
          <w:color w:val="auto"/>
        </w:rPr>
      </w:pPr>
    </w:p>
    <w:p>
      <w:pPr>
        <w:jc w:val="both"/>
        <w:ind w:left="520" w:right="20" w:hanging="494"/>
        <w:spacing w:after="0" w:line="23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Net Income) amounts that management believes are not representative of our operating performance, such as costs associated with secondary offerings, installation costs for energy savings associated with our profitability initiatives and other costs associated with business optimization initiatives.</w:t>
      </w:r>
    </w:p>
    <w:p>
      <w:pPr>
        <w:spacing w:after="0" w:line="1" w:lineRule="exact"/>
        <w:rPr>
          <w:rFonts w:ascii="Times New Roman" w:cs="Times New Roman" w:eastAsia="Times New Roman" w:hAnsi="Times New Roman"/>
          <w:sz w:val="18"/>
          <w:szCs w:val="18"/>
          <w:color w:val="auto"/>
        </w:rPr>
      </w:pPr>
    </w:p>
    <w:p>
      <w:pPr>
        <w:ind w:left="520" w:right="20" w:hanging="494"/>
        <w:spacing w:after="0" w:line="234"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thirteen weeks ended April 30, 2022 and May 1, 2021, this represents the tax effect of the total adjustments made to arrive at Adjusted Net Income at the estimated effective tax rate for the fiscal year ended January 28, 2023 and January 29, 2022, respectively.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80" w:type="dxa"/>
            <w:vAlign w:val="bottom"/>
          </w:tcPr>
          <w:p>
            <w:pPr>
              <w:spacing w:after="0"/>
              <w:rPr>
                <w:sz w:val="19"/>
                <w:szCs w:val="19"/>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97,097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219,228</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(16,808)</w:t>
            </w:r>
          </w:p>
        </w:tc>
      </w:tr>
      <w:tr>
        <w:trPr>
          <w:trHeight w:val="248"/>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79,785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202,420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occasionally use cash to repurchase common stock. We fund these liquidity requirements through cash and cash equivalents, cash generated from operating activities, issuances of debt (such as the Notes) and borrowings under our ABL Facility. On April 30, 2022, our cash and cash equivalents totaled $472.4 million. We believe our cash and cash equivalents, as well as our availability under the ABL Facility, will be sufficient to fund our cash requirements for at least the next 12 months.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25, 2021, the Company entered into an Amendment No. 4 (the "Amendment") to the Second Amended and Restated Credit Agreement (as previously amended, the "Existing Credit Agreement") which (i) reduced the applicable margin on LIBOR borrowings under the Term Loan from 5.00% to 3.75% and (ii) utilized cash on hand to repay $99.0 million of outstanding borrowings under the Term Loan,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 (see Note 4 to the financial statements included in this Quarterly Report).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current debt obligations by fiscal year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402,727</w:t>
            </w: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60" w:type="dxa"/>
            <w:vAlign w:val="bottom"/>
          </w:tcPr>
          <w:p>
            <w:pPr>
              <w:spacing w:after="0"/>
              <w:rPr>
                <w:sz w:val="19"/>
                <w:szCs w:val="19"/>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544,000</w:t>
            </w:r>
          </w:p>
        </w:tc>
      </w:tr>
      <w:tr>
        <w:trPr>
          <w:trHeight w:val="229"/>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r>
    </w:tbl>
    <w:p>
      <w:pPr>
        <w:spacing w:after="0" w:line="90" w:lineRule="exact"/>
        <w:rPr>
          <w:sz w:val="20"/>
          <w:szCs w:val="20"/>
          <w:color w:val="auto"/>
        </w:rPr>
      </w:pPr>
    </w:p>
    <w:p>
      <w:pPr>
        <w:ind w:left="20" w:right="580" w:firstLine="6"/>
        <w:spacing w:after="0" w:line="237" w:lineRule="auto"/>
        <w:tabs>
          <w:tab w:leader="none" w:pos="185"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Interest payments are future cash payments which do not include amortization of discount and debt issuance costs and are approximated based on projected interest rates and assumes no unscheduled principal payments until maturity.</w:t>
      </w:r>
    </w:p>
    <w:p>
      <w:pPr>
        <w:spacing w:after="0" w:line="1" w:lineRule="exact"/>
        <w:rPr>
          <w:rFonts w:ascii="Times New Roman" w:cs="Times New Roman" w:eastAsia="Times New Roman" w:hAnsi="Times New Roman"/>
          <w:sz w:val="20"/>
          <w:szCs w:val="20"/>
          <w:color w:val="auto"/>
          <w:vertAlign w:val="superscript"/>
        </w:rPr>
      </w:pPr>
    </w:p>
    <w:p>
      <w:pPr>
        <w:ind w:left="200" w:hanging="174"/>
        <w:spacing w:after="0" w:line="230" w:lineRule="auto"/>
        <w:tabs>
          <w:tab w:leader="none" w:pos="2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Assumes Notes are paid in full at maturity date.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Assumes a minimum revolving credit commitment of $1.0 billion and assumes no balances drawn on our ABL Facility.</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954,516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780,945</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0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29, 2022</w:t>
            </w:r>
          </w:p>
        </w:tc>
        <w:tc>
          <w:tcPr>
            <w:tcW w:w="300" w:type="dxa"/>
            <w:vAlign w:val="bottom"/>
          </w:tcPr>
          <w:p>
            <w:pPr>
              <w:spacing w:after="0"/>
              <w:rPr>
                <w:sz w:val="24"/>
                <w:szCs w:val="24"/>
                <w:color w:val="auto"/>
              </w:rPr>
            </w:pP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store locations, distribution centers, office space and certain equipment under operating leases expiring between fiscal years 2022 and 2043. Operating lease obligations include future minimum lease payments under all of our non-cancelable operating leases at April 30, 2022. The following table summarizes our remaining operating lease obligations by fiscal year: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2026</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977,179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1,878,288</w:t>
            </w:r>
          </w:p>
        </w:tc>
      </w:tr>
    </w:tbl>
    <w:p>
      <w:pPr>
        <w:spacing w:after="0" w:line="71" w:lineRule="exact"/>
        <w:rPr>
          <w:sz w:val="20"/>
          <w:szCs w:val="20"/>
          <w:color w:val="auto"/>
        </w:rPr>
      </w:pPr>
    </w:p>
    <w:p>
      <w:pPr>
        <w:ind w:left="200" w:hanging="174"/>
        <w:spacing w:after="0"/>
        <w:tabs>
          <w:tab w:leader="none" w:pos="2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Minimum lease payments have not been reduced by sublease rentals of $0.9 million due in the future under non-cancelable sub-leases.</w:t>
      </w:r>
    </w:p>
    <w:p>
      <w:pPr>
        <w:spacing w:after="0" w:line="28"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balances include stores where we have an executed contract but have not taken possession of the location as of April 30, 2022.</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2022, we opened our first new location in two years. We intend to open at least eight stores in 2022.</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Under the 2021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under the 2021 Share Repurchase Program are determined by the Company in its discretion and depend on a variety of factors, including legal requirements, price and economic and market conditions. The 2021 Share Repurchase Program does not obligate the Company to acquire any particular number of common shares, and the program may be suspended, extended, modified or discontinued at any time. As of April 30, 2022, $100.2 million remained available for share repurchases pursuant to our 2021 Share Repurchase Program.</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fiscal year ended January 29,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1"/>
        </w:trPr>
        <w:tc>
          <w:tcPr>
            <w:tcW w:w="54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4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Repurchased</w:t>
            </w: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31, 2021 to May 1, 2021)</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 Quarter (May 2, 2021 to July 31, 2021) </w:t>
            </w:r>
            <w:r>
              <w:rPr>
                <w:rFonts w:ascii="Times New Roman" w:cs="Times New Roman" w:eastAsia="Times New Roman" w:hAnsi="Times New Roman"/>
                <w:sz w:val="23"/>
                <w:szCs w:val="23"/>
                <w:color w:val="auto"/>
                <w:vertAlign w:val="superscript"/>
              </w:rPr>
              <w:t>(1)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99,999,995</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1, 2021 to October 30, 2021)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5,722,892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245,837,186</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 (October 31, 2021 to January 29, 2022)</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65,571,394</w:t>
            </w:r>
          </w:p>
        </w:tc>
      </w:tr>
      <w:tr>
        <w:trPr>
          <w:trHeight w:val="230"/>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10,566,796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411,408,575</w:t>
            </w:r>
          </w:p>
        </w:tc>
      </w:tr>
    </w:tbl>
    <w:p>
      <w:pPr>
        <w:ind w:left="340" w:right="3220" w:hanging="314"/>
        <w:spacing w:after="0" w:line="524" w:lineRule="auto"/>
        <w:tabs>
          <w:tab w:leader="none" w:pos="215"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repurchased during the 2021 second quarter were not subject to the 2021 Share Repurchase Program. The following table summarizes our share repurchases for the year-to-date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-644525</wp:posOffset>
            </wp:positionV>
            <wp:extent cx="36518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First Quarter (January 30, 2022 to April 30, 2022) </w:t>
      </w:r>
      <w:r>
        <w:rPr>
          <w:rFonts w:ascii="Times New Roman" w:cs="Times New Roman" w:eastAsia="Times New Roman" w:hAnsi="Times New Roman"/>
          <w:sz w:val="22"/>
          <w:szCs w:val="22"/>
          <w:color w:val="auto"/>
          <w:vertAlign w:val="superscript"/>
        </w:rPr>
        <w:t>(2)</w:t>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Shares Repurchased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960" w:type="dxa"/>
            <w:vAlign w:val="bottom"/>
            <w:gridSpan w:val="2"/>
          </w:tcPr>
          <w:p>
            <w:pPr>
              <w:jc w:val="center"/>
              <w:ind w:right="80"/>
              <w:spacing w:after="0" w:line="190"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line="190" w:lineRule="exact"/>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6"/>
                <w:szCs w:val="16"/>
                <w:color w:val="auto"/>
              </w:rPr>
            </w:pPr>
          </w:p>
        </w:tc>
        <w:tc>
          <w:tcPr>
            <w:tcW w:w="1620" w:type="dxa"/>
            <w:vAlign w:val="bottom"/>
          </w:tcPr>
          <w:p>
            <w:pPr>
              <w:jc w:val="right"/>
              <w:ind w:right="310"/>
              <w:spacing w:after="0" w:line="190" w:lineRule="exact"/>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38"/>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4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Repurchased</w:t>
            </w:r>
          </w:p>
        </w:tc>
      </w:tr>
      <w:tr>
        <w:trPr>
          <w:trHeight w:val="223"/>
        </w:trPr>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2,272,349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88,500,881</w:t>
            </w:r>
          </w:p>
        </w:tc>
      </w:tr>
      <w:tr>
        <w:trPr>
          <w:trHeight w:val="228"/>
        </w:trPr>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2,272,349</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88,500,881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-311150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-2540</wp:posOffset>
            </wp:positionV>
            <wp:extent cx="36518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4760" w:space="720"/>
            <w:col w:w="5760"/>
          </w:cols>
          <w:pgMar w:left="320" w:top="1440" w:right="339" w:bottom="1440" w:gutter="0" w:footer="0" w:header="0"/>
          <w:type w:val="continuous"/>
        </w:sectPr>
      </w:pPr>
    </w:p>
    <w:p>
      <w:pPr>
        <w:ind w:left="220" w:hanging="167"/>
        <w:spacing w:after="0" w:line="235" w:lineRule="auto"/>
        <w:tabs>
          <w:tab w:leader="none" w:pos="2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Part II, Item 2 - Unregistered Sales of Equity Securities and Use of Proceeds for further detail on the 2022 first quarter share repurchases.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32"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-796290</wp:posOffset>
            </wp:positionV>
            <wp:extent cx="36518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 2022, the Board of Directors of the Company authorized a new share repurchase program (the "2022 Share Repurchase Program") under which the Company may purchase up to $600 million of its outstanding shares during the three-year period ending June 2, 2025. The total availability under the combined 2022 Share Repurchase Program and 2021 Share Repurchase Program is approximately $700.2 million (see Note 13 to the accompanying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 2022, the Company's Board of Directors declared an inaugural quarterly cash dividend in the amount of $0.075 per share on the Company's common stock, which was paid on April 14, 2022 to stockholders of record as of the close of business on March 17, 2022. The total dividend paid in the 2022 first quarter was $6.5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 2022, the Company's Board of Directors declared a quarterly cash dividend with respect to the fiscal quarter ended April 30, 2022, of $0.075 per share of the Company's common stock, payable on July 14, 2022, to stockholders of record as of the close of business on June 16, 2022 (see Note 13 to the accompanying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fiscal year 2022 to be approximately $140.0 million. Approximately 50% of our planned cash outflow relate to investments in our corporate, e-commerce and information technology programs. Investments in new stores and relocations are expected to be 30% of our planned cash outflow and the remaining 20% of the planned cash outflow is expected to be utilized in updates for existing stores and distribution centers. We review forecasted capital expenditures throughout the year and will adjust or modify projects based on business conditions at that time.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Thirteen Weeks Ended April 30, 2022 and May 1, 2021</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320" w:type="dxa"/>
            <w:vAlign w:val="bottom"/>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top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97,097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219,228</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7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(17,312)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(93,388)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(13,603)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215,684</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right="400" w:firstLine="324"/>
        <w:spacing w:after="0" w:line="281" w:lineRule="auto"/>
        <w:rPr>
          <w:sz w:val="20"/>
          <w:szCs w:val="20"/>
          <w:color w:val="auto"/>
        </w:rPr>
      </w:pPr>
      <w:r>
        <w:rPr>
          <w:rFonts w:ascii="Times New Roman" w:cs="Times New Roman" w:eastAsia="Times New Roman" w:hAnsi="Times New Roman"/>
          <w:sz w:val="18"/>
          <w:szCs w:val="18"/>
          <w:color w:val="auto"/>
        </w:rPr>
        <w:t>Cash provided by operating activities in the 2022 first quarter decreased $122.1 million, compared to 2021 first quarter. This decrease in cash was attributable to:</w:t>
      </w:r>
    </w:p>
    <w:p>
      <w:pPr>
        <w:spacing w:after="0" w:line="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 million net decrease in cash flows provided by operating assets and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 million decrease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million net decrease in non-cash charges.</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cash flows from operating assets and liabilities was primarily attributable to:</w:t>
      </w:r>
    </w:p>
    <w:p>
      <w:pPr>
        <w:spacing w:after="0" w:line="63" w:lineRule="exact"/>
        <w:rPr>
          <w:sz w:val="20"/>
          <w:szCs w:val="20"/>
          <w:color w:val="auto"/>
        </w:rPr>
      </w:pPr>
    </w:p>
    <w:p>
      <w:pPr>
        <w:ind w:left="660" w:right="20" w:hanging="328"/>
        <w:spacing w:after="0" w:line="281"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$61.3 million decrease in cash flows from merchandise inventories, net related to increased inventory in the 2022 first quarter due to higher sales in the prior year period;</w:t>
      </w:r>
    </w:p>
    <w:p>
      <w:pPr>
        <w:spacing w:after="0" w:line="1" w:lineRule="exact"/>
        <w:rPr>
          <w:rFonts w:ascii="Times New Roman" w:cs="Times New Roman" w:eastAsia="Times New Roman" w:hAnsi="Times New Roman"/>
          <w:sz w:val="18"/>
          <w:szCs w:val="18"/>
          <w:b w:val="1"/>
          <w:bCs w:val="1"/>
          <w:i w:val="1"/>
          <w:iCs w:val="1"/>
          <w:color w:val="auto"/>
        </w:rPr>
      </w:pPr>
    </w:p>
    <w:p>
      <w:pPr>
        <w:ind w:left="660" w:right="38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 million decrease in cash flows from accrued expenses and other current liabilities related primarily to increased employee costs, largely driven by performance compensation payments made in the 2022 first quarter;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million increase in income taxes payable due to timing of payments.</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from non-cash charges was primarily caused by:</w:t>
      </w:r>
    </w:p>
    <w:p>
      <w:pPr>
        <w:spacing w:after="0" w:line="6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 million decrease in deferred income taxes.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31" w:name="page32"/>
    <w:bookmarkEnd w:id="31"/>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increased $0.5 million in the 2022 first quarter compared to the 2021 first quarter. The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is primarily due to:</w:t>
      </w:r>
    </w:p>
    <w:p>
      <w:pPr>
        <w:spacing w:after="0" w:line="105"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higher capital expenditures related to new stores and store updates, partially offset by decreased costs related to the distribution centers for improvements made in the 2021 first quarter.</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increased $106.7 million in the 2022 first quarter, compared to the 2021 first quarter.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drivers of the increase were:</w:t>
      </w:r>
    </w:p>
    <w:p>
      <w:pPr>
        <w:spacing w:after="0" w:line="10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$88.5 million increase in cash outflows related to Company's repurchase and simultaneous retirement of common stock in the 2022 first quarter;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million decrease in net proceeds from the exercise of stock options relative to the 2021 first quarter;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$6.5 million increase in cash outflows related to cash dividend paid in the 2022 first quarter.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remain challenging, and actual results could differ materially from our estimates.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11 to our unaudited consolidated financial statements under Part I, Item 1 under the heading of this Quarterly Report entitled "Related Party Transactions"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 substantially similar issues of law and fact, relate to the April 2016 sale by one of our stores of a firearm and magazine that were alleged to have been used in the Sutherland Springs incident. The plaintiffs sought monetary relief and, in some cases, injunctive relief. The Supreme Court of Texas heard oral arguments relating to our motion for summary judgment to dismiss certain of the cases in October 2020 (the “Texas Supreme Court Cases”), with the remainder of these cases stayed pending the Supreme Court of Texas’s decision. On June 25, 2021, the Supreme Court of Texas issued an opinion directing the trial court to grant our motion for summary judgment and held that the Texas Supreme Court Cases are statutorily barred, and we are protected from continued participation in the Texas Supreme Court cases. Given the Supreme Court of Texas’s opinion and the substantial similarity of all these cases, all of the plaintiffs agreed to voluntarily dismiss all of the pending cases against the Company with prejudice, and on April 13, 2022, the Bexar County, Texas state trial court entered an order granting the parties’ agreed motions to dismiss with prejudice all of the lawsuits filed against the Company.</w:t>
      </w:r>
    </w:p>
    <w:p>
      <w:pPr>
        <w:spacing w:after="0" w:line="14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In addition to the effects of the COVID-19 pandemic and resulting global disruptions on our business and operations discussed in the MD&amp;A in this Quarterly Report and in the Risk Factors section of the Annual Report, additional or unforeseen effects from the COVID-19 pandemic and the global economic climate may give rise to or amplify many of these risks. There have been no material changes to the risk factors discussed in the section of the Annual Report entitled "Risk Factors".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our common stock during the first quarter of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7"/>
                <w:szCs w:val="17"/>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 Purchased as</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0"/>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6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 (b)</w:t>
            </w:r>
          </w:p>
        </w:tc>
        <w:tc>
          <w:tcPr>
            <w:tcW w:w="160" w:type="dxa"/>
            <w:vAlign w:val="bottom"/>
          </w:tcPr>
          <w:p>
            <w:pPr>
              <w:spacing w:after="0"/>
              <w:rPr>
                <w:sz w:val="19"/>
                <w:szCs w:val="19"/>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Programs (b)</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30, 2022 to February 26, 2022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27, 2022 to April 2,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165,932,445</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 2022 to April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100,192,722</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2,272,349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2,272,349</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100,192,722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60" w:hanging="252"/>
        <w:spacing w:after="0" w:line="266" w:lineRule="auto"/>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excludes shares which were net-settled, and therefore not issued, to cover employee tax withholding related to the vesting of certain restricted stock awards.</w:t>
      </w:r>
    </w:p>
    <w:p>
      <w:pPr>
        <w:spacing w:after="0" w:line="67" w:lineRule="exact"/>
        <w:rPr>
          <w:rFonts w:ascii="Times New Roman" w:cs="Times New Roman" w:eastAsia="Times New Roman" w:hAnsi="Times New Roman"/>
          <w:sz w:val="18"/>
          <w:szCs w:val="18"/>
          <w:color w:val="auto"/>
        </w:rPr>
      </w:pPr>
    </w:p>
    <w:p>
      <w:pPr>
        <w:jc w:val="both"/>
        <w:ind w:left="260" w:hanging="252"/>
        <w:spacing w:after="0" w:line="261" w:lineRule="auto"/>
        <w:tabs>
          <w:tab w:leader="none" w:pos="3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2021, our Board of Directors authorized a share repurchase program (the "2021 Share Repurchase Program") under which the Company may purchase up to $500 million of its outstanding shares during the three-year period ending September 2, 2024. As of April 30, 2022, approximately $100.2 million remained available for share repurchases pursuant to our 2021 Share Repurchase Program (see Note 13 to the accompanying financial statements).</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2021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October 6, 2020).</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Current Report on Form</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 filed on October 6, 2020).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CEO Performance-Based Restricted Stock Unit Agreement</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CEO Time-Based Option Agreement</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Executive Performance-Based Restricted Stock Unit Agreement</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Executive Time-Based Restricted Stock Unit Agreement</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Executive Time-Based Option Agreement</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29"/>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June 7, 2022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C. HICKS</w:t>
            </w:r>
          </w:p>
        </w:tc>
      </w:tr>
      <w:tr>
        <w:trPr>
          <w:trHeight w:val="218"/>
        </w:trPr>
        <w:tc>
          <w:tcPr>
            <w:tcW w:w="7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C. Hicks</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r>
      <w:tr>
        <w:trPr>
          <w:trHeight w:val="218"/>
        </w:trPr>
        <w:tc>
          <w:tcPr>
            <w:tcW w:w="7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08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CEO – Performance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ind w:left="3600"/>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9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Academy Sports and Outdoors,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grants to the Participant set forth below the number of Restricted Stock Units set forth below pursuant to its 2020 Omnibus Incentive Plan, as it may be amended and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The</w:t>
      </w:r>
    </w:p>
    <w:p>
      <w:pPr>
        <w:spacing w:after="0" w:line="211" w:lineRule="auto"/>
        <w:rPr>
          <w:sz w:val="20"/>
          <w:szCs w:val="20"/>
          <w:color w:val="auto"/>
        </w:rPr>
      </w:pPr>
      <w:r>
        <w:rPr>
          <w:rFonts w:ascii="Times New Roman" w:cs="Times New Roman" w:eastAsia="Times New Roman" w:hAnsi="Times New Roman"/>
          <w:sz w:val="20"/>
          <w:szCs w:val="20"/>
          <w:color w:val="auto"/>
        </w:rPr>
        <w:t>Restricted Stock Units are subject to all of the terms and conditions as set forth herein, in the Restricted Stock Unit Agreement (attached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i w:val="1"/>
          <w:iCs w:val="1"/>
          <w:color w:val="auto"/>
        </w:rPr>
        <w:t>[First Name] [Last Name]</w:t>
      </w:r>
    </w:p>
    <w:p>
      <w:pPr>
        <w:spacing w:after="0" w:line="20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i w:val="1"/>
          <w:iCs w:val="1"/>
          <w:color w:val="auto"/>
        </w:rPr>
        <w:t>[Date of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tabs>
          <w:tab w:leader="none" w:pos="2460" w:val="left"/>
        </w:tabs>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Number of Restricted Stock Units Granted</w:t>
      </w:r>
      <w:r>
        <w:rPr>
          <w:rFonts w:ascii="Times New Roman" w:cs="Times New Roman" w:eastAsia="Times New Roman" w:hAnsi="Times New Roman"/>
          <w:sz w:val="19"/>
          <w:szCs w:val="19"/>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r>
              <w:rPr>
                <w:rFonts w:ascii="Times New Roman" w:cs="Times New Roman" w:eastAsia="Times New Roman" w:hAnsi="Times New Roman"/>
                <w:sz w:val="20"/>
                <w:szCs w:val="20"/>
                <w:color w:val="auto"/>
              </w:rPr>
              <w:t>:</w:t>
            </w:r>
          </w:p>
        </w:tc>
        <w:tc>
          <w:tcPr>
            <w:tcW w:w="3460" w:type="dxa"/>
            <w:vAlign w:val="bottom"/>
            <w:gridSpan w:val="3"/>
          </w:tcPr>
          <w:p>
            <w:pPr>
              <w:ind w:left="780"/>
              <w:spacing w:after="0"/>
              <w:rPr>
                <w:sz w:val="20"/>
                <w:szCs w:val="20"/>
                <w:color w:val="auto"/>
              </w:rPr>
            </w:pPr>
            <w:r>
              <w:rPr>
                <w:rFonts w:ascii="Times New Roman" w:cs="Times New Roman" w:eastAsia="Times New Roman" w:hAnsi="Times New Roman"/>
                <w:sz w:val="20"/>
                <w:szCs w:val="20"/>
                <w:color w:val="auto"/>
              </w:rPr>
              <w:t>January 30, 2022</w:t>
            </w:r>
          </w:p>
        </w:tc>
        <w:tc>
          <w:tcPr>
            <w:tcW w:w="0" w:type="dxa"/>
            <w:vAlign w:val="bottom"/>
          </w:tcPr>
          <w:p>
            <w:pPr>
              <w:spacing w:after="0"/>
              <w:rPr>
                <w:sz w:val="1"/>
                <w:szCs w:val="1"/>
                <w:color w:val="auto"/>
              </w:rPr>
            </w:pPr>
          </w:p>
        </w:tc>
      </w:tr>
      <w:tr>
        <w:trPr>
          <w:trHeight w:val="372"/>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Earning Criteria:</w:t>
            </w:r>
          </w:p>
        </w:tc>
        <w:tc>
          <w:tcPr>
            <w:tcW w:w="3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8"/>
              </w:rPr>
              <w:t>Set forth on Appendix A attached hereto.</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p>
        </w:tc>
        <w:tc>
          <w:tcPr>
            <w:tcW w:w="12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vMerge w:val="continue"/>
          </w:tcPr>
          <w:p>
            <w:pPr>
              <w:spacing w:after="0"/>
              <w:rPr>
                <w:sz w:val="24"/>
                <w:szCs w:val="24"/>
                <w:color w:val="auto"/>
              </w:rPr>
            </w:pPr>
          </w:p>
        </w:tc>
        <w:tc>
          <w:tcPr>
            <w:tcW w:w="34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8"/>
              </w:rPr>
              <w:t>Set forth on Appendix A attached hereto.</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6"/>
          <w:szCs w:val="16"/>
          <w:color w:val="auto"/>
        </w:rPr>
        <w:t>1001247.3</w:t>
      </w:r>
    </w:p>
    <w:p>
      <w:pPr>
        <w:sectPr>
          <w:pgSz w:w="11900" w:h="16838" w:orient="portrait"/>
          <w:cols w:equalWidth="0" w:num="1">
            <w:col w:w="11240"/>
          </w:cols>
          <w:pgMar w:left="320" w:top="104" w:right="339" w:bottom="1440" w:gutter="0" w:footer="0" w:header="0"/>
        </w:sectPr>
      </w:pPr>
    </w:p>
    <w:bookmarkStart w:id="37" w:name="page38"/>
    <w:bookmarkEnd w:id="37"/>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5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Unit Agreement (this “</w:t>
      </w:r>
      <w:r>
        <w:rPr>
          <w:rFonts w:ascii="Times New Roman" w:cs="Times New Roman" w:eastAsia="Times New Roman" w:hAnsi="Times New Roman"/>
          <w:sz w:val="20"/>
          <w:szCs w:val="20"/>
          <w:u w:val="single" w:color="auto"/>
          <w:color w:val="auto"/>
        </w:rPr>
        <w:t>Restricted Stock Unit Agreement</w:t>
      </w:r>
      <w:r>
        <w:rPr>
          <w:rFonts w:ascii="Times New Roman" w:cs="Times New Roman" w:eastAsia="Times New Roman" w:hAnsi="Times New Roman"/>
          <w:sz w:val="20"/>
          <w:szCs w:val="20"/>
          <w:color w:val="auto"/>
        </w:rPr>
        <w:t>”) and the Academy Sports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Outdoors, Inc. 2020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 as set forth in the Plan.</w:t>
      </w:r>
    </w:p>
    <w:p>
      <w:pPr>
        <w:spacing w:after="0" w:line="163" w:lineRule="exact"/>
        <w:rPr>
          <w:sz w:val="20"/>
          <w:szCs w:val="20"/>
          <w:color w:val="auto"/>
        </w:rPr>
      </w:pPr>
    </w:p>
    <w:p>
      <w:pPr>
        <w:jc w:val="both"/>
        <w:ind w:firstLine="1304"/>
        <w:spacing w:after="0" w:line="217" w:lineRule="auto"/>
        <w:tabs>
          <w:tab w:leader="none" w:pos="150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Each Restricted Stock Unit granted to the Participant pursuant to the Grant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6" w:lineRule="exact"/>
        <w:rPr>
          <w:rFonts w:ascii="Times New Roman" w:cs="Times New Roman" w:eastAsia="Times New Roman" w:hAnsi="Times New Roman"/>
          <w:sz w:val="20"/>
          <w:szCs w:val="20"/>
          <w:color w:val="auto"/>
        </w:rPr>
      </w:pPr>
    </w:p>
    <w:p>
      <w:pPr>
        <w:ind w:right="20" w:firstLine="1304"/>
        <w:spacing w:after="0" w:line="235" w:lineRule="auto"/>
        <w:tabs>
          <w:tab w:leader="none" w:pos="150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Restricted Stock Units shall become earned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 as provided in the Grant Notice.</w:t>
      </w:r>
    </w:p>
    <w:p>
      <w:pPr>
        <w:spacing w:after="0" w:line="157" w:lineRule="exact"/>
        <w:rPr>
          <w:rFonts w:ascii="Times New Roman" w:cs="Times New Roman" w:eastAsia="Times New Roman" w:hAnsi="Times New Roman"/>
          <w:sz w:val="20"/>
          <w:szCs w:val="20"/>
          <w:color w:val="auto"/>
        </w:rPr>
      </w:pPr>
    </w:p>
    <w:p>
      <w:pPr>
        <w:jc w:val="both"/>
        <w:ind w:firstLine="1304"/>
        <w:spacing w:after="0" w:line="224" w:lineRule="auto"/>
        <w:tabs>
          <w:tab w:leader="none" w:pos="152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Earned Restricted Stock Units</w:t>
      </w:r>
      <w:r>
        <w:rPr>
          <w:rFonts w:ascii="Times New Roman" w:cs="Times New Roman" w:eastAsia="Times New Roman" w:hAnsi="Times New Roman"/>
          <w:sz w:val="19"/>
          <w:szCs w:val="19"/>
          <w:color w:val="auto"/>
        </w:rPr>
        <w:t>. Upon the vesting of an Earned Restricted Stock Unit hereunder,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any election by the Committee pursuant to Section 9(d)(ii) of the Plan, the Company will deliver one share of Common Stock for each Earned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62" w:lineRule="exact"/>
        <w:rPr>
          <w:rFonts w:ascii="Times New Roman" w:cs="Times New Roman" w:eastAsia="Times New Roman" w:hAnsi="Times New Roman"/>
          <w:sz w:val="19"/>
          <w:szCs w:val="19"/>
          <w:color w:val="auto"/>
        </w:rPr>
      </w:pPr>
    </w:p>
    <w:p>
      <w:pPr>
        <w:jc w:val="both"/>
        <w:ind w:firstLine="1304"/>
        <w:spacing w:after="0" w:line="235" w:lineRule="auto"/>
        <w:tabs>
          <w:tab w:leader="none" w:pos="152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Restricted Stock Units Upon Termination</w:t>
      </w:r>
      <w:r>
        <w:rPr>
          <w:rFonts w:ascii="Times New Roman" w:cs="Times New Roman" w:eastAsia="Times New Roman" w:hAnsi="Times New Roman"/>
          <w:sz w:val="19"/>
          <w:szCs w:val="19"/>
          <w:color w:val="auto"/>
        </w:rPr>
        <w:t>. Except as otherwise provided in the Grant Notice or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43" w:lineRule="exact"/>
        <w:rPr>
          <w:rFonts w:ascii="Times New Roman" w:cs="Times New Roman" w:eastAsia="Times New Roman" w:hAnsi="Times New Roman"/>
          <w:sz w:val="19"/>
          <w:szCs w:val="19"/>
          <w:color w:val="auto"/>
        </w:rPr>
      </w:pPr>
    </w:p>
    <w:p>
      <w:pPr>
        <w:jc w:val="both"/>
        <w:ind w:firstLine="1304"/>
        <w:spacing w:after="0" w:line="216" w:lineRule="auto"/>
        <w:tabs>
          <w:tab w:leader="none" w:pos="15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Issuance of Common Stock</w:t>
      </w:r>
      <w:r>
        <w:rPr>
          <w:rFonts w:ascii="Times New Roman" w:cs="Times New Roman" w:eastAsia="Times New Roman" w:hAnsi="Times New Roman"/>
          <w:sz w:val="20"/>
          <w:szCs w:val="20"/>
          <w:color w:val="auto"/>
        </w:rPr>
        <w:t>. The Company shall not be required to record the ownership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of shares of Common Stock issued upon the settlement of vested Earned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Earned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0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w:t>
      </w:r>
      <w:r>
        <w:rPr>
          <w:rFonts w:ascii="Times New Roman" w:cs="Times New Roman" w:eastAsia="Times New Roman" w:hAnsi="Times New Roman"/>
          <w:sz w:val="20"/>
          <w:szCs w:val="20"/>
          <w:color w:val="auto"/>
        </w:rPr>
        <w:t>. Whenever the word “Participant” is used in any provision of this Restricted Stock Unit Agreement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where the provision should logically be construed to apply to the executors, the administrators, or the person or persons to whom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1001247.3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be transferred in accordance with Section 14(b) of the Plan, the word “Participant” shall be deemed to include such person or persons.</w:t>
      </w:r>
    </w:p>
    <w:p>
      <w:pPr>
        <w:spacing w:after="0" w:line="171" w:lineRule="exact"/>
        <w:rPr>
          <w:sz w:val="20"/>
          <w:szCs w:val="20"/>
          <w:color w:val="auto"/>
        </w:rPr>
      </w:pPr>
    </w:p>
    <w:p>
      <w:pPr>
        <w:jc w:val="both"/>
        <w:ind w:firstLine="1304"/>
        <w:spacing w:after="0" w:line="220" w:lineRule="auto"/>
        <w:tabs>
          <w:tab w:leader="none" w:pos="149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49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Restricted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507"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color w:val="auto"/>
        </w:rPr>
        <w:t>. The Participant must pay to the Company any amount that the Company determines it is required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withhold under applicable federal, state or local or foreign tax laws in respect of the vesting and settlement of the shares of Common Stock underlying the Restricted Stock Units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payment of such proceeds is then made to the Company upon settlement of such sale, or</w:t>
      </w:r>
    </w:p>
    <w:p>
      <w:pPr>
        <w:spacing w:after="0" w:line="1" w:lineRule="exact"/>
        <w:rPr>
          <w:rFonts w:ascii="Times New Roman" w:cs="Times New Roman" w:eastAsia="Times New Roman" w:hAnsi="Times New Roman"/>
          <w:sz w:val="19"/>
          <w:szCs w:val="19"/>
          <w:color w:val="auto"/>
        </w:rPr>
      </w:pPr>
    </w:p>
    <w:p>
      <w:pPr>
        <w:jc w:val="both"/>
        <w:ind w:firstLine="8"/>
        <w:spacing w:after="0" w:line="218" w:lineRule="auto"/>
        <w:tabs>
          <w:tab w:leader="none" w:pos="36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withholding a number of shares of Common Stock issuable under the Restricted Stock Units;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Committee may, in its sole discretion, direct that such withholding obligation be satisfied by any other method described in Section 14 of the Plan.</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593"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7" w:lineRule="exact"/>
        <w:rPr>
          <w:rFonts w:ascii="Times New Roman" w:cs="Times New Roman" w:eastAsia="Times New Roman" w:hAnsi="Times New Roman"/>
          <w:sz w:val="20"/>
          <w:szCs w:val="20"/>
          <w:color w:val="auto"/>
        </w:rPr>
      </w:pPr>
    </w:p>
    <w:p>
      <w:pPr>
        <w:ind w:firstLine="1304"/>
        <w:spacing w:after="0" w:line="245" w:lineRule="auto"/>
        <w:tabs>
          <w:tab w:leader="none" w:pos="1585"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other service provider to the Company or any of its Subsidiaries.</w:t>
      </w:r>
    </w:p>
    <w:p>
      <w:pPr>
        <w:spacing w:after="0" w:line="151" w:lineRule="exact"/>
        <w:rPr>
          <w:rFonts w:ascii="Times New Roman" w:cs="Times New Roman" w:eastAsia="Times New Roman" w:hAnsi="Times New Roman"/>
          <w:sz w:val="20"/>
          <w:szCs w:val="20"/>
          <w:color w:val="auto"/>
        </w:rPr>
      </w:pPr>
    </w:p>
    <w:p>
      <w:pPr>
        <w:ind w:firstLine="1304"/>
        <w:spacing w:after="0" w:line="235" w:lineRule="auto"/>
        <w:tabs>
          <w:tab w:leader="none" w:pos="160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1001247.3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5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constitute a waiver with respect to any subsequent occurrences or transactions hereunder unless such waiver specifically states that it is to be construed as a continuing waiver.</w:t>
      </w:r>
    </w:p>
    <w:p>
      <w:pPr>
        <w:spacing w:after="0" w:line="157" w:lineRule="exact"/>
        <w:rPr>
          <w:sz w:val="20"/>
          <w:szCs w:val="20"/>
          <w:color w:val="auto"/>
        </w:rPr>
      </w:pPr>
    </w:p>
    <w:p>
      <w:pPr>
        <w:jc w:val="both"/>
        <w:ind w:firstLine="1304"/>
        <w:spacing w:after="0" w:line="222" w:lineRule="auto"/>
        <w:tabs>
          <w:tab w:leader="none" w:pos="160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 Forfeiture</w:t>
      </w:r>
      <w:r>
        <w:rPr>
          <w:rFonts w:ascii="Times New Roman" w:cs="Times New Roman" w:eastAsia="Times New Roman" w:hAnsi="Times New Roman"/>
          <w:sz w:val="19"/>
          <w:szCs w:val="19"/>
          <w:color w:val="auto"/>
        </w:rPr>
        <w:t>. Notwithstanding anything to the contrary contained herein or in the Plan, if the Participant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Times New Roman" w:cs="Times New Roman" w:eastAsia="Times New Roman" w:hAnsi="Times New Roman"/>
          <w:sz w:val="19"/>
          <w:szCs w:val="19"/>
          <w:u w:val="single" w:color="auto"/>
          <w:color w:val="auto"/>
        </w:rPr>
        <w:t>Detrimental Activity</w:t>
      </w:r>
      <w:r>
        <w:rPr>
          <w:rFonts w:ascii="Times New Roman" w:cs="Times New Roman" w:eastAsia="Times New Roman" w:hAnsi="Times New Roman"/>
          <w:sz w:val="19"/>
          <w:szCs w:val="19"/>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167" w:lineRule="exact"/>
        <w:rPr>
          <w:rFonts w:ascii="Times New Roman" w:cs="Times New Roman" w:eastAsia="Times New Roman" w:hAnsi="Times New Roman"/>
          <w:sz w:val="19"/>
          <w:szCs w:val="19"/>
          <w:color w:val="auto"/>
        </w:rPr>
      </w:pPr>
    </w:p>
    <w:p>
      <w:pPr>
        <w:jc w:val="both"/>
        <w:ind w:firstLine="1304"/>
        <w:spacing w:after="0" w:line="218" w:lineRule="auto"/>
        <w:tabs>
          <w:tab w:leader="none" w:pos="160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Restricted Stock Unit Agreement shall be construed and interpreted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60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 The Restricted Stock Units granted hereunder, and the shares of Common Stock issued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upon settlement of vested Earned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162"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pursuant to the “short-term deferral” rule applicable to such section, as set forth in the regulations or other guidance published by the Internal Revenue Service thereunder.</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63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Transmission Acknowledgement</w:t>
      </w:r>
      <w:r>
        <w:rPr>
          <w:rFonts w:ascii="Times New Roman" w:cs="Times New Roman" w:eastAsia="Times New Roman" w:hAnsi="Times New Roman"/>
          <w:sz w:val="20"/>
          <w:szCs w:val="20"/>
          <w:color w:val="auto"/>
        </w:rPr>
        <w:t>. To the extent necessary, the Participant authorizes, agrees and unambiguously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1001247.3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50" w:lineRule="exact"/>
        <w:rPr>
          <w:sz w:val="20"/>
          <w:szCs w:val="20"/>
          <w:color w:val="auto"/>
        </w:rPr>
      </w:pPr>
    </w:p>
    <w:p>
      <w:pPr>
        <w:jc w:val="both"/>
        <w:ind w:firstLine="1304"/>
        <w:spacing w:after="0" w:line="216" w:lineRule="auto"/>
        <w:tabs>
          <w:tab w:leader="none" w:pos="15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20"/>
          <w:szCs w:val="20"/>
          <w:u w:val="single" w:color="auto"/>
          <w:color w:val="auto"/>
        </w:rPr>
        <w:t>Restricted Stock Unit Governing Documents</w:t>
      </w:r>
      <w:r>
        <w:rPr>
          <w:rFonts w:ascii="Times New Roman" w:cs="Times New Roman" w:eastAsia="Times New Roman" w:hAnsi="Times New Roman"/>
          <w:sz w:val="20"/>
          <w:szCs w:val="20"/>
          <w:color w:val="auto"/>
        </w:rPr>
        <w:t>”), the Restricted Stock Unit Governing Documents shall control.</w:t>
      </w:r>
    </w:p>
    <w:p>
      <w:pPr>
        <w:spacing w:after="0" w:line="171" w:lineRule="exact"/>
        <w:rPr>
          <w:rFonts w:ascii="Times New Roman" w:cs="Times New Roman" w:eastAsia="Times New Roman" w:hAnsi="Times New Roman"/>
          <w:sz w:val="20"/>
          <w:szCs w:val="20"/>
          <w:color w:val="auto"/>
        </w:rPr>
      </w:pPr>
    </w:p>
    <w:p>
      <w:pPr>
        <w:jc w:val="both"/>
        <w:ind w:firstLine="1304"/>
        <w:spacing w:after="0" w:line="232" w:lineRule="auto"/>
        <w:tabs>
          <w:tab w:leader="none" w:pos="15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The Restricted Stock Unit Governing Documents constitute the entire agreement of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1001247.3</w:t>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CEO – Time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OPTION GRANT NOTICE</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94"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Academy Sports and Outdoors,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grants to the Participant set forth below the number of Options set forth below at an Exercise Price per share as set forth below pursuant to its 2020 Omnibus Incentive Plan, as it may be amended and</w:t>
      </w:r>
    </w:p>
    <w:p>
      <w:pPr>
        <w:spacing w:after="0" w:line="222" w:lineRule="auto"/>
        <w:rPr>
          <w:sz w:val="20"/>
          <w:szCs w:val="20"/>
          <w:color w:val="auto"/>
        </w:rPr>
      </w:pPr>
      <w:r>
        <w:rPr>
          <w:rFonts w:ascii="Times New Roman" w:cs="Times New Roman" w:eastAsia="Times New Roman" w:hAnsi="Times New Roman"/>
          <w:sz w:val="19"/>
          <w:szCs w:val="19"/>
          <w:color w:val="auto"/>
        </w:rPr>
        <w:t>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The Options are subject to all of the terms and conditions as set forth herein, in the Option Agreement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First Name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Last Name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Date of grant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Number of Options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Number of Options Granted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b w:val="1"/>
          <w:bCs w:val="1"/>
          <w:color w:val="auto"/>
        </w:rPr>
        <w:t>Exercise Price per Share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Closing stock price on date of grant</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0"/>
          <w:szCs w:val="20"/>
          <w:b w:val="1"/>
          <w:bCs w:val="1"/>
          <w:color w:val="auto"/>
        </w:rPr>
        <w:t>Option Period Expiration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anniversary of Date of Grant</w:t>
      </w:r>
    </w:p>
    <w:p>
      <w:pPr>
        <w:spacing w:after="0" w:line="13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Type of Option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18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OPTION AGREEMENT. PARTICIPANT MAY REJECT THIS AWARD OF OPTIONS BY NOTIFYING THE COMPANY NO LATER THAN THE FIFTH BUSINESS DAY FOLLOWING RECEIPT OF THIS AWARD DOCUMENT. FAILURE TO REJECT THIS AWARD OF OPTIONS WITHIN SUCH 5-DAY PERIOD SHALL BE DEEMED ACCEPTANCE OF THIS AWARD OF OPTIONS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6"/>
          <w:szCs w:val="16"/>
          <w:color w:val="auto"/>
        </w:rPr>
        <w:t>1001243.3</w:t>
      </w:r>
    </w:p>
    <w:p>
      <w:pPr>
        <w:sectPr>
          <w:pgSz w:w="11900" w:h="16838" w:orient="portrait"/>
          <w:cols w:equalWidth="0" w:num="1">
            <w:col w:w="11240"/>
          </w:cols>
          <w:pgMar w:left="320" w:top="104" w:right="339" w:bottom="1440" w:gutter="0" w:footer="0" w:header="0"/>
        </w:sectPr>
      </w:pPr>
    </w:p>
    <w:bookmarkStart w:id="42" w:name="page43"/>
    <w:bookmarkEnd w:id="42"/>
    <w:p>
      <w:pPr>
        <w:spacing w:after="0" w:line="3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OPTION AGREEMENT</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Pursuant to the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Option Agreement (this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and the Academy Sports and Outdoors, Inc. 2020 Omnibus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45" w:lineRule="exact"/>
        <w:rPr>
          <w:sz w:val="20"/>
          <w:szCs w:val="20"/>
          <w:color w:val="auto"/>
        </w:rPr>
      </w:pPr>
    </w:p>
    <w:p>
      <w:pPr>
        <w:jc w:val="both"/>
        <w:ind w:firstLine="1304"/>
        <w:spacing w:after="0" w:line="220" w:lineRule="auto"/>
        <w:tabs>
          <w:tab w:leader="none" w:pos="149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color w:val="auto"/>
        </w:rPr>
        <w:t>. Each Option granted to the Participant pursuant to the Grant Notice represents the right to purchase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47"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Options shall vest as provided in the Grant Notice.</w:t>
      </w:r>
    </w:p>
    <w:p>
      <w:pPr>
        <w:spacing w:after="0" w:line="200" w:lineRule="exact"/>
        <w:rPr>
          <w:rFonts w:ascii="Times New Roman" w:cs="Times New Roman" w:eastAsia="Times New Roman" w:hAnsi="Times New Roman"/>
          <w:sz w:val="19"/>
          <w:szCs w:val="19"/>
          <w:color w:val="auto"/>
        </w:rPr>
      </w:pPr>
    </w:p>
    <w:p>
      <w:pPr>
        <w:jc w:val="both"/>
        <w:ind w:firstLine="1304"/>
        <w:spacing w:after="0" w:line="220" w:lineRule="auto"/>
        <w:tabs>
          <w:tab w:leader="none" w:pos="1494"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Exercise of Options Following Termination</w:t>
      </w:r>
      <w:r>
        <w:rPr>
          <w:rFonts w:ascii="Times New Roman" w:cs="Times New Roman" w:eastAsia="Times New Roman" w:hAnsi="Times New Roman"/>
          <w:sz w:val="19"/>
          <w:szCs w:val="19"/>
          <w:color w:val="auto"/>
        </w:rPr>
        <w:t>. Except as otherwise provided in the Grant Notice or as otherwise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by the 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(D) a Participant’s Termination by reason of Retirement, each outstanding Option shall remain outstanding and exercisable until one</w:t>
      </w:r>
    </w:p>
    <w:p>
      <w:pPr>
        <w:spacing w:after="0" w:line="3" w:lineRule="exact"/>
        <w:rPr>
          <w:rFonts w:ascii="Times New Roman" w:cs="Times New Roman" w:eastAsia="Times New Roman" w:hAnsi="Times New Roman"/>
          <w:sz w:val="19"/>
          <w:szCs w:val="19"/>
          <w:color w:val="auto"/>
        </w:rPr>
      </w:pPr>
    </w:p>
    <w:p>
      <w:pPr>
        <w:ind w:left="320" w:hanging="312"/>
        <w:spacing w:after="0" w:line="211" w:lineRule="auto"/>
        <w:tabs>
          <w:tab w:leader="none" w:pos="3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after the final vesting date applicable to such Option (but in no event beyond the expiration of the Option Period); and (E) a</w:t>
      </w:r>
    </w:p>
    <w:p>
      <w:pPr>
        <w:spacing w:after="0" w:line="211" w:lineRule="auto"/>
        <w:rPr>
          <w:sz w:val="20"/>
          <w:szCs w:val="20"/>
          <w:color w:val="auto"/>
        </w:rPr>
      </w:pPr>
      <w:r>
        <w:rPr>
          <w:rFonts w:ascii="Times New Roman" w:cs="Times New Roman" w:eastAsia="Times New Roman" w:hAnsi="Times New Roman"/>
          <w:sz w:val="20"/>
          <w:szCs w:val="20"/>
          <w:color w:val="auto"/>
        </w:rPr>
        <w:t>Participant’s Termination for any other reason (including, for the avoidance of doubt, termination by the Service Recipient without Cause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the Participant for Good Reason), each outstanding unvested Option granted to such Participant shall immediately terminate and expire, and each outstanding vested Option shall remain exercisable for one hundred eighty (180) days thereafter (but in no event beyond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expiration of the Option Period).</w:t>
      </w:r>
    </w:p>
    <w:p>
      <w:pPr>
        <w:spacing w:after="0" w:line="163" w:lineRule="exact"/>
        <w:rPr>
          <w:sz w:val="20"/>
          <w:szCs w:val="20"/>
          <w:color w:val="auto"/>
        </w:rPr>
      </w:pPr>
    </w:p>
    <w:p>
      <w:pPr>
        <w:jc w:val="both"/>
        <w:ind w:firstLine="1304"/>
        <w:spacing w:after="0" w:line="213" w:lineRule="auto"/>
        <w:tabs>
          <w:tab w:leader="none" w:pos="149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Exercising Options</w:t>
      </w:r>
      <w:r>
        <w:rPr>
          <w:rFonts w:ascii="Times New Roman" w:cs="Times New Roman" w:eastAsia="Times New Roman" w:hAnsi="Times New Roman"/>
          <w:sz w:val="20"/>
          <w:szCs w:val="20"/>
          <w:color w:val="auto"/>
        </w:rPr>
        <w:t>. The Options may be exercised by the delivery of notice of the number of Options that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Participant shall obtain written consent from the Committee prior to the use of the method described in Section 7(d)(ii)(A) of the Plan.</w:t>
      </w:r>
    </w:p>
    <w:p>
      <w:pPr>
        <w:spacing w:after="0" w:line="162"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0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Issuance of Shares of Common Stock</w:t>
      </w:r>
      <w:r>
        <w:rPr>
          <w:rFonts w:ascii="Times New Roman" w:cs="Times New Roman" w:eastAsia="Times New Roman" w:hAnsi="Times New Roman"/>
          <w:sz w:val="20"/>
          <w:szCs w:val="20"/>
          <w:color w:val="auto"/>
        </w:rPr>
        <w:t>. Following the exercise of an Option hereunder, as promptly as practical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of such notification and full payment of such Exercise Price and any required income or other tax withholding amount (as provided in Section 10 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1001243.3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shall issue or transfer, or cause such issue or transfer, to the Participant the number of shares of Common Stock with respect to</w:t>
      </w:r>
    </w:p>
    <w:p>
      <w:pPr>
        <w:spacing w:after="0" w:line="204" w:lineRule="auto"/>
        <w:rPr>
          <w:sz w:val="20"/>
          <w:szCs w:val="20"/>
          <w:color w:val="auto"/>
        </w:rPr>
      </w:pPr>
      <w:r>
        <w:rPr>
          <w:rFonts w:ascii="Times New Roman" w:cs="Times New Roman" w:eastAsia="Times New Roman" w:hAnsi="Times New Roman"/>
          <w:sz w:val="20"/>
          <w:szCs w:val="20"/>
          <w:color w:val="auto"/>
        </w:rPr>
        <w:t>which the Options have been so exercised, and shall either (a) deliver, or cause to be delivered, to the Participant a certificate or certificates therefor, registered in the Participant’s name or (b) cause such shares of Common Stock to be credited to the Participant’s account 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third-party plan administrator.</w:t>
      </w:r>
    </w:p>
    <w:p>
      <w:pPr>
        <w:spacing w:after="0" w:line="163" w:lineRule="exact"/>
        <w:rPr>
          <w:sz w:val="20"/>
          <w:szCs w:val="20"/>
          <w:color w:val="auto"/>
        </w:rPr>
      </w:pPr>
    </w:p>
    <w:p>
      <w:pPr>
        <w:jc w:val="both"/>
        <w:ind w:firstLine="1304"/>
        <w:spacing w:after="0" w:line="214" w:lineRule="auto"/>
        <w:tabs>
          <w:tab w:leader="none" w:pos="153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Issuance of Common Stock</w:t>
      </w:r>
      <w:r>
        <w:rPr>
          <w:rFonts w:ascii="Times New Roman" w:cs="Times New Roman" w:eastAsia="Times New Roman" w:hAnsi="Times New Roman"/>
          <w:sz w:val="20"/>
          <w:szCs w:val="20"/>
          <w:color w:val="auto"/>
        </w:rPr>
        <w:t>. The Company shall not be required to record the ownership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of shares of 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spacing w:after="0" w:line="157" w:lineRule="exact"/>
        <w:rPr>
          <w:rFonts w:ascii="Times New Roman" w:cs="Times New Roman" w:eastAsia="Times New Roman" w:hAnsi="Times New Roman"/>
          <w:sz w:val="20"/>
          <w:szCs w:val="20"/>
          <w:color w:val="auto"/>
        </w:rPr>
      </w:pPr>
    </w:p>
    <w:p>
      <w:pPr>
        <w:jc w:val="both"/>
        <w:ind w:firstLine="1304"/>
        <w:spacing w:after="0" w:line="239" w:lineRule="auto"/>
        <w:tabs>
          <w:tab w:leader="none" w:pos="1507"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Participant</w:t>
      </w:r>
      <w:r>
        <w:rPr>
          <w:rFonts w:ascii="Times New Roman" w:cs="Times New Roman" w:eastAsia="Times New Roman" w:hAnsi="Times New Roman"/>
          <w:sz w:val="19"/>
          <w:szCs w:val="19"/>
          <w:color w:val="auto"/>
        </w:rPr>
        <w:t>. Whenever the word “Participant” is used in any provision of this Option Agreement under circumstances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where the provision should logically be construed to apply to the executors, the administrators, or the person or persons to whom the Options may be transferred in accordance with Section 14(b) of the Plan, the word “Participant” shall be deemed to include such person or persons.</w:t>
      </w:r>
    </w:p>
    <w:p>
      <w:pPr>
        <w:spacing w:after="0" w:line="157" w:lineRule="exact"/>
        <w:rPr>
          <w:rFonts w:ascii="Times New Roman" w:cs="Times New Roman" w:eastAsia="Times New Roman" w:hAnsi="Times New Roman"/>
          <w:sz w:val="19"/>
          <w:szCs w:val="19"/>
          <w:color w:val="auto"/>
        </w:rPr>
      </w:pPr>
    </w:p>
    <w:p>
      <w:pPr>
        <w:jc w:val="both"/>
        <w:ind w:firstLine="1304"/>
        <w:spacing w:after="0" w:line="220" w:lineRule="auto"/>
        <w:tabs>
          <w:tab w:leader="none" w:pos="153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Options are not transferable by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to the extent permitted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in 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4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4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shall have no rights as a shareholder with respect to any share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covered by an 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60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Concurrently with the exercise of an Option, the Participant must pay to the Company any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Company determines it is required to withhold under applicable federal, state or local or foreign tax laws in respect of the exercise or the transfer of the shares of Common Stock in connection therewith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upon settlement of such sale, or (iii) through withholding a number of shares of Common Stock issuable upon exercise of the Option;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Committee may, in its sole discretion, direct that such withholding obligation be satisfied by any other method described in Section 14 of the Plan.</w:t>
      </w:r>
    </w:p>
    <w:p>
      <w:pPr>
        <w:spacing w:after="0" w:line="159" w:lineRule="exact"/>
        <w:rPr>
          <w:rFonts w:ascii="Times New Roman" w:cs="Times New Roman" w:eastAsia="Times New Roman" w:hAnsi="Times New Roman"/>
          <w:sz w:val="20"/>
          <w:szCs w:val="20"/>
          <w:color w:val="auto"/>
        </w:rPr>
      </w:pPr>
    </w:p>
    <w:p>
      <w:pPr>
        <w:jc w:val="both"/>
        <w:ind w:firstLine="1304"/>
        <w:spacing w:after="0" w:line="223" w:lineRule="auto"/>
        <w:tabs>
          <w:tab w:leader="none" w:pos="163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Option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1001243.3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mailed or delivered to the Company at its principal executive office, to the attention of the Company’s Compensation Department, and all</w:t>
      </w:r>
    </w:p>
    <w:p>
      <w:pPr>
        <w:spacing w:after="0" w:line="204" w:lineRule="auto"/>
        <w:rPr>
          <w:sz w:val="20"/>
          <w:szCs w:val="20"/>
          <w:color w:val="auto"/>
        </w:rPr>
      </w:pPr>
      <w:r>
        <w:rPr>
          <w:rFonts w:ascii="Times New Roman" w:cs="Times New Roman" w:eastAsia="Times New Roman" w:hAnsi="Times New Roman"/>
          <w:sz w:val="20"/>
          <w:szCs w:val="20"/>
          <w:color w:val="auto"/>
        </w:rPr>
        <w:t>notices or communications by the Company to the Participant may be given to the Participant personally or may be mailed to the Participant at the Participant’s last known address, as reflected in the Company’s records. Notwithstanding the above, all notices and communications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5" w:lineRule="exact"/>
        <w:rPr>
          <w:sz w:val="20"/>
          <w:szCs w:val="20"/>
          <w:color w:val="auto"/>
        </w:rPr>
      </w:pPr>
    </w:p>
    <w:p>
      <w:pPr>
        <w:ind w:firstLine="1304"/>
        <w:spacing w:after="0" w:line="245"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Option Agreement does not confer upon the Participant any right to continue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or service provider to the Company or any of its Subsidiaries.</w:t>
      </w:r>
    </w:p>
    <w:p>
      <w:pPr>
        <w:spacing w:after="0" w:line="136"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Option Agreement shall be binding upon the heirs, executors, administrators and successors of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parties hereto.</w:t>
      </w:r>
    </w:p>
    <w:p>
      <w:pPr>
        <w:spacing w:after="0" w:line="162" w:lineRule="exact"/>
        <w:rPr>
          <w:rFonts w:ascii="Times New Roman" w:cs="Times New Roman" w:eastAsia="Times New Roman" w:hAnsi="Times New Roman"/>
          <w:sz w:val="20"/>
          <w:szCs w:val="20"/>
          <w:color w:val="auto"/>
        </w:rPr>
      </w:pPr>
    </w:p>
    <w:p>
      <w:pPr>
        <w:jc w:val="both"/>
        <w:ind w:firstLine="1304"/>
        <w:spacing w:after="0" w:line="218"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Option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57" w:lineRule="exact"/>
        <w:rPr>
          <w:rFonts w:ascii="Times New Roman" w:cs="Times New Roman" w:eastAsia="Times New Roman" w:hAnsi="Times New Roman"/>
          <w:sz w:val="20"/>
          <w:szCs w:val="20"/>
          <w:color w:val="auto"/>
        </w:rPr>
      </w:pPr>
    </w:p>
    <w:p>
      <w:pPr>
        <w:jc w:val="both"/>
        <w:ind w:firstLine="1304"/>
        <w:spacing w:after="0" w:line="211" w:lineRule="auto"/>
        <w:tabs>
          <w:tab w:leader="none" w:pos="160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 Forfeiture</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then the Committee may, in its sole discretion, take actions permitted under the Plan, including: (a) canceling the Options, or (b)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 recoupment to the extent necessary to comply with applicable law. “</w:t>
      </w: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166" w:lineRule="exact"/>
        <w:rPr>
          <w:rFonts w:ascii="Times New Roman" w:cs="Times New Roman" w:eastAsia="Times New Roman" w:hAnsi="Times New Roman"/>
          <w:sz w:val="20"/>
          <w:szCs w:val="20"/>
          <w:color w:val="auto"/>
        </w:rPr>
      </w:pPr>
    </w:p>
    <w:p>
      <w:pPr>
        <w:jc w:val="both"/>
        <w:ind w:firstLine="1304"/>
        <w:spacing w:after="0" w:line="218"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Option Agreement shall be construed and interpreted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Houston, Texas.</w:t>
      </w:r>
    </w:p>
    <w:p>
      <w:pPr>
        <w:spacing w:after="0" w:line="157" w:lineRule="exact"/>
        <w:rPr>
          <w:rFonts w:ascii="Times New Roman" w:cs="Times New Roman" w:eastAsia="Times New Roman" w:hAnsi="Times New Roman"/>
          <w:sz w:val="20"/>
          <w:szCs w:val="20"/>
          <w:color w:val="auto"/>
        </w:rPr>
      </w:pPr>
    </w:p>
    <w:p>
      <w:pPr>
        <w:jc w:val="both"/>
        <w:ind w:firstLine="1304"/>
        <w:spacing w:after="0" w:line="217"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 The Options granted hereunder, and the shares of Common Stock issued to the Participant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of the 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1001243.3</w:t>
      </w:r>
    </w:p>
    <w:p>
      <w:pPr>
        <w:sectPr>
          <w:pgSz w:w="11900" w:h="16838" w:orient="portrait"/>
          <w:cols w:equalWidth="0" w:num="1">
            <w:col w:w="11240"/>
          </w:cols>
          <w:pgMar w:left="320" w:top="1440" w:right="339" w:bottom="1440" w:gutter="0" w:footer="0" w:header="0"/>
        </w:sectPr>
      </w:pPr>
    </w:p>
    <w:bookmarkStart w:id="45" w:name="page46"/>
    <w:bookmarkEnd w:id="45"/>
    <w:p>
      <w:pPr>
        <w:spacing w:after="0" w:line="3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govern and prevail. The provisions of this Option Agreement shall survive the termination of this Award to the extent consistent with, or necessary to carry out, the purposes thereof.</w:t>
      </w:r>
    </w:p>
    <w:p>
      <w:pPr>
        <w:spacing w:after="0" w:line="144" w:lineRule="exact"/>
        <w:rPr>
          <w:sz w:val="20"/>
          <w:szCs w:val="20"/>
          <w:color w:val="auto"/>
        </w:rPr>
      </w:pPr>
    </w:p>
    <w:p>
      <w:pPr>
        <w:jc w:val="both"/>
        <w:ind w:firstLine="1304"/>
        <w:spacing w:after="0" w:line="223" w:lineRule="auto"/>
        <w:tabs>
          <w:tab w:leader="none" w:pos="15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63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Transmission Acknowledgement</w:t>
      </w:r>
      <w:r>
        <w:rPr>
          <w:rFonts w:ascii="Times New Roman" w:cs="Times New Roman" w:eastAsia="Times New Roman" w:hAnsi="Times New Roman"/>
          <w:sz w:val="20"/>
          <w:szCs w:val="20"/>
          <w:color w:val="auto"/>
        </w:rPr>
        <w:t>. To the extent necessary, the Participant authorizes, agrees and unambiguously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44" w:lineRule="exact"/>
        <w:rPr>
          <w:rFonts w:ascii="Times New Roman" w:cs="Times New Roman" w:eastAsia="Times New Roman" w:hAnsi="Times New Roman"/>
          <w:sz w:val="20"/>
          <w:szCs w:val="20"/>
          <w:color w:val="auto"/>
        </w:rPr>
      </w:pPr>
    </w:p>
    <w:p>
      <w:pPr>
        <w:jc w:val="both"/>
        <w:ind w:firstLine="1304"/>
        <w:spacing w:after="0" w:line="219" w:lineRule="auto"/>
        <w:tabs>
          <w:tab w:leader="none" w:pos="15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Times New Roman" w:cs="Times New Roman" w:eastAsia="Times New Roman" w:hAnsi="Times New Roman"/>
          <w:sz w:val="20"/>
          <w:szCs w:val="20"/>
          <w:u w:val="single" w:color="auto"/>
          <w:color w:val="auto"/>
        </w:rPr>
        <w:t>Option Governing Documents</w:t>
      </w:r>
      <w:r>
        <w:rPr>
          <w:rFonts w:ascii="Times New Roman" w:cs="Times New Roman" w:eastAsia="Times New Roman" w:hAnsi="Times New Roman"/>
          <w:sz w:val="20"/>
          <w:szCs w:val="20"/>
          <w:color w:val="auto"/>
        </w:rPr>
        <w:t>”), the Option Governing Documents shall control.</w:t>
      </w:r>
    </w:p>
    <w:p>
      <w:pPr>
        <w:spacing w:after="0" w:line="171" w:lineRule="exact"/>
        <w:rPr>
          <w:rFonts w:ascii="Times New Roman" w:cs="Times New Roman" w:eastAsia="Times New Roman" w:hAnsi="Times New Roman"/>
          <w:sz w:val="20"/>
          <w:szCs w:val="20"/>
          <w:color w:val="auto"/>
        </w:rPr>
      </w:pPr>
    </w:p>
    <w:p>
      <w:pPr>
        <w:jc w:val="both"/>
        <w:ind w:firstLine="1304"/>
        <w:spacing w:after="0" w:line="232" w:lineRule="auto"/>
        <w:tabs>
          <w:tab w:leader="none" w:pos="15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The Option Governing Documents constitute the entire agreement of the parties hereto in respect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1001243.3</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ind w:left="3600"/>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9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Academy Sports and Outdoors,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grants to the Participant set forth below the number of Restricted Stock Units set forth below pursuant to its 2020 Omnibus Incentive Plan, as it may be amended and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The</w:t>
      </w:r>
    </w:p>
    <w:p>
      <w:pPr>
        <w:spacing w:after="0" w:line="211" w:lineRule="auto"/>
        <w:rPr>
          <w:sz w:val="20"/>
          <w:szCs w:val="20"/>
          <w:color w:val="auto"/>
        </w:rPr>
      </w:pPr>
      <w:r>
        <w:rPr>
          <w:rFonts w:ascii="Times New Roman" w:cs="Times New Roman" w:eastAsia="Times New Roman" w:hAnsi="Times New Roman"/>
          <w:sz w:val="20"/>
          <w:szCs w:val="20"/>
          <w:color w:val="auto"/>
        </w:rPr>
        <w:t>Restricted Stock Units are subject to all of the terms and conditions as set forth herein, in the Restricted Stock Unit Agreement (attached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First Name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Last Name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Date of Grant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tabs>
          <w:tab w:leader="none" w:pos="2460" w:val="left"/>
        </w:tabs>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Number of Restricted Stock Units Granted</w:t>
      </w:r>
      <w:r>
        <w:rPr>
          <w:rFonts w:ascii="Times New Roman" w:cs="Times New Roman" w:eastAsia="Times New Roman" w:hAnsi="Times New Roman"/>
          <w:sz w:val="19"/>
          <w:szCs w:val="19"/>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r>
              <w:rPr>
                <w:rFonts w:ascii="Times New Roman" w:cs="Times New Roman" w:eastAsia="Times New Roman" w:hAnsi="Times New Roman"/>
                <w:sz w:val="20"/>
                <w:szCs w:val="20"/>
                <w:color w:val="auto"/>
              </w:rPr>
              <w:t>:</w:t>
            </w:r>
          </w:p>
        </w:tc>
        <w:tc>
          <w:tcPr>
            <w:tcW w:w="3460" w:type="dxa"/>
            <w:vAlign w:val="bottom"/>
            <w:gridSpan w:val="3"/>
          </w:tcPr>
          <w:p>
            <w:pPr>
              <w:ind w:left="780"/>
              <w:spacing w:after="0"/>
              <w:rPr>
                <w:sz w:val="20"/>
                <w:szCs w:val="20"/>
                <w:color w:val="auto"/>
              </w:rPr>
            </w:pPr>
            <w:r>
              <w:rPr>
                <w:rFonts w:ascii="Times New Roman" w:cs="Times New Roman" w:eastAsia="Times New Roman" w:hAnsi="Times New Roman"/>
                <w:sz w:val="20"/>
                <w:szCs w:val="20"/>
                <w:color w:val="auto"/>
              </w:rPr>
              <w:t>January 30, 2022</w:t>
            </w:r>
          </w:p>
        </w:tc>
        <w:tc>
          <w:tcPr>
            <w:tcW w:w="0" w:type="dxa"/>
            <w:vAlign w:val="bottom"/>
          </w:tcPr>
          <w:p>
            <w:pPr>
              <w:spacing w:after="0"/>
              <w:rPr>
                <w:sz w:val="1"/>
                <w:szCs w:val="1"/>
                <w:color w:val="auto"/>
              </w:rPr>
            </w:pPr>
          </w:p>
        </w:tc>
      </w:tr>
      <w:tr>
        <w:trPr>
          <w:trHeight w:val="372"/>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Earning Criteria:</w:t>
            </w:r>
          </w:p>
        </w:tc>
        <w:tc>
          <w:tcPr>
            <w:tcW w:w="34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8"/>
              </w:rPr>
              <w:t>Set forth on Appendix A attached hereto.</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p>
        </w:tc>
        <w:tc>
          <w:tcPr>
            <w:tcW w:w="12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vMerge w:val="continue"/>
          </w:tcPr>
          <w:p>
            <w:pPr>
              <w:spacing w:after="0"/>
              <w:rPr>
                <w:sz w:val="24"/>
                <w:szCs w:val="24"/>
                <w:color w:val="auto"/>
              </w:rPr>
            </w:pPr>
          </w:p>
        </w:tc>
        <w:tc>
          <w:tcPr>
            <w:tcW w:w="34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8"/>
              </w:rPr>
              <w:t>Set forth on Appendix A attached hereto.</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ectPr>
          <w:pgSz w:w="11900" w:h="16838" w:orient="portrait"/>
          <w:cols w:equalWidth="0" w:num="1">
            <w:col w:w="11240"/>
          </w:cols>
          <w:pgMar w:left="320" w:top="104" w:right="339" w:bottom="1440" w:gutter="0" w:footer="0" w:header="0"/>
        </w:sectPr>
      </w:pPr>
    </w:p>
    <w:bookmarkStart w:id="47" w:name="page48"/>
    <w:bookmarkEnd w:id="47"/>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5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Unit Agreement (this “</w:t>
      </w:r>
      <w:r>
        <w:rPr>
          <w:rFonts w:ascii="Times New Roman" w:cs="Times New Roman" w:eastAsia="Times New Roman" w:hAnsi="Times New Roman"/>
          <w:sz w:val="20"/>
          <w:szCs w:val="20"/>
          <w:u w:val="single" w:color="auto"/>
          <w:color w:val="auto"/>
        </w:rPr>
        <w:t>Restricted Stock Unit Agreement</w:t>
      </w:r>
      <w:r>
        <w:rPr>
          <w:rFonts w:ascii="Times New Roman" w:cs="Times New Roman" w:eastAsia="Times New Roman" w:hAnsi="Times New Roman"/>
          <w:sz w:val="20"/>
          <w:szCs w:val="20"/>
          <w:color w:val="auto"/>
        </w:rPr>
        <w:t>”) and the Academy Sports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Outdoors, Inc. 2020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 as set forth in the Plan.</w:t>
      </w:r>
    </w:p>
    <w:p>
      <w:pPr>
        <w:spacing w:after="0" w:line="163" w:lineRule="exact"/>
        <w:rPr>
          <w:sz w:val="20"/>
          <w:szCs w:val="20"/>
          <w:color w:val="auto"/>
        </w:rPr>
      </w:pPr>
    </w:p>
    <w:p>
      <w:pPr>
        <w:jc w:val="both"/>
        <w:ind w:firstLine="1304"/>
        <w:spacing w:after="0" w:line="217" w:lineRule="auto"/>
        <w:tabs>
          <w:tab w:leader="none" w:pos="150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Each Restricted Stock Unit granted to the Participant pursuant to the Grant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6" w:lineRule="exact"/>
        <w:rPr>
          <w:rFonts w:ascii="Times New Roman" w:cs="Times New Roman" w:eastAsia="Times New Roman" w:hAnsi="Times New Roman"/>
          <w:sz w:val="20"/>
          <w:szCs w:val="20"/>
          <w:color w:val="auto"/>
        </w:rPr>
      </w:pPr>
    </w:p>
    <w:p>
      <w:pPr>
        <w:ind w:right="20" w:firstLine="1304"/>
        <w:spacing w:after="0" w:line="235" w:lineRule="auto"/>
        <w:tabs>
          <w:tab w:leader="none" w:pos="150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Restricted Stock Units shall become earned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 as provided in the Grant Notice.</w:t>
      </w:r>
    </w:p>
    <w:p>
      <w:pPr>
        <w:spacing w:after="0" w:line="157" w:lineRule="exact"/>
        <w:rPr>
          <w:rFonts w:ascii="Times New Roman" w:cs="Times New Roman" w:eastAsia="Times New Roman" w:hAnsi="Times New Roman"/>
          <w:sz w:val="20"/>
          <w:szCs w:val="20"/>
          <w:color w:val="auto"/>
        </w:rPr>
      </w:pPr>
    </w:p>
    <w:p>
      <w:pPr>
        <w:jc w:val="both"/>
        <w:ind w:firstLine="1304"/>
        <w:spacing w:after="0" w:line="224" w:lineRule="auto"/>
        <w:tabs>
          <w:tab w:leader="none" w:pos="152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Earned Restricted Stock Units</w:t>
      </w:r>
      <w:r>
        <w:rPr>
          <w:rFonts w:ascii="Times New Roman" w:cs="Times New Roman" w:eastAsia="Times New Roman" w:hAnsi="Times New Roman"/>
          <w:sz w:val="19"/>
          <w:szCs w:val="19"/>
          <w:color w:val="auto"/>
        </w:rPr>
        <w:t>. Upon the vesting of an Earned Restricted Stock Unit hereunder,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any election by the Committee pursuant to Section 9(d)(ii) of the Plan, the Company will deliver one share of Common Stock for each Earned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62" w:lineRule="exact"/>
        <w:rPr>
          <w:rFonts w:ascii="Times New Roman" w:cs="Times New Roman" w:eastAsia="Times New Roman" w:hAnsi="Times New Roman"/>
          <w:sz w:val="19"/>
          <w:szCs w:val="19"/>
          <w:color w:val="auto"/>
        </w:rPr>
      </w:pPr>
    </w:p>
    <w:p>
      <w:pPr>
        <w:jc w:val="both"/>
        <w:ind w:firstLine="1304"/>
        <w:spacing w:after="0" w:line="235" w:lineRule="auto"/>
        <w:tabs>
          <w:tab w:leader="none" w:pos="152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Restricted Stock Units Upon Termination</w:t>
      </w:r>
      <w:r>
        <w:rPr>
          <w:rFonts w:ascii="Times New Roman" w:cs="Times New Roman" w:eastAsia="Times New Roman" w:hAnsi="Times New Roman"/>
          <w:sz w:val="19"/>
          <w:szCs w:val="19"/>
          <w:color w:val="auto"/>
        </w:rPr>
        <w:t>. Except as otherwise provided in the Grant Notice or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43" w:lineRule="exact"/>
        <w:rPr>
          <w:rFonts w:ascii="Times New Roman" w:cs="Times New Roman" w:eastAsia="Times New Roman" w:hAnsi="Times New Roman"/>
          <w:sz w:val="19"/>
          <w:szCs w:val="19"/>
          <w:color w:val="auto"/>
        </w:rPr>
      </w:pPr>
    </w:p>
    <w:p>
      <w:pPr>
        <w:jc w:val="both"/>
        <w:ind w:firstLine="1304"/>
        <w:spacing w:after="0" w:line="216" w:lineRule="auto"/>
        <w:tabs>
          <w:tab w:leader="none" w:pos="15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Issuance of Common Stock</w:t>
      </w:r>
      <w:r>
        <w:rPr>
          <w:rFonts w:ascii="Times New Roman" w:cs="Times New Roman" w:eastAsia="Times New Roman" w:hAnsi="Times New Roman"/>
          <w:sz w:val="20"/>
          <w:szCs w:val="20"/>
          <w:color w:val="auto"/>
        </w:rPr>
        <w:t>. The Company shall not be required to record the ownership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of shares of Common Stock issued upon the settlement of vested Earned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Earned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0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w:t>
      </w:r>
      <w:r>
        <w:rPr>
          <w:rFonts w:ascii="Times New Roman" w:cs="Times New Roman" w:eastAsia="Times New Roman" w:hAnsi="Times New Roman"/>
          <w:sz w:val="20"/>
          <w:szCs w:val="20"/>
          <w:color w:val="auto"/>
        </w:rPr>
        <w:t>. Whenever the word “Participant” is used in any provision of this Restricted Stock Unit Agreement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where the provision should logically be construed to apply to the executors, the administrators, or the person or persons to whom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1001246.2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be transferred in accordance with Section 14(b) of the Plan, the word “Participant” shall be deemed to include such person or persons.</w:t>
      </w:r>
    </w:p>
    <w:p>
      <w:pPr>
        <w:spacing w:after="0" w:line="171" w:lineRule="exact"/>
        <w:rPr>
          <w:sz w:val="20"/>
          <w:szCs w:val="20"/>
          <w:color w:val="auto"/>
        </w:rPr>
      </w:pPr>
    </w:p>
    <w:p>
      <w:pPr>
        <w:jc w:val="both"/>
        <w:ind w:firstLine="1304"/>
        <w:spacing w:after="0" w:line="220" w:lineRule="auto"/>
        <w:tabs>
          <w:tab w:leader="none" w:pos="149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49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Restricted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507"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color w:val="auto"/>
        </w:rPr>
        <w:t>. The Participant must pay to the Company any amount that the Company determines it is required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withhold under applicable federal, state or local or foreign tax laws in respect of the vesting and settlement of the shares of Common Stock underlying the Restricted Stock Units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payment of such proceeds is then made to the Company upon settlement of such sale, or</w:t>
      </w:r>
    </w:p>
    <w:p>
      <w:pPr>
        <w:spacing w:after="0" w:line="1" w:lineRule="exact"/>
        <w:rPr>
          <w:rFonts w:ascii="Times New Roman" w:cs="Times New Roman" w:eastAsia="Times New Roman" w:hAnsi="Times New Roman"/>
          <w:sz w:val="19"/>
          <w:szCs w:val="19"/>
          <w:color w:val="auto"/>
        </w:rPr>
      </w:pPr>
    </w:p>
    <w:p>
      <w:pPr>
        <w:jc w:val="both"/>
        <w:ind w:firstLine="8"/>
        <w:spacing w:after="0" w:line="218" w:lineRule="auto"/>
        <w:tabs>
          <w:tab w:leader="none" w:pos="36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withholding a number of shares of Common Stock issuable under the Restricted Stock Units;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Committee may, in its sole discretion, direct that such withholding obligation be satisfied by any other method described in Section 14 of the Plan.</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59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7" w:lineRule="exact"/>
        <w:rPr>
          <w:rFonts w:ascii="Times New Roman" w:cs="Times New Roman" w:eastAsia="Times New Roman" w:hAnsi="Times New Roman"/>
          <w:sz w:val="20"/>
          <w:szCs w:val="20"/>
          <w:color w:val="auto"/>
        </w:rPr>
      </w:pPr>
    </w:p>
    <w:p>
      <w:pPr>
        <w:ind w:firstLine="1304"/>
        <w:spacing w:after="0" w:line="245" w:lineRule="auto"/>
        <w:tabs>
          <w:tab w:leader="none" w:pos="1585"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other service provider to the Company or any of its Subsidiaries.</w:t>
      </w:r>
    </w:p>
    <w:p>
      <w:pPr>
        <w:spacing w:after="0" w:line="151" w:lineRule="exact"/>
        <w:rPr>
          <w:rFonts w:ascii="Times New Roman" w:cs="Times New Roman" w:eastAsia="Times New Roman" w:hAnsi="Times New Roman"/>
          <w:sz w:val="20"/>
          <w:szCs w:val="20"/>
          <w:color w:val="auto"/>
        </w:rPr>
      </w:pPr>
    </w:p>
    <w:p>
      <w:pPr>
        <w:ind w:firstLine="1304"/>
        <w:spacing w:after="0" w:line="235" w:lineRule="auto"/>
        <w:tabs>
          <w:tab w:leader="none" w:pos="160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1001246.2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5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constitute a waiver with respect to any subsequent occurrences or transactions hereunder unless such waiver specifically states that it is to be construed as a continuing waiver.</w:t>
      </w:r>
    </w:p>
    <w:p>
      <w:pPr>
        <w:spacing w:after="0" w:line="157" w:lineRule="exact"/>
        <w:rPr>
          <w:sz w:val="20"/>
          <w:szCs w:val="20"/>
          <w:color w:val="auto"/>
        </w:rPr>
      </w:pPr>
    </w:p>
    <w:p>
      <w:pPr>
        <w:jc w:val="both"/>
        <w:ind w:firstLine="1304"/>
        <w:spacing w:after="0" w:line="222" w:lineRule="auto"/>
        <w:tabs>
          <w:tab w:leader="none" w:pos="160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 Forfeiture</w:t>
      </w:r>
      <w:r>
        <w:rPr>
          <w:rFonts w:ascii="Times New Roman" w:cs="Times New Roman" w:eastAsia="Times New Roman" w:hAnsi="Times New Roman"/>
          <w:sz w:val="19"/>
          <w:szCs w:val="19"/>
          <w:color w:val="auto"/>
        </w:rPr>
        <w:t>. Notwithstanding anything to the contrary contained herein or in the Plan, if the Participant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Times New Roman" w:cs="Times New Roman" w:eastAsia="Times New Roman" w:hAnsi="Times New Roman"/>
          <w:sz w:val="19"/>
          <w:szCs w:val="19"/>
          <w:u w:val="single" w:color="auto"/>
          <w:color w:val="auto"/>
        </w:rPr>
        <w:t>Detrimental Activity</w:t>
      </w:r>
      <w:r>
        <w:rPr>
          <w:rFonts w:ascii="Times New Roman" w:cs="Times New Roman" w:eastAsia="Times New Roman" w:hAnsi="Times New Roman"/>
          <w:sz w:val="19"/>
          <w:szCs w:val="19"/>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167" w:lineRule="exact"/>
        <w:rPr>
          <w:rFonts w:ascii="Times New Roman" w:cs="Times New Roman" w:eastAsia="Times New Roman" w:hAnsi="Times New Roman"/>
          <w:sz w:val="19"/>
          <w:szCs w:val="19"/>
          <w:color w:val="auto"/>
        </w:rPr>
      </w:pPr>
    </w:p>
    <w:p>
      <w:pPr>
        <w:jc w:val="both"/>
        <w:ind w:firstLine="1304"/>
        <w:spacing w:after="0" w:line="218" w:lineRule="auto"/>
        <w:tabs>
          <w:tab w:leader="none" w:pos="160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Restricted Stock Unit Agreement shall be construed and interpreted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60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 The Restricted Stock Units granted hereunder, and the shares of Common Stock issued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upon settlement of vested Earned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162"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pursuant to the “short-term deferral” rule applicable to such section, as set forth in the regulations or other guidance published by the Internal Revenue Service thereunder.</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63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Transmission Acknowledgement</w:t>
      </w:r>
      <w:r>
        <w:rPr>
          <w:rFonts w:ascii="Times New Roman" w:cs="Times New Roman" w:eastAsia="Times New Roman" w:hAnsi="Times New Roman"/>
          <w:sz w:val="20"/>
          <w:szCs w:val="20"/>
          <w:color w:val="auto"/>
        </w:rPr>
        <w:t>. To the extent necessary, the Participant authorizes, agrees and unambiguously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1001246.2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50" w:lineRule="exact"/>
        <w:rPr>
          <w:sz w:val="20"/>
          <w:szCs w:val="20"/>
          <w:color w:val="auto"/>
        </w:rPr>
      </w:pPr>
    </w:p>
    <w:p>
      <w:pPr>
        <w:jc w:val="both"/>
        <w:ind w:firstLine="1304"/>
        <w:spacing w:after="0" w:line="216" w:lineRule="auto"/>
        <w:tabs>
          <w:tab w:leader="none" w:pos="15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20"/>
          <w:szCs w:val="20"/>
          <w:u w:val="single" w:color="auto"/>
          <w:color w:val="auto"/>
        </w:rPr>
        <w:t>Restricted Stock Unit Governing Documents</w:t>
      </w:r>
      <w:r>
        <w:rPr>
          <w:rFonts w:ascii="Times New Roman" w:cs="Times New Roman" w:eastAsia="Times New Roman" w:hAnsi="Times New Roman"/>
          <w:sz w:val="20"/>
          <w:szCs w:val="20"/>
          <w:color w:val="auto"/>
        </w:rPr>
        <w:t>”), the Restricted Stock Unit Governing Documents shall control.</w:t>
      </w:r>
    </w:p>
    <w:p>
      <w:pPr>
        <w:spacing w:after="0" w:line="171" w:lineRule="exact"/>
        <w:rPr>
          <w:rFonts w:ascii="Times New Roman" w:cs="Times New Roman" w:eastAsia="Times New Roman" w:hAnsi="Times New Roman"/>
          <w:sz w:val="20"/>
          <w:szCs w:val="20"/>
          <w:color w:val="auto"/>
        </w:rPr>
      </w:pPr>
    </w:p>
    <w:p>
      <w:pPr>
        <w:jc w:val="both"/>
        <w:ind w:firstLine="1304"/>
        <w:spacing w:after="0" w:line="232" w:lineRule="auto"/>
        <w:tabs>
          <w:tab w:leader="none" w:pos="15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The Restricted Stock Unit Governing Documents constitute the entire agreement of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1001246.2</w:t>
      </w:r>
    </w:p>
    <w:p>
      <w:pPr>
        <w:sectPr>
          <w:pgSz w:w="11900" w:h="16838" w:orient="portrait"/>
          <w:cols w:equalWidth="0" w:num="1">
            <w:col w:w="11240"/>
          </w:cols>
          <w:pgMar w:left="320" w:top="144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EC – Time-Based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ind w:left="3600"/>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9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Academy Sports and Outdoors,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grants to the Participant set forth below the number of Restricted Stock Units set forth below pursuant to its 2020 Omnibus Incentive Plan, as it may be amended and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The</w:t>
      </w:r>
    </w:p>
    <w:p>
      <w:pPr>
        <w:spacing w:after="0" w:line="211" w:lineRule="auto"/>
        <w:rPr>
          <w:sz w:val="20"/>
          <w:szCs w:val="20"/>
          <w:color w:val="auto"/>
        </w:rPr>
      </w:pPr>
      <w:r>
        <w:rPr>
          <w:rFonts w:ascii="Times New Roman" w:cs="Times New Roman" w:eastAsia="Times New Roman" w:hAnsi="Times New Roman"/>
          <w:sz w:val="20"/>
          <w:szCs w:val="20"/>
          <w:color w:val="auto"/>
        </w:rPr>
        <w:t>Restricted Stock Units are subject to all of the terms and conditions as set forth herein, in the Restricted Stock Unit Agreement (attached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First Name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Last Name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Date of Grant</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tabs>
          <w:tab w:leader="none" w:pos="2460" w:val="left"/>
        </w:tabs>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Number of Restricted Stock Units Granted</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2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6"/>
          <w:szCs w:val="16"/>
          <w:color w:val="auto"/>
        </w:rPr>
        <w:t>1001242.2</w:t>
      </w:r>
    </w:p>
    <w:p>
      <w:pPr>
        <w:sectPr>
          <w:pgSz w:w="11900" w:h="16838" w:orient="portrait"/>
          <w:cols w:equalWidth="0" w:num="1">
            <w:col w:w="11240"/>
          </w:cols>
          <w:pgMar w:left="320" w:top="104" w:right="339" w:bottom="1440" w:gutter="0" w:footer="0" w:header="0"/>
        </w:sectPr>
      </w:pPr>
    </w:p>
    <w:bookmarkStart w:id="52" w:name="page53"/>
    <w:bookmarkEnd w:id="52"/>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Pursuant to the Restricted Stock Unit Grant Notice (the “</w:t>
      </w:r>
      <w:r>
        <w:rPr>
          <w:rFonts w:ascii="Times New Roman" w:cs="Times New Roman" w:eastAsia="Times New Roman" w:hAnsi="Times New Roman"/>
          <w:sz w:val="19"/>
          <w:szCs w:val="19"/>
          <w:u w:val="single" w:color="auto"/>
          <w:color w:val="auto"/>
        </w:rPr>
        <w:t>Grant Notice</w:t>
      </w:r>
      <w:r>
        <w:rPr>
          <w:rFonts w:ascii="Times New Roman" w:cs="Times New Roman" w:eastAsia="Times New Roman" w:hAnsi="Times New Roman"/>
          <w:sz w:val="19"/>
          <w:szCs w:val="19"/>
          <w:color w:val="auto"/>
        </w:rPr>
        <w:t>”) delivered to the Participant (as defined in the Grant Notice), and subject to the terms of this Restricted Stock Unit Agreement (this “</w:t>
      </w:r>
      <w:r>
        <w:rPr>
          <w:rFonts w:ascii="Times New Roman" w:cs="Times New Roman" w:eastAsia="Times New Roman" w:hAnsi="Times New Roman"/>
          <w:sz w:val="19"/>
          <w:szCs w:val="19"/>
          <w:u w:val="single" w:color="auto"/>
          <w:color w:val="auto"/>
        </w:rPr>
        <w:t>Restricted Stock Unit Agreement</w:t>
      </w:r>
      <w:r>
        <w:rPr>
          <w:rFonts w:ascii="Times New Roman" w:cs="Times New Roman" w:eastAsia="Times New Roman" w:hAnsi="Times New Roman"/>
          <w:sz w:val="19"/>
          <w:szCs w:val="19"/>
          <w:color w:val="auto"/>
        </w:rPr>
        <w:t>”) and the Academy Sports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Outdoors, Inc. 2020 Omnibus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 as set forth in the Plan.</w:t>
      </w:r>
    </w:p>
    <w:p>
      <w:pPr>
        <w:spacing w:after="0" w:line="163" w:lineRule="exact"/>
        <w:rPr>
          <w:sz w:val="20"/>
          <w:szCs w:val="20"/>
          <w:color w:val="auto"/>
        </w:rPr>
      </w:pPr>
    </w:p>
    <w:p>
      <w:pPr>
        <w:jc w:val="both"/>
        <w:ind w:firstLine="1304"/>
        <w:spacing w:after="0" w:line="217" w:lineRule="auto"/>
        <w:tabs>
          <w:tab w:leader="none" w:pos="150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Each Restricted Stock Unit granted to the Participant pursuant to the Grant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2"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Restricted Stock Units shall vest as provided in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Grant Notice.</w:t>
      </w:r>
    </w:p>
    <w:p>
      <w:pPr>
        <w:spacing w:after="0" w:line="162" w:lineRule="exact"/>
        <w:rPr>
          <w:rFonts w:ascii="Times New Roman" w:cs="Times New Roman" w:eastAsia="Times New Roman" w:hAnsi="Times New Roman"/>
          <w:sz w:val="19"/>
          <w:szCs w:val="19"/>
          <w:color w:val="auto"/>
        </w:rPr>
      </w:pPr>
    </w:p>
    <w:p>
      <w:pPr>
        <w:jc w:val="both"/>
        <w:ind w:firstLine="1304"/>
        <w:spacing w:after="0" w:line="213" w:lineRule="auto"/>
        <w:tabs>
          <w:tab w:leader="none" w:pos="149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Upon the vesting of a Restricted Stock Unit hereunder, and subject to any election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Committee pursuant to Section 9(d)(ii) of the Plan, the Company will deliver one share of Common Stock for each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61" w:lineRule="exact"/>
        <w:rPr>
          <w:rFonts w:ascii="Times New Roman" w:cs="Times New Roman" w:eastAsia="Times New Roman" w:hAnsi="Times New Roman"/>
          <w:sz w:val="20"/>
          <w:szCs w:val="20"/>
          <w:color w:val="auto"/>
        </w:rPr>
      </w:pPr>
    </w:p>
    <w:p>
      <w:pPr>
        <w:jc w:val="both"/>
        <w:ind w:firstLine="1304"/>
        <w:spacing w:after="0" w:line="235" w:lineRule="auto"/>
        <w:tabs>
          <w:tab w:leader="none" w:pos="152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Restricted Stock Units Upon Termination</w:t>
      </w:r>
      <w:r>
        <w:rPr>
          <w:rFonts w:ascii="Times New Roman" w:cs="Times New Roman" w:eastAsia="Times New Roman" w:hAnsi="Times New Roman"/>
          <w:sz w:val="19"/>
          <w:szCs w:val="19"/>
          <w:color w:val="auto"/>
        </w:rPr>
        <w:t>. Except as otherwise provided in the Grant Notice or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43" w:lineRule="exact"/>
        <w:rPr>
          <w:rFonts w:ascii="Times New Roman" w:cs="Times New Roman" w:eastAsia="Times New Roman" w:hAnsi="Times New Roman"/>
          <w:sz w:val="19"/>
          <w:szCs w:val="19"/>
          <w:color w:val="auto"/>
        </w:rPr>
      </w:pPr>
    </w:p>
    <w:p>
      <w:pPr>
        <w:jc w:val="both"/>
        <w:ind w:firstLine="1304"/>
        <w:spacing w:after="0" w:line="216" w:lineRule="auto"/>
        <w:tabs>
          <w:tab w:leader="none" w:pos="153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Issuance of Common Stock</w:t>
      </w:r>
      <w:r>
        <w:rPr>
          <w:rFonts w:ascii="Times New Roman" w:cs="Times New Roman" w:eastAsia="Times New Roman" w:hAnsi="Times New Roman"/>
          <w:sz w:val="20"/>
          <w:szCs w:val="20"/>
          <w:color w:val="auto"/>
        </w:rPr>
        <w:t>. The Company shall not be required to record the ownership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0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w:t>
      </w:r>
      <w:r>
        <w:rPr>
          <w:rFonts w:ascii="Times New Roman" w:cs="Times New Roman" w:eastAsia="Times New Roman" w:hAnsi="Times New Roman"/>
          <w:sz w:val="20"/>
          <w:szCs w:val="20"/>
          <w:color w:val="auto"/>
        </w:rPr>
        <w:t>. Whenever the word “Participant” is used in any provision of this Restricted Stock Unit Agreement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where the provision should logically be construed to apply to the executors, the administrators, or the person or persons to whom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be transferred in accordance with Section 14(b) of the Plan, the word “Participant” shall be deemed to include such person or persons.</w:t>
      </w:r>
    </w:p>
    <w:p>
      <w:pPr>
        <w:spacing w:after="0" w:line="171" w:lineRule="exact"/>
        <w:rPr>
          <w:sz w:val="20"/>
          <w:szCs w:val="20"/>
          <w:color w:val="auto"/>
        </w:rPr>
      </w:pPr>
    </w:p>
    <w:p>
      <w:pPr>
        <w:jc w:val="both"/>
        <w:ind w:firstLine="1304"/>
        <w:spacing w:after="0" w:line="220" w:lineRule="auto"/>
        <w:tabs>
          <w:tab w:leader="none" w:pos="149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49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Restricted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507"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color w:val="auto"/>
        </w:rPr>
        <w:t>. The Participant must pay to the Company any amount that the Company determines it is required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withhold under applicable federal, state or local or foreign tax laws in respect of the vesting and settlement of the shares of Common Stock underlying the Restricted Stock Units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payment of such proceeds is then made to the Company upon settlement of such sale, or</w:t>
      </w:r>
    </w:p>
    <w:p>
      <w:pPr>
        <w:spacing w:after="0" w:line="1" w:lineRule="exact"/>
        <w:rPr>
          <w:rFonts w:ascii="Times New Roman" w:cs="Times New Roman" w:eastAsia="Times New Roman" w:hAnsi="Times New Roman"/>
          <w:sz w:val="19"/>
          <w:szCs w:val="19"/>
          <w:color w:val="auto"/>
        </w:rPr>
      </w:pPr>
    </w:p>
    <w:p>
      <w:pPr>
        <w:jc w:val="both"/>
        <w:ind w:firstLine="8"/>
        <w:spacing w:after="0" w:line="218" w:lineRule="auto"/>
        <w:tabs>
          <w:tab w:leader="none" w:pos="36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withholding a number of shares of Common Stock issuable under the Restricted Stock Units;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Committee may, in its sole discretion, direct that such withholding obligation be satisfied by any other method described in Section 14 of the Plan.</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59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7" w:lineRule="exact"/>
        <w:rPr>
          <w:rFonts w:ascii="Times New Roman" w:cs="Times New Roman" w:eastAsia="Times New Roman" w:hAnsi="Times New Roman"/>
          <w:sz w:val="20"/>
          <w:szCs w:val="20"/>
          <w:color w:val="auto"/>
        </w:rPr>
      </w:pPr>
    </w:p>
    <w:p>
      <w:pPr>
        <w:ind w:firstLine="1304"/>
        <w:spacing w:after="0" w:line="245" w:lineRule="auto"/>
        <w:tabs>
          <w:tab w:leader="none" w:pos="158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other service provider to the Company or any of its Subsidiaries.</w:t>
      </w:r>
    </w:p>
    <w:p>
      <w:pPr>
        <w:spacing w:after="0" w:line="151" w:lineRule="exact"/>
        <w:rPr>
          <w:rFonts w:ascii="Times New Roman" w:cs="Times New Roman" w:eastAsia="Times New Roman" w:hAnsi="Times New Roman"/>
          <w:sz w:val="20"/>
          <w:szCs w:val="20"/>
          <w:color w:val="auto"/>
        </w:rPr>
      </w:pPr>
    </w:p>
    <w:p>
      <w:pPr>
        <w:ind w:firstLine="1304"/>
        <w:spacing w:after="0" w:line="235" w:lineRule="auto"/>
        <w:tabs>
          <w:tab w:leader="none" w:pos="160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1001242.2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5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constitute a waiver with respect to any subsequent occurrences or transactions hereunder unless such waiver specifically states that it is to be construed as a continuing waiver.</w:t>
      </w:r>
    </w:p>
    <w:p>
      <w:pPr>
        <w:spacing w:after="0" w:line="157" w:lineRule="exact"/>
        <w:rPr>
          <w:sz w:val="20"/>
          <w:szCs w:val="20"/>
          <w:color w:val="auto"/>
        </w:rPr>
      </w:pPr>
    </w:p>
    <w:p>
      <w:pPr>
        <w:jc w:val="both"/>
        <w:ind w:firstLine="1304"/>
        <w:spacing w:after="0" w:line="222" w:lineRule="auto"/>
        <w:tabs>
          <w:tab w:leader="none" w:pos="1606"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 Forfeiture</w:t>
      </w:r>
      <w:r>
        <w:rPr>
          <w:rFonts w:ascii="Times New Roman" w:cs="Times New Roman" w:eastAsia="Times New Roman" w:hAnsi="Times New Roman"/>
          <w:sz w:val="19"/>
          <w:szCs w:val="19"/>
          <w:color w:val="auto"/>
        </w:rPr>
        <w:t>. Notwithstanding anything to the contrary contained herein or in the Plan, if the Participant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Times New Roman" w:cs="Times New Roman" w:eastAsia="Times New Roman" w:hAnsi="Times New Roman"/>
          <w:sz w:val="19"/>
          <w:szCs w:val="19"/>
          <w:u w:val="single" w:color="auto"/>
          <w:color w:val="auto"/>
        </w:rPr>
        <w:t>Detrimental Activity</w:t>
      </w:r>
      <w:r>
        <w:rPr>
          <w:rFonts w:ascii="Times New Roman" w:cs="Times New Roman" w:eastAsia="Times New Roman" w:hAnsi="Times New Roman"/>
          <w:sz w:val="19"/>
          <w:szCs w:val="19"/>
          <w:color w:val="auto"/>
        </w:rPr>
        <w:t>” means any of the following: (i) unauthorized disclosure of any confidential or proprietary information of any member of the Company Group; (ii) any activity that would be grounds to terminate the Participant’s employment or service with the Company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167" w:lineRule="exact"/>
        <w:rPr>
          <w:rFonts w:ascii="Times New Roman" w:cs="Times New Roman" w:eastAsia="Times New Roman" w:hAnsi="Times New Roman"/>
          <w:sz w:val="19"/>
          <w:szCs w:val="19"/>
          <w:color w:val="auto"/>
        </w:rPr>
      </w:pPr>
    </w:p>
    <w:p>
      <w:pPr>
        <w:jc w:val="both"/>
        <w:ind w:firstLine="1304"/>
        <w:spacing w:after="0" w:line="218" w:lineRule="auto"/>
        <w:tabs>
          <w:tab w:leader="none" w:pos="160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Restricted Stock Unit Agreement shall be construed and interpreted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60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 The Restricted Stock Units granted hereunder, and the shares of Common Stock issued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162"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pursuant to the “short-term deferral” rule applicable to such section, as set forth in the regulations or other guidance published by the Internal Revenue Service thereunder.</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63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Transmission Acknowledgement</w:t>
      </w:r>
      <w:r>
        <w:rPr>
          <w:rFonts w:ascii="Times New Roman" w:cs="Times New Roman" w:eastAsia="Times New Roman" w:hAnsi="Times New Roman"/>
          <w:sz w:val="20"/>
          <w:szCs w:val="20"/>
          <w:color w:val="auto"/>
        </w:rPr>
        <w:t>. To the extent necessary, the Participant authorizes, agrees and unambiguously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1001242.2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50" w:lineRule="exact"/>
        <w:rPr>
          <w:sz w:val="20"/>
          <w:szCs w:val="20"/>
          <w:color w:val="auto"/>
        </w:rPr>
      </w:pPr>
    </w:p>
    <w:p>
      <w:pPr>
        <w:jc w:val="both"/>
        <w:ind w:firstLine="1304"/>
        <w:spacing w:after="0" w:line="216" w:lineRule="auto"/>
        <w:tabs>
          <w:tab w:leader="none" w:pos="15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20"/>
          <w:szCs w:val="20"/>
          <w:u w:val="single" w:color="auto"/>
          <w:color w:val="auto"/>
        </w:rPr>
        <w:t>Restricted Stock Unit Governing Documents</w:t>
      </w:r>
      <w:r>
        <w:rPr>
          <w:rFonts w:ascii="Times New Roman" w:cs="Times New Roman" w:eastAsia="Times New Roman" w:hAnsi="Times New Roman"/>
          <w:sz w:val="20"/>
          <w:szCs w:val="20"/>
          <w:color w:val="auto"/>
        </w:rPr>
        <w:t>”), the Restricted Stock Unit Governing Documents shall control.</w:t>
      </w:r>
    </w:p>
    <w:p>
      <w:pPr>
        <w:spacing w:after="0" w:line="171" w:lineRule="exact"/>
        <w:rPr>
          <w:rFonts w:ascii="Times New Roman" w:cs="Times New Roman" w:eastAsia="Times New Roman" w:hAnsi="Times New Roman"/>
          <w:sz w:val="20"/>
          <w:szCs w:val="20"/>
          <w:color w:val="auto"/>
        </w:rPr>
      </w:pPr>
    </w:p>
    <w:p>
      <w:pPr>
        <w:jc w:val="both"/>
        <w:ind w:firstLine="1304"/>
        <w:spacing w:after="0" w:line="232" w:lineRule="auto"/>
        <w:tabs>
          <w:tab w:leader="none" w:pos="15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The Restricted Stock Unit Governing Documents constitute the entire agreement of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1001242.2</w:t>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EC – Time-Based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OPTION GRANT NOTICE</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19"/>
          <w:szCs w:val="19"/>
          <w:color w:val="auto"/>
        </w:rPr>
        <w:t>Academy Sports and Outdoors,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grants to the Participant set forth below the number of Options set forth below at an Exercise Price per share as set forth below pursuant to its 2020 Omnibus Incentive Plan, as it may be amended and</w:t>
      </w:r>
    </w:p>
    <w:p>
      <w:pPr>
        <w:spacing w:after="0" w:line="222" w:lineRule="auto"/>
        <w:rPr>
          <w:sz w:val="20"/>
          <w:szCs w:val="20"/>
          <w:color w:val="auto"/>
        </w:rPr>
      </w:pPr>
      <w:r>
        <w:rPr>
          <w:rFonts w:ascii="Times New Roman" w:cs="Times New Roman" w:eastAsia="Times New Roman" w:hAnsi="Times New Roman"/>
          <w:sz w:val="19"/>
          <w:szCs w:val="19"/>
          <w:color w:val="auto"/>
        </w:rPr>
        <w:t>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The Options are subject to all of the terms and conditions as set forth herein, in the Option Agreement</w:t>
      </w:r>
    </w:p>
    <w:p>
      <w:pPr>
        <w:jc w:val="both"/>
        <w:spacing w:after="0" w:line="221" w:lineRule="auto"/>
        <w:rPr>
          <w:sz w:val="20"/>
          <w:szCs w:val="20"/>
          <w:color w:val="auto"/>
        </w:rPr>
      </w:pPr>
      <w:r>
        <w:rPr>
          <w:rFonts w:ascii="Times New Roman" w:cs="Times New Roman" w:eastAsia="Times New Roman" w:hAnsi="Times New Roman"/>
          <w:sz w:val="20"/>
          <w:szCs w:val="20"/>
          <w:color w:val="auto"/>
        </w:rPr>
        <w:t>(attached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First Name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Last Name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Date of Grant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Number of Options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Number of Options Granted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b w:val="1"/>
          <w:bCs w:val="1"/>
          <w:color w:val="auto"/>
        </w:rPr>
        <w:t>Exercise Price per Share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Closing stock price on date of grant</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0"/>
          <w:szCs w:val="20"/>
          <w:b w:val="1"/>
          <w:bCs w:val="1"/>
          <w:color w:val="auto"/>
        </w:rPr>
        <w:t>Option Period Expiration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anniversary of Date of Grant</w:t>
      </w:r>
    </w:p>
    <w:p>
      <w:pPr>
        <w:spacing w:after="0" w:line="13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Type of Option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18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OPTION AGREEMENT. PARTICIPANT MAY REJECT THIS AWARD OF OPTIONS BY NOTIFYING THE COMPANY NO LATER THAN THE FIFTH BUSINESS DAY FOLLOWING RECEIPT OF THIS AWARD DOCUMENT. FAILURE TO REJECT THIS AWARD OF OPTIONS WITHIN SUCH 5-DAY PERIOD SHALL BE DEEMED ACCEPTANCE OF THIS AWARD OF OPTIONS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6"/>
          <w:szCs w:val="16"/>
          <w:color w:val="auto"/>
        </w:rPr>
        <w:t>1001245.2</w:t>
      </w:r>
    </w:p>
    <w:p>
      <w:pPr>
        <w:sectPr>
          <w:pgSz w:w="11900" w:h="16838" w:orient="portrait"/>
          <w:cols w:equalWidth="0" w:num="1">
            <w:col w:w="11240"/>
          </w:cols>
          <w:pgMar w:left="320" w:top="10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EC – Time-Based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1001245.2</w:t>
      </w:r>
    </w:p>
    <w:p>
      <w:pPr>
        <w:sectPr>
          <w:pgSz w:w="11900" w:h="16838" w:orient="portrait"/>
          <w:cols w:equalWidth="0" w:num="1">
            <w:col w:w="11240"/>
          </w:cols>
          <w:pgMar w:left="320" w:top="104" w:right="339" w:bottom="1440" w:gutter="0" w:footer="0" w:header="0"/>
        </w:sectPr>
      </w:pPr>
    </w:p>
    <w:bookmarkStart w:id="58" w:name="page59"/>
    <w:bookmarkEnd w:id="58"/>
    <w:p>
      <w:pPr>
        <w:spacing w:after="0" w:line="3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OPTION AGREEMENT</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Pursuant to the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Option Agreement (this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and the Academy Sports and Outdoors, Inc. 2020 Omnibus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45" w:lineRule="exact"/>
        <w:rPr>
          <w:sz w:val="20"/>
          <w:szCs w:val="20"/>
          <w:color w:val="auto"/>
        </w:rPr>
      </w:pPr>
    </w:p>
    <w:p>
      <w:pPr>
        <w:jc w:val="both"/>
        <w:ind w:firstLine="1304"/>
        <w:spacing w:after="0" w:line="220" w:lineRule="auto"/>
        <w:tabs>
          <w:tab w:leader="none" w:pos="14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color w:val="auto"/>
        </w:rPr>
        <w:t>. Each Option granted to the Participant pursuant to the Grant Notice represents the right to purchase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47"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Options shall vest as provided in the Grant Notice.</w:t>
      </w:r>
    </w:p>
    <w:p>
      <w:pPr>
        <w:spacing w:after="0" w:line="200" w:lineRule="exact"/>
        <w:rPr>
          <w:rFonts w:ascii="Times New Roman" w:cs="Times New Roman" w:eastAsia="Times New Roman" w:hAnsi="Times New Roman"/>
          <w:sz w:val="19"/>
          <w:szCs w:val="19"/>
          <w:color w:val="auto"/>
        </w:rPr>
      </w:pPr>
    </w:p>
    <w:p>
      <w:pPr>
        <w:jc w:val="both"/>
        <w:ind w:firstLine="1304"/>
        <w:spacing w:after="0" w:line="213" w:lineRule="auto"/>
        <w:tabs>
          <w:tab w:leader="none" w:pos="14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of Options Following Termination</w:t>
      </w:r>
      <w:r>
        <w:rPr>
          <w:rFonts w:ascii="Times New Roman" w:cs="Times New Roman" w:eastAsia="Times New Roman" w:hAnsi="Times New Roman"/>
          <w:sz w:val="20"/>
          <w:szCs w:val="20"/>
          <w:color w:val="auto"/>
        </w:rPr>
        <w:t>. Except as otherwise provided in the Grant Notice or as otherwise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the 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and (D) a Participant’s Termination for any other reason (including, for the avoidance of doubt, termination by the Service Recipient without Cause or by the Participant for Good Reason), each outstanding unvested Option granted to such Participant shall immediately terminate and expire, and each outstanding vested Option shall remain exercisable for one hundred eighty (180) days thereafter (but in no event beyond the expiration of the Option Period).</w:t>
      </w:r>
    </w:p>
    <w:p>
      <w:pPr>
        <w:spacing w:after="0" w:line="14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4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Exercising Options</w:t>
      </w:r>
      <w:r>
        <w:rPr>
          <w:rFonts w:ascii="Times New Roman" w:cs="Times New Roman" w:eastAsia="Times New Roman" w:hAnsi="Times New Roman"/>
          <w:sz w:val="20"/>
          <w:szCs w:val="20"/>
          <w:color w:val="auto"/>
        </w:rPr>
        <w:t>. The Options may be exercised by the delivery of notice of the number of Options that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Participant shall obtain written consent from the Committee prior to the use of the method described in Section 7(d)(ii)(A) of the Plan.</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50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Issuance of Shares of Common Stock</w:t>
      </w:r>
      <w:r>
        <w:rPr>
          <w:rFonts w:ascii="Times New Roman" w:cs="Times New Roman" w:eastAsia="Times New Roman" w:hAnsi="Times New Roman"/>
          <w:sz w:val="20"/>
          <w:szCs w:val="20"/>
          <w:color w:val="auto"/>
        </w:rPr>
        <w:t>. Following the exercise of an Option hereunder, as promptly as practical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of such 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1001245.2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or (b) cause such shares of Common Stock to be credited to the Participant’s account at the third-party plan administrator.</w:t>
      </w:r>
    </w:p>
    <w:p>
      <w:pPr>
        <w:spacing w:after="0" w:line="185" w:lineRule="exact"/>
        <w:rPr>
          <w:sz w:val="20"/>
          <w:szCs w:val="20"/>
          <w:color w:val="auto"/>
        </w:rPr>
      </w:pPr>
    </w:p>
    <w:p>
      <w:pPr>
        <w:jc w:val="both"/>
        <w:ind w:firstLine="1304"/>
        <w:spacing w:after="0" w:line="216" w:lineRule="auto"/>
        <w:tabs>
          <w:tab w:leader="none" w:pos="15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Issuance of Common Stock</w:t>
      </w:r>
      <w:r>
        <w:rPr>
          <w:rFonts w:ascii="Times New Roman" w:cs="Times New Roman" w:eastAsia="Times New Roman" w:hAnsi="Times New Roman"/>
          <w:sz w:val="20"/>
          <w:szCs w:val="20"/>
          <w:color w:val="auto"/>
        </w:rPr>
        <w:t>. The Company shall not be required to record the ownership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of shares of 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spacing w:after="0" w:line="144" w:lineRule="exact"/>
        <w:rPr>
          <w:rFonts w:ascii="Times New Roman" w:cs="Times New Roman" w:eastAsia="Times New Roman" w:hAnsi="Times New Roman"/>
          <w:sz w:val="20"/>
          <w:szCs w:val="20"/>
          <w:color w:val="auto"/>
        </w:rPr>
      </w:pPr>
    </w:p>
    <w:p>
      <w:pPr>
        <w:jc w:val="both"/>
        <w:ind w:firstLine="1304"/>
        <w:spacing w:after="0" w:line="239" w:lineRule="auto"/>
        <w:tabs>
          <w:tab w:leader="none" w:pos="150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Participant</w:t>
      </w:r>
      <w:r>
        <w:rPr>
          <w:rFonts w:ascii="Times New Roman" w:cs="Times New Roman" w:eastAsia="Times New Roman" w:hAnsi="Times New Roman"/>
          <w:sz w:val="19"/>
          <w:szCs w:val="19"/>
          <w:color w:val="auto"/>
        </w:rPr>
        <w:t>. Whenever the word “Participant” is used in any provision of this Option Agreement under circumstances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where the provision should logically be construed to apply to the executors, the administrators, or the person or persons to whom the Options may be transferred in accordance with Section 14(b) of the Plan, the word “Participant” shall be deemed to include such person or persons.</w:t>
      </w:r>
    </w:p>
    <w:p>
      <w:pPr>
        <w:spacing w:after="0" w:line="157" w:lineRule="exact"/>
        <w:rPr>
          <w:rFonts w:ascii="Times New Roman" w:cs="Times New Roman" w:eastAsia="Times New Roman" w:hAnsi="Times New Roman"/>
          <w:sz w:val="19"/>
          <w:szCs w:val="19"/>
          <w:color w:val="auto"/>
        </w:rPr>
      </w:pPr>
    </w:p>
    <w:p>
      <w:pPr>
        <w:jc w:val="both"/>
        <w:ind w:firstLine="1304"/>
        <w:spacing w:after="0" w:line="220" w:lineRule="auto"/>
        <w:tabs>
          <w:tab w:leader="none" w:pos="15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Options are not transferable by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to the extent permitted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in 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4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49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shall have no rights as a shareholder with respect to any share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covered by an 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60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Concurrently with the exercise of an Option, the Participant must pay to the Company any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Company determines it is required to withhold under applicable federal, state or local or foreign tax laws in respect of the exercise or the transfer of the shares of Common Stock in connection therewith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upon settlement of such sale, or (iii) through withholding a number of shares of Common Stock issuable upon exercise of the Option;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Committee may, in its sole discretion, direct that such withholding obligation be satisfied by any other method described in Section 14 of the Plan.</w:t>
      </w:r>
    </w:p>
    <w:p>
      <w:pPr>
        <w:spacing w:after="0" w:line="159" w:lineRule="exact"/>
        <w:rPr>
          <w:rFonts w:ascii="Times New Roman" w:cs="Times New Roman" w:eastAsia="Times New Roman" w:hAnsi="Times New Roman"/>
          <w:sz w:val="20"/>
          <w:szCs w:val="20"/>
          <w:color w:val="auto"/>
        </w:rPr>
      </w:pPr>
    </w:p>
    <w:p>
      <w:pPr>
        <w:jc w:val="both"/>
        <w:ind w:firstLine="1304"/>
        <w:spacing w:after="0" w:line="228" w:lineRule="auto"/>
        <w:tabs>
          <w:tab w:leader="none" w:pos="163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Option Agreement between the Company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3"/>
          <w:szCs w:val="13"/>
          <w:color w:val="auto"/>
        </w:rPr>
        <w:t>1001245.2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as reflected in the Company’s records. Notwithstanding the above, all notices and communications between the Participant and any</w:t>
      </w:r>
    </w:p>
    <w:p>
      <w:pPr>
        <w:spacing w:after="0" w:line="221" w:lineRule="auto"/>
        <w:rPr>
          <w:sz w:val="20"/>
          <w:szCs w:val="20"/>
          <w:color w:val="auto"/>
        </w:rPr>
      </w:pPr>
      <w:r>
        <w:rPr>
          <w:rFonts w:ascii="Times New Roman" w:cs="Times New Roman" w:eastAsia="Times New Roman" w:hAnsi="Times New Roman"/>
          <w:sz w:val="20"/>
          <w:szCs w:val="20"/>
          <w:color w:val="auto"/>
        </w:rPr>
        <w:t>third-party plan administrator shall be mailed, delivered, transmitted or sent in accordance with the procedures established by such third-party plan administrator and communicated to the Participant from time to time.</w:t>
      </w:r>
    </w:p>
    <w:p>
      <w:pPr>
        <w:spacing w:after="0" w:line="158" w:lineRule="exact"/>
        <w:rPr>
          <w:sz w:val="20"/>
          <w:szCs w:val="20"/>
          <w:color w:val="auto"/>
        </w:rPr>
      </w:pPr>
    </w:p>
    <w:p>
      <w:pPr>
        <w:ind w:firstLine="1304"/>
        <w:spacing w:after="0" w:line="245" w:lineRule="auto"/>
        <w:tabs>
          <w:tab w:leader="none" w:pos="15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Option Agreement does not confer upon the Participant any right to continue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or service provider to the Company or any of its Subsidiaries.</w:t>
      </w:r>
    </w:p>
    <w:p>
      <w:pPr>
        <w:spacing w:after="0" w:line="136"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Option Agreement shall be binding upon the heirs, executors, administrators and successors of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parties hereto.</w:t>
      </w:r>
    </w:p>
    <w:p>
      <w:pPr>
        <w:spacing w:after="0" w:line="162" w:lineRule="exact"/>
        <w:rPr>
          <w:rFonts w:ascii="Times New Roman" w:cs="Times New Roman" w:eastAsia="Times New Roman" w:hAnsi="Times New Roman"/>
          <w:sz w:val="20"/>
          <w:szCs w:val="20"/>
          <w:color w:val="auto"/>
        </w:rPr>
      </w:pPr>
    </w:p>
    <w:p>
      <w:pPr>
        <w:jc w:val="both"/>
        <w:ind w:firstLine="1304"/>
        <w:spacing w:after="0" w:line="218" w:lineRule="auto"/>
        <w:tabs>
          <w:tab w:leader="none" w:pos="15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13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Option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57" w:lineRule="exact"/>
        <w:rPr>
          <w:rFonts w:ascii="Times New Roman" w:cs="Times New Roman" w:eastAsia="Times New Roman" w:hAnsi="Times New Roman"/>
          <w:sz w:val="20"/>
          <w:szCs w:val="20"/>
          <w:color w:val="auto"/>
        </w:rPr>
      </w:pPr>
    </w:p>
    <w:p>
      <w:pPr>
        <w:jc w:val="both"/>
        <w:ind w:firstLine="1304"/>
        <w:spacing w:after="0" w:line="211" w:lineRule="auto"/>
        <w:tabs>
          <w:tab w:leader="none" w:pos="160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 Forfeiture</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then the Committee may, in its sole discretion, take actions permitted under the Plan, including: (a) canceling the Options, or (b)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 recoupment to the extent necessary to comply with applicable law. “</w:t>
      </w: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15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5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Venue</w:t>
      </w:r>
      <w:r>
        <w:rPr>
          <w:rFonts w:ascii="Times New Roman" w:cs="Times New Roman" w:eastAsia="Times New Roman" w:hAnsi="Times New Roman"/>
          <w:sz w:val="20"/>
          <w:szCs w:val="20"/>
          <w:color w:val="auto"/>
        </w:rPr>
        <w:t>. This Option Agreement shall be construed and interpreted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Houston, Texas.</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5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Subject to Plan</w:t>
      </w:r>
      <w:r>
        <w:rPr>
          <w:rFonts w:ascii="Times New Roman" w:cs="Times New Roman" w:eastAsia="Times New Roman" w:hAnsi="Times New Roman"/>
          <w:sz w:val="20"/>
          <w:szCs w:val="20"/>
          <w:color w:val="auto"/>
        </w:rPr>
        <w:t>. The Options granted hereunder, and the shares of Common Stock issued to the Participant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of the 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3"/>
          <w:szCs w:val="13"/>
          <w:color w:val="auto"/>
        </w:rPr>
        <w:t>1001245.2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307" w:lineRule="exact"/>
        <w:rPr>
          <w:sz w:val="20"/>
          <w:szCs w:val="20"/>
          <w:color w:val="auto"/>
        </w:rPr>
      </w:pPr>
    </w:p>
    <w:p>
      <w:pPr>
        <w:jc w:val="both"/>
        <w:ind w:firstLine="1304"/>
        <w:spacing w:after="0" w:line="223" w:lineRule="auto"/>
        <w:tabs>
          <w:tab w:leader="none" w:pos="15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63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Transmission Acknowledgement</w:t>
      </w:r>
      <w:r>
        <w:rPr>
          <w:rFonts w:ascii="Times New Roman" w:cs="Times New Roman" w:eastAsia="Times New Roman" w:hAnsi="Times New Roman"/>
          <w:sz w:val="20"/>
          <w:szCs w:val="20"/>
          <w:color w:val="auto"/>
        </w:rPr>
        <w:t>. To the extent necessary, the Participant authorizes, agrees and unambiguously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44" w:lineRule="exact"/>
        <w:rPr>
          <w:rFonts w:ascii="Times New Roman" w:cs="Times New Roman" w:eastAsia="Times New Roman" w:hAnsi="Times New Roman"/>
          <w:sz w:val="20"/>
          <w:szCs w:val="20"/>
          <w:color w:val="auto"/>
        </w:rPr>
      </w:pPr>
    </w:p>
    <w:p>
      <w:pPr>
        <w:jc w:val="both"/>
        <w:ind w:firstLine="1304"/>
        <w:spacing w:after="0" w:line="217" w:lineRule="auto"/>
        <w:tabs>
          <w:tab w:leader="none" w:pos="15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Times New Roman" w:cs="Times New Roman" w:eastAsia="Times New Roman" w:hAnsi="Times New Roman"/>
          <w:sz w:val="20"/>
          <w:szCs w:val="20"/>
          <w:u w:val="single" w:color="auto"/>
          <w:color w:val="auto"/>
        </w:rPr>
        <w:t>Option Governing Documents</w:t>
      </w:r>
      <w:r>
        <w:rPr>
          <w:rFonts w:ascii="Times New Roman" w:cs="Times New Roman" w:eastAsia="Times New Roman" w:hAnsi="Times New Roman"/>
          <w:sz w:val="20"/>
          <w:szCs w:val="20"/>
          <w:color w:val="auto"/>
        </w:rPr>
        <w:t>”), the Option Governing Documents shall control.</w:t>
      </w:r>
    </w:p>
    <w:p>
      <w:pPr>
        <w:spacing w:after="0" w:line="183"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The Option Governing Documents constitute the entire agreement of the parties hereto in respect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rPr>
          <w:sz w:val="20"/>
          <w:szCs w:val="20"/>
          <w:color w:val="auto"/>
        </w:rPr>
      </w:pPr>
      <w:r>
        <w:rPr>
          <w:rFonts w:ascii="Times New Roman" w:cs="Times New Roman" w:eastAsia="Times New Roman" w:hAnsi="Times New Roman"/>
          <w:sz w:val="13"/>
          <w:szCs w:val="13"/>
          <w:color w:val="auto"/>
        </w:rPr>
        <w:t>1001245.2</w:t>
      </w:r>
    </w:p>
    <w:p>
      <w:pPr>
        <w:sectPr>
          <w:pgSz w:w="11900" w:h="16838" w:orient="portrait"/>
          <w:cols w:equalWidth="0" w:num="1">
            <w:col w:w="11240"/>
          </w:cols>
          <w:pgMar w:left="320" w:top="144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C. Hicks, certify that:</w:t>
      </w:r>
    </w:p>
    <w:p>
      <w:pPr>
        <w:spacing w:after="0" w:line="117"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April 30, 2022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C. HICKS</w:t>
            </w:r>
          </w:p>
        </w:tc>
        <w:tc>
          <w:tcPr>
            <w:tcW w:w="5740" w:type="dxa"/>
            <w:vAlign w:val="bottom"/>
          </w:tcPr>
          <w:p>
            <w:pPr>
              <w:ind w:left="4400"/>
              <w:spacing w:after="0"/>
              <w:rPr>
                <w:sz w:val="20"/>
                <w:szCs w:val="20"/>
                <w:color w:val="auto"/>
              </w:rPr>
            </w:pPr>
            <w:r>
              <w:rPr>
                <w:rFonts w:ascii="Times New Roman" w:cs="Times New Roman" w:eastAsia="Times New Roman" w:hAnsi="Times New Roman"/>
                <w:sz w:val="18"/>
                <w:szCs w:val="18"/>
                <w:color w:val="auto"/>
                <w:w w:val="97"/>
              </w:rPr>
              <w:t>Date: June 7, 2022</w:t>
            </w:r>
          </w:p>
        </w:tc>
      </w:tr>
      <w:tr>
        <w:trPr>
          <w:trHeight w:val="21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C. Hicks</w:t>
            </w:r>
          </w:p>
        </w:tc>
        <w:tc>
          <w:tcPr>
            <w:tcW w:w="5740" w:type="dxa"/>
            <w:vAlign w:val="bottom"/>
          </w:tcPr>
          <w:p>
            <w:pPr>
              <w:spacing w:after="0"/>
              <w:rPr>
                <w:sz w:val="18"/>
                <w:szCs w:val="18"/>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5740" w:type="dxa"/>
            <w:vAlign w:val="bottom"/>
          </w:tcPr>
          <w:p>
            <w:pPr>
              <w:spacing w:after="0"/>
              <w:rPr>
                <w:sz w:val="19"/>
                <w:szCs w:val="19"/>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7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Mullican, certify that:</w:t>
      </w:r>
    </w:p>
    <w:p>
      <w:pPr>
        <w:spacing w:after="0" w:line="117"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April 30, 2022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c>
          <w:tcPr>
            <w:tcW w:w="5740" w:type="dxa"/>
            <w:vAlign w:val="bottom"/>
          </w:tcPr>
          <w:p>
            <w:pPr>
              <w:ind w:left="4400"/>
              <w:spacing w:after="0"/>
              <w:rPr>
                <w:sz w:val="20"/>
                <w:szCs w:val="20"/>
                <w:color w:val="auto"/>
              </w:rPr>
            </w:pPr>
            <w:r>
              <w:rPr>
                <w:rFonts w:ascii="Times New Roman" w:cs="Times New Roman" w:eastAsia="Times New Roman" w:hAnsi="Times New Roman"/>
                <w:sz w:val="18"/>
                <w:szCs w:val="18"/>
                <w:color w:val="auto"/>
                <w:w w:val="97"/>
              </w:rPr>
              <w:t>Date: June 7, 2022</w:t>
            </w:r>
          </w:p>
        </w:tc>
      </w:tr>
      <w:tr>
        <w:trPr>
          <w:trHeight w:val="21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c>
          <w:tcPr>
            <w:tcW w:w="5740" w:type="dxa"/>
            <w:vAlign w:val="bottom"/>
          </w:tcPr>
          <w:p>
            <w:pPr>
              <w:spacing w:after="0"/>
              <w:rPr>
                <w:sz w:val="18"/>
                <w:szCs w:val="18"/>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740" w:type="dxa"/>
            <w:vAlign w:val="bottom"/>
          </w:tcPr>
          <w:p>
            <w:pPr>
              <w:spacing w:after="0"/>
              <w:rPr>
                <w:sz w:val="19"/>
                <w:szCs w:val="19"/>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7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April 30, 2022, as filed with the Securities and Exchange Commission on the date hereof (the “Report”), I, Ken C. Hicks, Chairman, President and Chief Executive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KEN C. HICKS</w:t>
            </w:r>
          </w:p>
        </w:tc>
        <w:tc>
          <w:tcPr>
            <w:tcW w:w="40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w w:val="97"/>
              </w:rPr>
              <w:t>Date: June 7, 2022</w:t>
            </w:r>
          </w:p>
        </w:tc>
      </w:tr>
      <w:tr>
        <w:trPr>
          <w:trHeight w:val="218"/>
        </w:trPr>
        <w:tc>
          <w:tcPr>
            <w:tcW w:w="6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 C. Hicks</w:t>
            </w:r>
          </w:p>
        </w:tc>
        <w:tc>
          <w:tcPr>
            <w:tcW w:w="310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3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April 30, 2022, as filed with the Securities and Exchange Commission on the date hereof (the “Report”), I, Michael P. Mullican,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P. MULLICAN</w:t>
            </w:r>
          </w:p>
        </w:tc>
        <w:tc>
          <w:tcPr>
            <w:tcW w:w="39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w w:val="97"/>
              </w:rPr>
              <w:t>Date: June 7, 2022</w:t>
            </w:r>
          </w:p>
        </w:tc>
      </w:tr>
      <w:tr>
        <w:trPr>
          <w:trHeight w:val="218"/>
        </w:trPr>
        <w:tc>
          <w:tcPr>
            <w:tcW w:w="6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P. Mullican</w:t>
            </w:r>
          </w:p>
        </w:tc>
        <w:tc>
          <w:tcPr>
            <w:tcW w:w="2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9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6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90"/>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2"/>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lowerRoman"/>
      <w:start w:val="1"/>
    </w:lvl>
    <w:lvl w:ilvl="1">
      <w:lvlJc w:val="left"/>
      <w:lvlText w:val="%2."/>
      <w:numFmt w:val="decimal"/>
      <w:start w:val="7"/>
    </w:lvl>
  </w:abstractNum>
  <w:abstractNum w:abstractNumId="26">
    <w:nsid w:val="2D517796"/>
    <w:multiLevelType w:val="hybridMultilevel"/>
    <w:lvl w:ilvl="0">
      <w:lvlJc w:val="left"/>
      <w:lvlText w:val="(%1)"/>
      <w:numFmt w:val="lowerRoman"/>
      <w:start w:val="3"/>
    </w:lvl>
    <w:lvl w:ilvl="1">
      <w:lvlJc w:val="left"/>
      <w:lvlText w:val="%2."/>
      <w:numFmt w:val="decimal"/>
      <w:start w:val="10"/>
    </w:lvl>
  </w:abstractNum>
  <w:abstractNum w:abstractNumId="27">
    <w:nsid w:val="580BD78F"/>
    <w:multiLevelType w:val="hybridMultilevel"/>
    <w:lvl w:ilvl="0">
      <w:lvlJc w:val="left"/>
      <w:lvlText w:val="%1."/>
      <w:numFmt w:val="decimal"/>
      <w:start w:val="14"/>
    </w:lvl>
  </w:abstractNum>
  <w:abstractNum w:abstractNumId="28">
    <w:nsid w:val="153EA438"/>
    <w:multiLevelType w:val="hybridMultilevel"/>
    <w:lvl w:ilvl="0">
      <w:lvlJc w:val="left"/>
      <w:lvlText w:val="%1."/>
      <w:numFmt w:val="decimal"/>
      <w:start w:val="20"/>
    </w:lvl>
  </w:abstractNum>
  <w:abstractNum w:abstractNumId="29">
    <w:nsid w:val="3855585C"/>
    <w:multiLevelType w:val="hybridMultilevel"/>
    <w:lvl w:ilvl="0">
      <w:lvlJc w:val="left"/>
      <w:lvlText w:val="%1"/>
      <w:numFmt w:val="decimal"/>
      <w:start w:val="1"/>
    </w:lvl>
    <w:lvl w:ilvl="1">
      <w:lvlJc w:val="left"/>
      <w:lvlText w:val="%2."/>
      <w:numFmt w:val="decimal"/>
      <w:start w:val="1"/>
    </w:lvl>
  </w:abstractNum>
  <w:abstractNum w:abstractNumId="30">
    <w:nsid w:val="70A64E2A"/>
    <w:multiLevelType w:val="hybridMultilevel"/>
    <w:lvl w:ilvl="0">
      <w:lvlJc w:val="left"/>
      <w:lvlText w:val="(%1)"/>
      <w:numFmt w:val="decimal"/>
      <w:start w:val="1"/>
    </w:lvl>
    <w:lvl w:ilvl="1">
      <w:lvlJc w:val="left"/>
      <w:lvlText w:val="%2"/>
      <w:numFmt w:val="decimal"/>
      <w:start w:val="1"/>
    </w:lvl>
  </w:abstractNum>
  <w:abstractNum w:abstractNumId="31">
    <w:nsid w:val="6A2342EC"/>
    <w:multiLevelType w:val="hybridMultilevel"/>
    <w:lvl w:ilvl="0">
      <w:lvlJc w:val="left"/>
      <w:lvlText w:val="%1."/>
      <w:numFmt w:val="decimal"/>
      <w:start w:val="4"/>
    </w:lvl>
  </w:abstractNum>
  <w:abstractNum w:abstractNumId="32">
    <w:nsid w:val="2A487CB0"/>
    <w:multiLevelType w:val="hybridMultilevel"/>
    <w:lvl w:ilvl="0">
      <w:lvlJc w:val="left"/>
      <w:lvlText w:val="%1."/>
      <w:numFmt w:val="decimal"/>
      <w:start w:val="6"/>
    </w:lvl>
  </w:abstractNum>
  <w:abstractNum w:abstractNumId="33">
    <w:nsid w:val="1D4ED43B"/>
    <w:multiLevelType w:val="hybridMultilevel"/>
    <w:lvl w:ilvl="0">
      <w:lvlJc w:val="left"/>
      <w:lvlText w:val="%1."/>
      <w:numFmt w:val="decimal"/>
      <w:start w:val="12"/>
    </w:lvl>
  </w:abstractNum>
  <w:abstractNum w:abstractNumId="34">
    <w:nsid w:val="725A06FB"/>
    <w:multiLevelType w:val="hybridMultilevel"/>
    <w:lvl w:ilvl="0">
      <w:lvlJc w:val="left"/>
      <w:lvlText w:val="%1."/>
      <w:numFmt w:val="decimal"/>
      <w:start w:val="18"/>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lowerRoman"/>
      <w:start w:val="1"/>
    </w:lvl>
    <w:lvl w:ilvl="1">
      <w:lvlJc w:val="left"/>
      <w:lvlText w:val="%2."/>
      <w:numFmt w:val="decimal"/>
      <w:start w:val="7"/>
    </w:lvl>
  </w:abstractNum>
  <w:abstractNum w:abstractNumId="37">
    <w:nsid w:val="7A6D8D3C"/>
    <w:multiLevelType w:val="hybridMultilevel"/>
    <w:lvl w:ilvl="0">
      <w:lvlJc w:val="left"/>
      <w:lvlText w:val="(%1)"/>
      <w:numFmt w:val="lowerRoman"/>
      <w:start w:val="3"/>
    </w:lvl>
    <w:lvl w:ilvl="1">
      <w:lvlJc w:val="left"/>
      <w:lvlText w:val="%2."/>
      <w:numFmt w:val="decimal"/>
      <w:start w:val="10"/>
    </w:lvl>
  </w:abstractNum>
  <w:abstractNum w:abstractNumId="38">
    <w:nsid w:val="4B588F54"/>
    <w:multiLevelType w:val="hybridMultilevel"/>
    <w:lvl w:ilvl="0">
      <w:lvlJc w:val="left"/>
      <w:lvlText w:val="%1."/>
      <w:numFmt w:val="decimal"/>
      <w:start w:val="14"/>
    </w:lvl>
  </w:abstractNum>
  <w:abstractNum w:abstractNumId="39">
    <w:nsid w:val="542289EC"/>
    <w:multiLevelType w:val="hybridMultilevel"/>
    <w:lvl w:ilvl="0">
      <w:lvlJc w:val="left"/>
      <w:lvlText w:val="%1."/>
      <w:numFmt w:val="decimal"/>
      <w:start w:val="20"/>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lowerRoman"/>
      <w:start w:val="1"/>
    </w:lvl>
    <w:lvl w:ilvl="1">
      <w:lvlJc w:val="left"/>
      <w:lvlText w:val="%2."/>
      <w:numFmt w:val="decimal"/>
      <w:start w:val="7"/>
    </w:lvl>
  </w:abstractNum>
  <w:abstractNum w:abstractNumId="42">
    <w:nsid w:val="7644A45C"/>
    <w:multiLevelType w:val="hybridMultilevel"/>
    <w:lvl w:ilvl="0">
      <w:lvlJc w:val="left"/>
      <w:lvlText w:val="(%1)"/>
      <w:numFmt w:val="lowerRoman"/>
      <w:start w:val="3"/>
    </w:lvl>
    <w:lvl w:ilvl="1">
      <w:lvlJc w:val="left"/>
      <w:lvlText w:val="%2."/>
      <w:numFmt w:val="decimal"/>
      <w:start w:val="10"/>
    </w:lvl>
  </w:abstractNum>
  <w:abstractNum w:abstractNumId="43">
    <w:nsid w:val="32FFF902"/>
    <w:multiLevelType w:val="hybridMultilevel"/>
    <w:lvl w:ilvl="0">
      <w:lvlJc w:val="left"/>
      <w:lvlText w:val="%1."/>
      <w:numFmt w:val="decimal"/>
      <w:start w:val="14"/>
    </w:lvl>
  </w:abstractNum>
  <w:abstractNum w:abstractNumId="44">
    <w:nsid w:val="684A481A"/>
    <w:multiLevelType w:val="hybridMultilevel"/>
    <w:lvl w:ilvl="0">
      <w:lvlJc w:val="left"/>
      <w:lvlText w:val="%1."/>
      <w:numFmt w:val="decimal"/>
      <w:start w:val="20"/>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6"/>
    </w:lvl>
  </w:abstractNum>
  <w:abstractNum w:abstractNumId="47">
    <w:nsid w:val="3DC240FB"/>
    <w:multiLevelType w:val="hybridMultilevel"/>
    <w:lvl w:ilvl="0">
      <w:lvlJc w:val="left"/>
      <w:lvlText w:val="%1."/>
      <w:numFmt w:val="decimal"/>
      <w:start w:val="12"/>
    </w:lvl>
  </w:abstractNum>
  <w:abstractNum w:abstractNumId="48">
    <w:nsid w:val="1BA026FA"/>
    <w:multiLevelType w:val="hybridMultilevel"/>
    <w:lvl w:ilvl="0">
      <w:lvlJc w:val="left"/>
      <w:lvlText w:val="%1."/>
      <w:numFmt w:val="decimal"/>
      <w:start w:val="18"/>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49" Type="http://schemas.openxmlformats.org/officeDocument/2006/relationships/hyperlink" Target="http://www.sec.gov/Archives/edgar/data/0001817358/000119312520264744/d910645dex31.htm" TargetMode="External"/><Relationship Id="rId50" Type="http://schemas.openxmlformats.org/officeDocument/2006/relationships/hyperlink" Target="http://www.sec.gov/Archives/edgar/data/0001817358/000119312520264744/d91064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2022-06-07T15:11:05Z</dcterms:created>
  <dcterms:modified xsi:type="dcterms:W3CDTF">2022-06-07T15:11:05Z</dcterms:modified>
</cp:coreProperties>
</file>