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6011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133"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HICKS KEN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03/30/2023</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14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00"/>
            <w:col w:w="7240"/>
          </w:cols>
          <w:pgMar w:left="460" w:top="222" w:right="359" w:bottom="11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03/30/2023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Arial" w:cs="Arial" w:eastAsia="Arial" w:hAnsi="Arial"/>
                <w:sz w:val="17"/>
                <w:szCs w:val="17"/>
                <w:color w:val="0000FF"/>
                <w:w w:val="89"/>
              </w:rPr>
              <w:t>1,243</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174"/>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471,426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03/30/2023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Arial" w:cs="Arial" w:eastAsia="Arial" w:hAnsi="Arial"/>
                <w:sz w:val="17"/>
                <w:szCs w:val="17"/>
                <w:color w:val="0000FF"/>
                <w:w w:val="91"/>
              </w:rPr>
              <w:t>617</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63.02</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470,809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03/31/2023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Arial" w:cs="Arial" w:eastAsia="Arial" w:hAnsi="Arial"/>
                <w:sz w:val="17"/>
                <w:szCs w:val="17"/>
                <w:color w:val="0000FF"/>
                <w:w w:val="89"/>
              </w:rPr>
              <w:t>1,273</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174"/>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472,082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03/31/2023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Arial" w:cs="Arial" w:eastAsia="Arial" w:hAnsi="Arial"/>
                <w:sz w:val="17"/>
                <w:szCs w:val="17"/>
                <w:color w:val="0000FF"/>
                <w:w w:val="91"/>
              </w:rPr>
              <w:t>632</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62.85</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471,450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1,243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75"/>
              <w:spacing w:after="0" w:line="139" w:lineRule="exact"/>
              <w:rPr>
                <w:sz w:val="20"/>
                <w:szCs w:val="20"/>
                <w:color w:val="auto"/>
              </w:rPr>
            </w:pPr>
            <w:r>
              <w:rPr>
                <w:rFonts w:ascii="Arial" w:cs="Arial" w:eastAsia="Arial" w:hAnsi="Arial"/>
                <w:sz w:val="13"/>
                <w:szCs w:val="13"/>
                <w:color w:val="0000FF"/>
              </w:rPr>
              <w:t>03/30/2023</w:t>
            </w:r>
          </w:p>
        </w:tc>
        <w:tc>
          <w:tcPr>
            <w:tcW w:w="1100" w:type="dxa"/>
            <w:vAlign w:val="bottom"/>
          </w:tcPr>
          <w:p>
            <w:pPr>
              <w:spacing w:after="0"/>
              <w:rPr>
                <w:sz w:val="6"/>
                <w:szCs w:val="6"/>
                <w:color w:val="auto"/>
              </w:rPr>
            </w:pPr>
          </w:p>
        </w:tc>
        <w:tc>
          <w:tcPr>
            <w:tcW w:w="64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1,243</w:t>
            </w: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(3)</w:t>
            </w:r>
          </w:p>
        </w:tc>
        <w:tc>
          <w:tcPr>
            <w:tcW w:w="760" w:type="dxa"/>
            <w:vAlign w:val="bottom"/>
            <w:gridSpan w:val="2"/>
            <w:vMerge w:val="restart"/>
          </w:tcPr>
          <w:p>
            <w:pPr>
              <w:ind w:left="40"/>
              <w:spacing w:after="0" w:line="139" w:lineRule="exact"/>
              <w:rPr>
                <w:sz w:val="20"/>
                <w:szCs w:val="20"/>
                <w:color w:val="auto"/>
              </w:rPr>
            </w:pPr>
            <w:r>
              <w:rPr>
                <w:rFonts w:ascii="Arial" w:cs="Arial" w:eastAsia="Arial" w:hAnsi="Arial"/>
                <w:sz w:val="13"/>
                <w:szCs w:val="13"/>
                <w:color w:val="0000FF"/>
              </w:rPr>
              <w:t>03/30/2032</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39" w:lineRule="exact"/>
              <w:rPr>
                <w:sz w:val="20"/>
                <w:szCs w:val="20"/>
                <w:color w:val="auto"/>
              </w:rPr>
            </w:pPr>
            <w:r>
              <w:rPr>
                <w:rFonts w:ascii="Arial" w:cs="Arial" w:eastAsia="Arial" w:hAnsi="Arial"/>
                <w:sz w:val="13"/>
                <w:szCs w:val="13"/>
                <w:color w:val="0000FF"/>
                <w:w w:val="90"/>
              </w:rPr>
              <w:t>46,345</w:t>
            </w:r>
          </w:p>
        </w:tc>
        <w:tc>
          <w:tcPr>
            <w:tcW w:w="260" w:type="dxa"/>
            <w:vAlign w:val="bottom"/>
          </w:tcPr>
          <w:p>
            <w:pPr>
              <w:spacing w:after="0"/>
              <w:rPr>
                <w:sz w:val="6"/>
                <w:szCs w:val="6"/>
                <w:color w:val="auto"/>
              </w:rPr>
            </w:pPr>
          </w:p>
        </w:tc>
        <w:tc>
          <w:tcPr>
            <w:tcW w:w="68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1,273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75"/>
              <w:spacing w:after="0" w:line="139" w:lineRule="exact"/>
              <w:rPr>
                <w:sz w:val="20"/>
                <w:szCs w:val="20"/>
                <w:color w:val="auto"/>
              </w:rPr>
            </w:pPr>
            <w:r>
              <w:rPr>
                <w:rFonts w:ascii="Arial" w:cs="Arial" w:eastAsia="Arial" w:hAnsi="Arial"/>
                <w:sz w:val="13"/>
                <w:szCs w:val="13"/>
                <w:color w:val="0000FF"/>
              </w:rPr>
              <w:t>03/31/2023</w:t>
            </w:r>
          </w:p>
        </w:tc>
        <w:tc>
          <w:tcPr>
            <w:tcW w:w="1100" w:type="dxa"/>
            <w:vAlign w:val="bottom"/>
          </w:tcPr>
          <w:p>
            <w:pPr>
              <w:spacing w:after="0"/>
              <w:rPr>
                <w:sz w:val="6"/>
                <w:szCs w:val="6"/>
                <w:color w:val="auto"/>
              </w:rPr>
            </w:pPr>
          </w:p>
        </w:tc>
        <w:tc>
          <w:tcPr>
            <w:tcW w:w="64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1,273</w:t>
            </w: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(4)</w:t>
            </w:r>
          </w:p>
        </w:tc>
        <w:tc>
          <w:tcPr>
            <w:tcW w:w="760" w:type="dxa"/>
            <w:vAlign w:val="bottom"/>
            <w:gridSpan w:val="2"/>
            <w:vMerge w:val="restart"/>
          </w:tcPr>
          <w:p>
            <w:pPr>
              <w:ind w:left="40"/>
              <w:spacing w:after="0" w:line="139"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39" w:lineRule="exact"/>
              <w:rPr>
                <w:sz w:val="20"/>
                <w:szCs w:val="20"/>
                <w:color w:val="auto"/>
              </w:rPr>
            </w:pPr>
            <w:r>
              <w:rPr>
                <w:rFonts w:ascii="Arial" w:cs="Arial" w:eastAsia="Arial" w:hAnsi="Arial"/>
                <w:sz w:val="13"/>
                <w:szCs w:val="13"/>
                <w:color w:val="0000FF"/>
                <w:w w:val="90"/>
              </w:rPr>
              <w:t>28,028</w:t>
            </w:r>
          </w:p>
        </w:tc>
        <w:tc>
          <w:tcPr>
            <w:tcW w:w="260" w:type="dxa"/>
            <w:vAlign w:val="bottom"/>
          </w:tcPr>
          <w:p>
            <w:pPr>
              <w:spacing w:after="0"/>
              <w:rPr>
                <w:sz w:val="6"/>
                <w:szCs w:val="6"/>
                <w:color w:val="auto"/>
              </w:rPr>
            </w:pPr>
          </w:p>
        </w:tc>
        <w:tc>
          <w:tcPr>
            <w:tcW w:w="68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18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30, 2022, the Reporting Person was granted 63,760 performance-based restricted stock units ("RSUs"). These 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RSUs were deemed earned. Of this earned amount, 1/48 of the RSUs earned will vest for every monthly anniversary since the Vesting Commencement Date (i.e., January 30, 2022), and thereafter, subject to the Reporting Person's continued service with the Issuer through each applicable vesting date. The remaining unearned amount of this grant (i.e., 4,047 RSUs) may vest upon certification by the Issuer's compensation committee of achievement of certain Issuer stock price conditions as of the fourth anniversary of the Vesting Commencement Date.</w:t>
      </w:r>
    </w:p>
    <w:p>
      <w:pPr>
        <w:spacing w:after="0" w:line="21" w:lineRule="exact"/>
        <w:rPr>
          <w:rFonts w:ascii="Arial" w:cs="Arial" w:eastAsia="Arial" w:hAnsi="Arial"/>
          <w:sz w:val="12"/>
          <w:szCs w:val="12"/>
          <w:color w:val="008000"/>
        </w:rPr>
      </w:pPr>
    </w:p>
    <w:p>
      <w:pPr>
        <w:ind w:left="40" w:right="440" w:firstLine="3"/>
        <w:spacing w:after="0" w:line="298"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March 31, 2021, the Reporting Person was granted 61,133 performance-based RSUs. These RSUs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RSUs granted will vest for every monthly anniversary since the Vesting Commencement Date (i.e., January 31, 2021), and thereafter on each monthly anniversary of the Vesting Commencement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04/03/2023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1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2023-04-03T16:03:05Z</dcterms:created>
  <dcterms:modified xsi:type="dcterms:W3CDTF">2023-04-03T16:03:05Z</dcterms:modified>
</cp:coreProperties>
</file>