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50800</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3860" w:right="1360" w:hanging="2487"/>
        <w:spacing w:after="0" w:line="281" w:lineRule="auto"/>
        <w:tabs>
          <w:tab w:leader="none" w:pos="156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October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560" w:hanging="193"/>
        <w:spacing w:after="0"/>
        <w:tabs>
          <w:tab w:leader="none" w:pos="15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For the transition period from ___________ to ___________</w:t>
      </w:r>
      <w:r>
        <w:rPr>
          <w:rFonts w:ascii="Arial" w:cs="Arial" w:eastAsia="Arial" w:hAnsi="Arial"/>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80645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174625</wp:posOffset>
            </wp:positionV>
            <wp:extent cx="182562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96" w:lineRule="exact"/>
        <w:rPr>
          <w:sz w:val="24"/>
          <w:szCs w:val="24"/>
          <w:color w:val="auto"/>
        </w:rPr>
      </w:pPr>
    </w:p>
    <w:p>
      <w:pPr>
        <w:ind w:left="1880"/>
        <w:spacing w:after="0"/>
        <w:tabs>
          <w:tab w:leader="none" w:pos="85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85-1800912</w:t>
      </w:r>
    </w:p>
    <w:p>
      <w:pPr>
        <w:spacing w:after="0" w:line="131" w:lineRule="exact"/>
        <w:rPr>
          <w:sz w:val="24"/>
          <w:szCs w:val="24"/>
          <w:color w:val="auto"/>
        </w:rPr>
      </w:pPr>
    </w:p>
    <w:p>
      <w:pPr>
        <w:ind w:left="1260"/>
        <w:spacing w:after="0"/>
        <w:tabs>
          <w:tab w:leader="none" w:pos="8400" w:val="left"/>
        </w:tabs>
        <w:rPr>
          <w:sz w:val="20"/>
          <w:szCs w:val="20"/>
          <w:color w:val="auto"/>
        </w:rPr>
      </w:pPr>
      <w:r>
        <w:rPr>
          <w:rFonts w:ascii="Arial" w:cs="Arial" w:eastAsia="Arial" w:hAnsi="Arial"/>
          <w:sz w:val="16"/>
          <w:szCs w:val="16"/>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spacing w:after="0" w:line="73" w:lineRule="exact"/>
        <w:rPr>
          <w:sz w:val="24"/>
          <w:szCs w:val="24"/>
          <w:color w:val="auto"/>
        </w:rPr>
      </w:pPr>
    </w:p>
    <w:p>
      <w:pPr>
        <w:ind w:left="1200"/>
        <w:spacing w:after="0"/>
        <w:tabs>
          <w:tab w:leader="none" w:pos="8340" w:val="left"/>
        </w:tabs>
        <w:rPr>
          <w:sz w:val="20"/>
          <w:szCs w:val="20"/>
          <w:color w:val="auto"/>
        </w:rPr>
      </w:pPr>
      <w:r>
        <w:rPr>
          <w:rFonts w:ascii="Arial" w:cs="Arial" w:eastAsia="Arial" w:hAnsi="Arial"/>
          <w:sz w:val="16"/>
          <w:szCs w:val="16"/>
          <w:i w:val="1"/>
          <w:iCs w:val="1"/>
          <w:color w:val="auto"/>
        </w:rPr>
        <w:t>incorporation or organization)</w:t>
      </w:r>
      <w:r>
        <w:rPr>
          <w:sz w:val="20"/>
          <w:szCs w:val="20"/>
          <w:color w:val="auto"/>
        </w:rPr>
        <w:tab/>
      </w:r>
      <w:r>
        <w:rPr>
          <w:rFonts w:ascii="Arial" w:cs="Arial" w:eastAsia="Arial" w:hAnsi="Arial"/>
          <w:sz w:val="15"/>
          <w:szCs w:val="15"/>
          <w:i w:val="1"/>
          <w:iCs w:val="1"/>
          <w:color w:val="auto"/>
        </w:rPr>
        <w:t>Identification No.)</w:t>
      </w:r>
    </w:p>
    <w:p>
      <w:pPr>
        <w:spacing w:after="0" w:line="109"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46"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36" w:lineRule="exact"/>
        <w:rPr>
          <w:sz w:val="24"/>
          <w:szCs w:val="24"/>
          <w:color w:val="auto"/>
        </w:rPr>
      </w:pPr>
    </w:p>
    <w:p>
      <w:pPr>
        <w:ind w:left="394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23"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(281) 646-5200</w:t>
      </w:r>
    </w:p>
    <w:p>
      <w:pPr>
        <w:spacing w:after="0" w:line="36" w:lineRule="exact"/>
        <w:rPr>
          <w:sz w:val="24"/>
          <w:szCs w:val="24"/>
          <w:color w:val="auto"/>
        </w:rPr>
      </w:pPr>
    </w:p>
    <w:p>
      <w:pPr>
        <w:ind w:left="380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23"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23"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60" w:type="dxa"/>
            <w:vAlign w:val="bottom"/>
            <w:gridSpan w:val="4"/>
          </w:tcPr>
          <w:p>
            <w:pPr>
              <w:jc w:val="center"/>
              <w:ind w:right="27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82"/>
        </w:trPr>
        <w:tc>
          <w:tcPr>
            <w:tcW w:w="780" w:type="dxa"/>
            <w:vAlign w:val="bottom"/>
          </w:tcPr>
          <w:p>
            <w:pPr>
              <w:spacing w:after="0"/>
              <w:rPr>
                <w:sz w:val="15"/>
                <w:szCs w:val="15"/>
                <w:color w:val="auto"/>
              </w:rPr>
            </w:pPr>
          </w:p>
        </w:tc>
        <w:tc>
          <w:tcPr>
            <w:tcW w:w="1960" w:type="dxa"/>
            <w:vAlign w:val="bottom"/>
            <w:gridSpan w:val="2"/>
          </w:tcPr>
          <w:p>
            <w:pPr>
              <w:jc w:val="center"/>
              <w:ind w:right="780"/>
              <w:spacing w:after="0" w:line="181" w:lineRule="exact"/>
              <w:rPr>
                <w:sz w:val="20"/>
                <w:szCs w:val="20"/>
                <w:color w:val="auto"/>
              </w:rPr>
            </w:pPr>
            <w:r>
              <w:rPr>
                <w:rFonts w:ascii="Arial" w:cs="Arial" w:eastAsia="Arial" w:hAnsi="Arial"/>
                <w:sz w:val="16"/>
                <w:szCs w:val="16"/>
                <w:b w:val="1"/>
                <w:bCs w:val="1"/>
                <w:i w:val="1"/>
                <w:iCs w:val="1"/>
                <w:color w:val="auto"/>
                <w:w w:val="85"/>
              </w:rPr>
              <w:t>Title of each class</w:t>
            </w:r>
          </w:p>
        </w:tc>
        <w:tc>
          <w:tcPr>
            <w:tcW w:w="2620" w:type="dxa"/>
            <w:vAlign w:val="bottom"/>
            <w:gridSpan w:val="2"/>
          </w:tcPr>
          <w:p>
            <w:pPr>
              <w:jc w:val="center"/>
              <w:ind w:left="1299"/>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4240" w:type="dxa"/>
            <w:vAlign w:val="bottom"/>
            <w:gridSpan w:val="2"/>
          </w:tcPr>
          <w:p>
            <w:pPr>
              <w:jc w:val="center"/>
              <w:ind w:left="1199"/>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2740" w:type="dxa"/>
            <w:vAlign w:val="bottom"/>
            <w:gridSpan w:val="3"/>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13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ASO</w:t>
            </w:r>
          </w:p>
        </w:tc>
        <w:tc>
          <w:tcPr>
            <w:tcW w:w="12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85"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7" w:lineRule="exact"/>
        <w:rPr>
          <w:sz w:val="24"/>
          <w:szCs w:val="24"/>
          <w:color w:val="auto"/>
        </w:rPr>
      </w:pPr>
    </w:p>
    <w:p>
      <w:pPr>
        <w:ind w:right="180"/>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20"/>
        <w:spacing w:after="0" w:line="184" w:lineRule="exact"/>
        <w:tabs>
          <w:tab w:leader="none" w:pos="6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220"/>
        <w:spacing w:after="0" w:line="184" w:lineRule="exact"/>
        <w:tabs>
          <w:tab w:leader="none" w:pos="67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2"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3, 2021, Academy Sports and Outdoors, Inc. had 88,534,994 shares of common stock, par value $0.01 per share, outstanding.</w:t>
      </w:r>
    </w:p>
    <w:p>
      <w:pPr>
        <w:sectPr>
          <w:pgSz w:w="11900" w:h="16838" w:orient="portrait"/>
          <w:cols w:equalWidth="0" w:num="1">
            <w:col w:w="11160"/>
          </w:cols>
          <w:pgMar w:left="360" w:top="585" w:right="37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585"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4"/>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520" w:type="dxa"/>
            <w:vAlign w:val="bottom"/>
            <w:gridSpan w:val="4"/>
            <w:shd w:val="clear" w:color="auto" w:fill="CCEEFF"/>
          </w:tcPr>
          <w:p>
            <w:pPr>
              <w:jc w:val="center"/>
              <w:ind w:left="230"/>
              <w:spacing w:after="0" w:line="156"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9"/>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7500" w:type="dxa"/>
            <w:vAlign w:val="bottom"/>
            <w:gridSpan w:val="4"/>
          </w:tcPr>
          <w:p>
            <w:pPr>
              <w:spacing w:after="0"/>
              <w:rPr>
                <w:sz w:val="15"/>
                <w:szCs w:val="15"/>
                <w:color w:val="auto"/>
              </w:rPr>
            </w:pPr>
          </w:p>
        </w:tc>
        <w:tc>
          <w:tcPr>
            <w:tcW w:w="520" w:type="dxa"/>
            <w:vAlign w:val="bottom"/>
            <w:gridSpan w:val="4"/>
          </w:tcPr>
          <w:p>
            <w:pPr>
              <w:jc w:val="center"/>
              <w:ind w:left="230"/>
              <w:spacing w:after="0" w:line="183"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2"/>
            <w:shd w:val="clear" w:color="auto" w:fill="CCEEFF"/>
          </w:tcPr>
          <w:p>
            <w:pPr>
              <w:spacing w:after="0" w:line="189" w:lineRule="exact"/>
              <w:rPr>
                <w:rFonts w:ascii="Arial" w:cs="Arial" w:eastAsia="Arial" w:hAnsi="Arial"/>
                <w:sz w:val="18"/>
                <w:szCs w:val="18"/>
                <w:color w:val="0000FF"/>
                <w:w w:val="90"/>
              </w:rPr>
            </w:pPr>
            <w:hyperlink w:anchor="page26">
              <w:r>
                <w:rPr>
                  <w:rFonts w:ascii="Arial" w:cs="Arial" w:eastAsia="Arial" w:hAnsi="Arial"/>
                  <w:sz w:val="18"/>
                  <w:szCs w:val="18"/>
                  <w:color w:val="0000FF"/>
                  <w:w w:val="90"/>
                </w:rPr>
                <w:t>Item 2. Management's Discussion and Analysis of Financial Condition and Results of Operations</w:t>
              </w:r>
            </w:hyperlink>
          </w:p>
        </w:tc>
        <w:tc>
          <w:tcPr>
            <w:tcW w:w="316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2"/>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Item 3. Quantitative and Qualitative Disclosures About Market Risk</w:t>
              </w:r>
            </w:hyperlink>
          </w:p>
        </w:tc>
        <w:tc>
          <w:tcPr>
            <w:tcW w:w="3160" w:type="dxa"/>
            <w:vAlign w:val="bottom"/>
          </w:tcPr>
          <w:p>
            <w:pPr>
              <w:spacing w:after="0"/>
              <w:rPr>
                <w:sz w:val="16"/>
                <w:szCs w:val="16"/>
                <w:color w:val="auto"/>
              </w:rPr>
            </w:pPr>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48</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4.</w:t>
              </w:r>
            </w:hyperlink>
          </w:p>
        </w:tc>
        <w:tc>
          <w:tcPr>
            <w:tcW w:w="9620" w:type="dxa"/>
            <w:vAlign w:val="bottom"/>
            <w:gridSpan w:val="12"/>
            <w:shd w:val="clear" w:color="auto" w:fill="CCEEFF"/>
          </w:tcPr>
          <w:p>
            <w:pPr>
              <w:ind w:lef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Controls and Procedures</w:t>
              </w:r>
            </w:hyperlink>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4"/>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PART II. OTHER INFORMATION</w:t>
              </w:r>
            </w:hyperlink>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1.</w:t>
              </w:r>
            </w:hyperlink>
          </w:p>
        </w:tc>
        <w:tc>
          <w:tcPr>
            <w:tcW w:w="1360" w:type="dxa"/>
            <w:vAlign w:val="bottom"/>
            <w:gridSpan w:val="4"/>
            <w:shd w:val="clear" w:color="auto" w:fill="CCEEFF"/>
          </w:tcPr>
          <w:p>
            <w:pPr>
              <w:ind w:left="20"/>
              <w:spacing w:after="0" w:line="189" w:lineRule="exact"/>
              <w:rPr>
                <w:rFonts w:ascii="Arial" w:cs="Arial" w:eastAsia="Arial" w:hAnsi="Arial"/>
                <w:sz w:val="18"/>
                <w:szCs w:val="18"/>
                <w:color w:val="0000FF"/>
                <w:w w:val="88"/>
              </w:rPr>
            </w:pPr>
            <w:hyperlink w:anchor="page48">
              <w:r>
                <w:rPr>
                  <w:rFonts w:ascii="Arial" w:cs="Arial" w:eastAsia="Arial" w:hAnsi="Arial"/>
                  <w:sz w:val="18"/>
                  <w:szCs w:val="18"/>
                  <w:color w:val="0000FF"/>
                  <w:w w:val="88"/>
                </w:rPr>
                <w:t>Legal Proceedings</w:t>
              </w:r>
            </w:hyperlink>
          </w:p>
        </w:tc>
        <w:tc>
          <w:tcPr>
            <w:tcW w:w="8260" w:type="dxa"/>
            <w:vAlign w:val="bottom"/>
            <w:gridSpan w:val="8"/>
            <w:shd w:val="clear" w:color="auto" w:fill="CCEEFF"/>
          </w:tcPr>
          <w:p>
            <w:pPr>
              <w:spacing w:after="0"/>
              <w:rPr>
                <w:sz w:val="16"/>
                <w:szCs w:val="16"/>
                <w:color w:val="auto"/>
              </w:rPr>
            </w:pPr>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Item 1A. Risk Factors</w:t>
              </w:r>
            </w:hyperlink>
          </w:p>
        </w:tc>
        <w:tc>
          <w:tcPr>
            <w:tcW w:w="8260" w:type="dxa"/>
            <w:vAlign w:val="bottom"/>
            <w:gridSpan w:val="8"/>
          </w:tcPr>
          <w:p>
            <w:pPr>
              <w:spacing w:after="0"/>
              <w:rPr>
                <w:sz w:val="16"/>
                <w:szCs w:val="16"/>
                <w:color w:val="auto"/>
              </w:rPr>
            </w:pPr>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Item 2.</w:t>
              </w:r>
            </w:hyperlink>
          </w:p>
        </w:tc>
        <w:tc>
          <w:tcPr>
            <w:tcW w:w="9620" w:type="dxa"/>
            <w:vAlign w:val="bottom"/>
            <w:gridSpan w:val="12"/>
            <w:shd w:val="clear" w:color="auto" w:fill="CCEEFF"/>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Item 6.</w:t>
              </w:r>
            </w:hyperlink>
          </w:p>
        </w:tc>
        <w:tc>
          <w:tcPr>
            <w:tcW w:w="4360" w:type="dxa"/>
            <w:vAlign w:val="bottom"/>
            <w:gridSpan w:val="9"/>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5260" w:type="dxa"/>
            <w:vAlign w:val="bottom"/>
            <w:gridSpan w:val="3"/>
          </w:tcPr>
          <w:p>
            <w:pPr>
              <w:spacing w:after="0"/>
              <w:rPr>
                <w:sz w:val="16"/>
                <w:szCs w:val="16"/>
                <w:color w:val="auto"/>
              </w:rPr>
            </w:pPr>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51</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4"/>
            <w:shd w:val="clear" w:color="auto" w:fill="CCEEFF"/>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7"/>
                <w:szCs w:val="17"/>
                <w:b w:val="1"/>
                <w:bCs w:val="1"/>
                <w:color w:val="auto"/>
              </w:rPr>
              <w:t>October 30, 2021</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7"/>
                <w:szCs w:val="17"/>
                <w:b w:val="1"/>
                <w:bCs w:val="1"/>
                <w:color w:val="auto"/>
              </w:rPr>
              <w:t>January 30, 2021</w:t>
            </w:r>
          </w:p>
        </w:tc>
        <w:tc>
          <w:tcPr>
            <w:tcW w:w="16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October 31, 2020</w:t>
            </w:r>
          </w:p>
        </w:tc>
        <w:tc>
          <w:tcPr>
            <w:tcW w:w="0" w:type="dxa"/>
            <w:vAlign w:val="bottom"/>
          </w:tcPr>
          <w:p>
            <w:pPr>
              <w:spacing w:after="0"/>
              <w:rPr>
                <w:sz w:val="1"/>
                <w:szCs w:val="1"/>
                <w:color w:val="auto"/>
              </w:rPr>
            </w:pPr>
          </w:p>
        </w:tc>
      </w:tr>
      <w:tr>
        <w:trPr>
          <w:trHeight w:val="198"/>
        </w:trPr>
        <w:tc>
          <w:tcPr>
            <w:tcW w:w="6180" w:type="dxa"/>
            <w:vAlign w:val="bottom"/>
            <w:tcBorders>
              <w:top w:val="single" w:sz="8" w:color="CCEEFF"/>
            </w:tcBorders>
            <w:shd w:val="clear" w:color="auto" w:fill="CCEEFF"/>
          </w:tcPr>
          <w:p>
            <w:pPr>
              <w:ind w:left="274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401,297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869,725</w:t>
            </w:r>
          </w:p>
        </w:tc>
        <w:tc>
          <w:tcPr>
            <w:tcW w:w="0" w:type="dxa"/>
            <w:vAlign w:val="bottom"/>
          </w:tcPr>
          <w:p>
            <w:pPr>
              <w:spacing w:after="0"/>
              <w:rPr>
                <w:sz w:val="1"/>
                <w:szCs w:val="1"/>
                <w:color w:val="auto"/>
              </w:rPr>
            </w:pPr>
          </w:p>
        </w:tc>
      </w:tr>
      <w:tr>
        <w:trPr>
          <w:trHeight w:val="162"/>
        </w:trPr>
        <w:tc>
          <w:tcPr>
            <w:tcW w:w="6180" w:type="dxa"/>
            <w:vAlign w:val="bottom"/>
          </w:tcPr>
          <w:p>
            <w:pPr>
              <w:ind w:left="240"/>
              <w:spacing w:after="0" w:line="162" w:lineRule="exact"/>
              <w:rPr>
                <w:sz w:val="20"/>
                <w:szCs w:val="20"/>
                <w:color w:val="auto"/>
              </w:rPr>
            </w:pPr>
            <w:r>
              <w:rPr>
                <w:rFonts w:ascii="Arial" w:cs="Arial" w:eastAsia="Arial" w:hAnsi="Arial"/>
                <w:sz w:val="17"/>
                <w:szCs w:val="17"/>
                <w:color w:val="auto"/>
                <w:w w:val="96"/>
              </w:rPr>
              <w:t>Accounts receivable - less allowance for doubtful accounts of $1,139, $1,172 and</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12,368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17,306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11,908</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$1,286, respectively</w:t>
            </w: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Merchandise inventories,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1,325,979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1,082,907</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44,491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28,313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25,789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0" w:type="dxa"/>
            <w:vAlign w:val="bottom"/>
          </w:tcPr>
          <w:p>
            <w:pPr>
              <w:spacing w:after="0"/>
              <w:rPr>
                <w:sz w:val="1"/>
                <w:szCs w:val="1"/>
                <w:color w:val="auto"/>
              </w:rPr>
            </w:pPr>
          </w:p>
        </w:tc>
      </w:tr>
      <w:tr>
        <w:trPr>
          <w:trHeight w:val="210"/>
        </w:trPr>
        <w:tc>
          <w:tcPr>
            <w:tcW w:w="6180" w:type="dxa"/>
            <w:vAlign w:val="bottom"/>
          </w:tcPr>
          <w:p>
            <w:pPr>
              <w:ind w:left="460"/>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1,785,898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1,415,020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1,992,092</w:t>
            </w:r>
          </w:p>
        </w:tc>
        <w:tc>
          <w:tcPr>
            <w:tcW w:w="0" w:type="dxa"/>
            <w:vAlign w:val="bottom"/>
          </w:tcPr>
          <w:p>
            <w:pPr>
              <w:spacing w:after="0"/>
              <w:rPr>
                <w:sz w:val="1"/>
                <w:szCs w:val="1"/>
                <w:color w:val="auto"/>
              </w:rPr>
            </w:pPr>
          </w:p>
        </w:tc>
      </w:tr>
      <w:tr>
        <w:trPr>
          <w:trHeight w:val="94"/>
        </w:trPr>
        <w:tc>
          <w:tcPr>
            <w:tcW w:w="6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358,110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378,260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382,620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RIGHT-OF-USE 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1,087,407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1,143,699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1,163,361</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TRADE NAME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577,144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577,000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577,000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GOODWILL</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861,920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NONCURRENT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4,923</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4,675,995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4,384,482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4,981,916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LIABILITIES AND STOCKHOLDERS' / PARTNERS' EQUITY</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919,196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791,404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868,879</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304,488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291,351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274,612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Current lease liabilities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79,361</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Current maturities of long-term debt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18,250</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1,313,385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1,241,102</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DEBT,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683,845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781,489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1,408,885</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LONG-TERM LEASE LIABILITIES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1,088,142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1,150,088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1,171,420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188,243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132,701</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26,386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43,244</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3,300,001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3,272,499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3,997,352</w:t>
            </w: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MEMBERSHIP UNITS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 PARTNERS' EQUITY:</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40"/>
              <w:spacing w:after="0" w:line="162" w:lineRule="exact"/>
              <w:rPr>
                <w:sz w:val="20"/>
                <w:szCs w:val="20"/>
                <w:color w:val="auto"/>
              </w:rPr>
            </w:pPr>
            <w:r>
              <w:rPr>
                <w:rFonts w:ascii="Arial" w:cs="Arial" w:eastAsia="Arial" w:hAnsi="Arial"/>
                <w:sz w:val="17"/>
                <w:szCs w:val="17"/>
                <w:color w:val="auto"/>
                <w:w w:val="96"/>
              </w:rPr>
              <w:t>Preferred stock, $0.01 par value, authorized 50,000,000 shares; none issued and</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outstanding</w:t>
            </w: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rPr>
              <w:t>Common stock, $0.01 par value, authorized 300,000,000 shares; 88,164,878;</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w w:val="92"/>
              </w:rPr>
              <w:t>91,114,475; and 88,103,975 issued and outstanding as of October 30, 2021, January</w:t>
            </w: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882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30, 2021, and October 31, 2020, respectively.</w:t>
            </w:r>
          </w:p>
        </w:tc>
        <w:tc>
          <w:tcPr>
            <w:tcW w:w="1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188,329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127,228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93,064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1,188,271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987,168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895,646</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(5,027)</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Stockholders' / partners' equity</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1,375,994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1,111,983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984,564</w:t>
            </w:r>
          </w:p>
        </w:tc>
        <w:tc>
          <w:tcPr>
            <w:tcW w:w="0" w:type="dxa"/>
            <w:vAlign w:val="bottom"/>
          </w:tcPr>
          <w:p>
            <w:pPr>
              <w:spacing w:after="0"/>
              <w:rPr>
                <w:sz w:val="1"/>
                <w:szCs w:val="1"/>
                <w:color w:val="auto"/>
              </w:rPr>
            </w:pPr>
          </w:p>
        </w:tc>
      </w:tr>
      <w:tr>
        <w:trPr>
          <w:trHeight w:val="210"/>
        </w:trPr>
        <w:tc>
          <w:tcPr>
            <w:tcW w:w="6180" w:type="dxa"/>
            <w:vAlign w:val="bottom"/>
          </w:tcPr>
          <w:p>
            <w:pPr>
              <w:ind w:left="460"/>
              <w:spacing w:after="0"/>
              <w:rPr>
                <w:sz w:val="20"/>
                <w:szCs w:val="20"/>
                <w:color w:val="auto"/>
              </w:rPr>
            </w:pPr>
            <w:r>
              <w:rPr>
                <w:rFonts w:ascii="Arial" w:cs="Arial" w:eastAsia="Arial" w:hAnsi="Arial"/>
                <w:sz w:val="17"/>
                <w:szCs w:val="17"/>
                <w:b w:val="1"/>
                <w:bCs w:val="1"/>
                <w:color w:val="auto"/>
              </w:rPr>
              <w:t>Total liabilities and stockholders' / partners'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4,675,995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4,384,482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4,981,916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October 31, 2020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30, 2021</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October 31, 2020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1,592,795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4,964,658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4,091,797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1,031,957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2,856,840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560,838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1,234,957</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344,725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358,955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1,057,290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955,591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216,113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709,745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279,366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11,424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38,130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70,487</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LOSS ON EARLY RETIREMENT OF DEBT,</w:t>
            </w:r>
          </w:p>
        </w:tc>
        <w:tc>
          <w:tcPr>
            <w:tcW w:w="14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205,303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529,611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COMMON SHARES</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91,140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91,951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73,908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4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October 31, 2020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October 31, 2020</w:t>
            </w: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42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161,305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59,586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529,611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217,242</w:t>
            </w:r>
          </w:p>
        </w:tc>
      </w:tr>
      <w:tr>
        <w:trPr>
          <w:trHeight w:val="230"/>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29"/>
        </w:trPr>
        <w:tc>
          <w:tcPr>
            <w:tcW w:w="4240" w:type="dxa"/>
            <w:vAlign w:val="bottom"/>
          </w:tcPr>
          <w:p>
            <w:pPr>
              <w:ind w:left="240"/>
              <w:spacing w:after="0"/>
              <w:rPr>
                <w:sz w:val="20"/>
                <w:szCs w:val="20"/>
                <w:color w:val="auto"/>
              </w:rPr>
            </w:pPr>
            <w:r>
              <w:rPr>
                <w:rFonts w:ascii="Arial" w:cs="Arial" w:eastAsia="Arial" w:hAnsi="Arial"/>
                <w:sz w:val="18"/>
                <w:szCs w:val="18"/>
                <w:color w:val="auto"/>
                <w:w w:val="96"/>
              </w:rPr>
              <w:t>Recognized interest expense on interest rate swaps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7,578</w:t>
            </w:r>
          </w:p>
        </w:tc>
      </w:tr>
      <w:tr>
        <w:trPr>
          <w:trHeight w:val="22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swaps from debt refinancing</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30"/>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Tax expense</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161,679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ACADEMY SPORTS AND OUTDOORS,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PARTNERS' /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4"/>
              </w:rPr>
              <w:t>Redeemable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4"/>
              </w:rPr>
              <w:t>Partners' / Stockholders' Equity</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Membership Units</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Partners'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Partners' Equity</w:t>
            </w:r>
          </w:p>
        </w:tc>
        <w:tc>
          <w:tcPr>
            <w:tcW w:w="15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10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/Stockholders'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15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Units</w:t>
            </w:r>
          </w:p>
        </w:tc>
        <w:tc>
          <w:tcPr>
            <w:tcW w:w="6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7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 Shares</w:t>
            </w:r>
          </w:p>
        </w:tc>
        <w:tc>
          <w:tcPr>
            <w:tcW w:w="0" w:type="dxa"/>
            <w:vAlign w:val="bottom"/>
          </w:tcPr>
          <w:p>
            <w:pPr>
              <w:spacing w:after="0"/>
              <w:rPr>
                <w:sz w:val="1"/>
                <w:szCs w:val="1"/>
                <w:color w:val="auto"/>
              </w:rPr>
            </w:pPr>
          </w:p>
        </w:tc>
      </w:tr>
      <w:tr>
        <w:trPr>
          <w:trHeight w:val="184"/>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7"/>
              </w:rPr>
              <w:t>Balances as of January 30, 2021</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91,114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127,228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987,168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1,111,983</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91,114</w:t>
            </w:r>
          </w:p>
        </w:tc>
        <w:tc>
          <w:tcPr>
            <w:tcW w:w="0" w:type="dxa"/>
            <w:vAlign w:val="bottom"/>
          </w:tcPr>
          <w:p>
            <w:pPr>
              <w:spacing w:after="0"/>
              <w:rPr>
                <w:sz w:val="1"/>
                <w:szCs w:val="1"/>
                <w:color w:val="auto"/>
              </w:rPr>
            </w:pPr>
          </w:p>
        </w:tc>
      </w:tr>
      <w:tr>
        <w:trPr>
          <w:trHeight w:val="179"/>
        </w:trPr>
        <w:tc>
          <w:tcPr>
            <w:tcW w:w="21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177,796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177,796</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12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w:t>
            </w:r>
          </w:p>
        </w:tc>
        <w:tc>
          <w:tcPr>
            <w:tcW w:w="70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2120" w:type="dxa"/>
            <w:vAlign w:val="bottom"/>
          </w:tcPr>
          <w:p>
            <w:pPr>
              <w:ind w:left="240"/>
              <w:spacing w:after="0"/>
              <w:rPr>
                <w:sz w:val="20"/>
                <w:szCs w:val="20"/>
                <w:color w:val="auto"/>
              </w:rPr>
            </w:pPr>
            <w:r>
              <w:rPr>
                <w:rFonts w:ascii="Arial" w:cs="Arial" w:eastAsia="Arial" w:hAnsi="Arial"/>
                <w:sz w:val="14"/>
                <w:szCs w:val="14"/>
                <w:color w:val="auto"/>
              </w:rPr>
              <w:t>Restricted Stock Units</w:t>
            </w:r>
          </w:p>
        </w:tc>
        <w:tc>
          <w:tcPr>
            <w:tcW w:w="7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7"/>
              </w:rPr>
              <w:t>Share-Based Award Payments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 for forfeitures</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17,257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on interest rate swaps (net of</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 of $270)</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Balances as of May 1, 2021</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93,887</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150,370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1,164,964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(2,398)</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1,313,875</w:t>
            </w: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93,887</w:t>
            </w:r>
          </w:p>
        </w:tc>
        <w:tc>
          <w:tcPr>
            <w:tcW w:w="0" w:type="dxa"/>
            <w:vAlign w:val="bottom"/>
          </w:tcPr>
          <w:p>
            <w:pPr>
              <w:spacing w:after="0"/>
              <w:rPr>
                <w:sz w:val="1"/>
                <w:szCs w:val="1"/>
                <w:color w:val="auto"/>
              </w:rPr>
            </w:pPr>
          </w:p>
        </w:tc>
      </w:tr>
      <w:tr>
        <w:trPr>
          <w:trHeight w:val="186"/>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190,510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120" w:type="dxa"/>
            <w:vAlign w:val="bottom"/>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27,331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27,331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Repurchase of common stock</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(94,669)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 retirement</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w:t>
            </w:r>
          </w:p>
        </w:tc>
        <w:tc>
          <w:tcPr>
            <w:tcW w:w="70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86"/>
        </w:trPr>
        <w:tc>
          <w:tcPr>
            <w:tcW w:w="2120" w:type="dxa"/>
            <w:vAlign w:val="bottom"/>
          </w:tcPr>
          <w:p>
            <w:pPr>
              <w:ind w:left="240"/>
              <w:spacing w:after="0"/>
              <w:rPr>
                <w:sz w:val="20"/>
                <w:szCs w:val="20"/>
                <w:color w:val="auto"/>
              </w:rPr>
            </w:pPr>
            <w:r>
              <w:rPr>
                <w:rFonts w:ascii="Arial" w:cs="Arial" w:eastAsia="Arial" w:hAnsi="Arial"/>
                <w:sz w:val="14"/>
                <w:szCs w:val="14"/>
                <w:color w:val="auto"/>
              </w:rPr>
              <w:t>Restricted Stock Units</w:t>
            </w:r>
          </w:p>
        </w:tc>
        <w:tc>
          <w:tcPr>
            <w:tcW w:w="7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under employee stock</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plan</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14,421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on interest rate swaps (net of</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 of $163)</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Balances as of July 31, 2021</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92,884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187,746</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1,260,805</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1,447,618</w:t>
            </w: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92,884</w:t>
            </w:r>
          </w:p>
        </w:tc>
        <w:tc>
          <w:tcPr>
            <w:tcW w:w="0" w:type="dxa"/>
            <w:vAlign w:val="bottom"/>
          </w:tcPr>
          <w:p>
            <w:pPr>
              <w:spacing w:after="0"/>
              <w:rPr>
                <w:sz w:val="1"/>
                <w:szCs w:val="1"/>
                <w:color w:val="auto"/>
              </w:rPr>
            </w:pPr>
          </w:p>
        </w:tc>
      </w:tr>
      <w:tr>
        <w:trPr>
          <w:trHeight w:val="186"/>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161,305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161,305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120" w:type="dxa"/>
            <w:vAlign w:val="bottom"/>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2,921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2,921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2120" w:type="dxa"/>
            <w:vAlign w:val="bottom"/>
            <w:shd w:val="clear" w:color="auto" w:fill="CCEEFF"/>
          </w:tcPr>
          <w:p>
            <w:pPr>
              <w:ind w:left="240"/>
              <w:spacing w:after="0" w:line="137" w:lineRule="exact"/>
              <w:rPr>
                <w:sz w:val="20"/>
                <w:szCs w:val="20"/>
                <w:color w:val="auto"/>
              </w:rPr>
            </w:pPr>
            <w:r>
              <w:rPr>
                <w:rFonts w:ascii="Arial" w:cs="Arial" w:eastAsia="Arial" w:hAnsi="Arial"/>
                <w:sz w:val="14"/>
                <w:szCs w:val="14"/>
                <w:color w:val="auto"/>
              </w:rPr>
              <w:t>Repurchase of common stock</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(11,941)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(233,839)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(245,837)</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(5,723)</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 retirement</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9,603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9,613</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1,004</w:t>
            </w:r>
          </w:p>
        </w:tc>
        <w:tc>
          <w:tcPr>
            <w:tcW w:w="0" w:type="dxa"/>
            <w:vAlign w:val="bottom"/>
          </w:tcPr>
          <w:p>
            <w:pPr>
              <w:spacing w:after="0"/>
              <w:rPr>
                <w:sz w:val="1"/>
                <w:szCs w:val="1"/>
                <w:color w:val="auto"/>
              </w:rPr>
            </w:pPr>
          </w:p>
        </w:tc>
      </w:tr>
      <w:tr>
        <w:trPr>
          <w:trHeight w:val="136"/>
        </w:trPr>
        <w:tc>
          <w:tcPr>
            <w:tcW w:w="2120" w:type="dxa"/>
            <w:vAlign w:val="bottom"/>
            <w:shd w:val="clear" w:color="auto" w:fill="CCEEFF"/>
          </w:tcPr>
          <w:p>
            <w:pPr>
              <w:ind w:left="240"/>
              <w:spacing w:after="0" w:line="137" w:lineRule="exact"/>
              <w:rPr>
                <w:sz w:val="20"/>
                <w:szCs w:val="20"/>
                <w:color w:val="auto"/>
              </w:rPr>
            </w:pPr>
            <w:r>
              <w:rPr>
                <w:rFonts w:ascii="Arial" w:cs="Arial" w:eastAsia="Arial" w:hAnsi="Arial"/>
                <w:sz w:val="14"/>
                <w:szCs w:val="14"/>
                <w:color w:val="auto"/>
              </w:rPr>
              <w:t>Recognized interest expense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on interest rate swaps (net of</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 of $115)</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w w:val="97"/>
              </w:rPr>
              <w:t>Balances as of October 30, 2021</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88,165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188,329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1,188,271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1,375,994</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88,165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ACADEMY SPORTS AND OUTDOORS,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PARTNERS' /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Redeemable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Partners' / Stockholders' Equity</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13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Membership Units</w:t>
            </w: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Partners' /</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Partners' Equity</w:t>
            </w:r>
          </w:p>
        </w:tc>
        <w:tc>
          <w:tcPr>
            <w:tcW w:w="14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Paid-In</w:t>
            </w:r>
          </w:p>
        </w:tc>
        <w:tc>
          <w:tcPr>
            <w:tcW w:w="760" w:type="dxa"/>
            <w:vAlign w:val="bottom"/>
            <w:gridSpan w:val="3"/>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Stockholders'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5"/>
            <w:vMerge w:val="continue"/>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4"/>
                <w:szCs w:val="14"/>
                <w:b w:val="1"/>
                <w:bCs w:val="1"/>
                <w:color w:val="auto"/>
                <w:w w:val="97"/>
              </w:rPr>
              <w:t xml:space="preserve">Units </w:t>
            </w:r>
            <w:r>
              <w:rPr>
                <w:rFonts w:ascii="Arial" w:cs="Arial" w:eastAsia="Arial" w:hAnsi="Arial"/>
                <w:sz w:val="18"/>
                <w:szCs w:val="18"/>
                <w:b w:val="1"/>
                <w:bCs w:val="1"/>
                <w:color w:val="auto"/>
                <w:w w:val="97"/>
                <w:vertAlign w:val="superscript"/>
              </w:rPr>
              <w:t>(1)</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8"/>
              <w:spacing w:after="0" w:line="185" w:lineRule="exact"/>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4"/>
                <w:szCs w:val="14"/>
                <w:b w:val="1"/>
                <w:bCs w:val="1"/>
                <w:color w:val="auto"/>
                <w:w w:val="88"/>
              </w:rPr>
              <w:t xml:space="preserve">Shares </w:t>
            </w:r>
            <w:r>
              <w:rPr>
                <w:rFonts w:ascii="Arial" w:cs="Arial" w:eastAsia="Arial" w:hAnsi="Arial"/>
                <w:sz w:val="18"/>
                <w:szCs w:val="18"/>
                <w:b w:val="1"/>
                <w:bCs w:val="1"/>
                <w:color w:val="auto"/>
                <w:w w:val="88"/>
                <w:vertAlign w:val="superscript"/>
              </w:rPr>
              <w:t>(1)</w:t>
            </w:r>
          </w:p>
        </w:tc>
        <w:tc>
          <w:tcPr>
            <w:tcW w:w="80" w:type="dxa"/>
            <w:vAlign w:val="bottom"/>
            <w:tcBorders>
              <w:top w:val="single" w:sz="8" w:color="auto"/>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89"/>
              </w:rPr>
              <w:t xml:space="preserve">Units / Shares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115"/>
        </w:trPr>
        <w:tc>
          <w:tcPr>
            <w:tcW w:w="208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Balances as of February 1,</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2,818</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72,306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996,285</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988,219</w:t>
            </w: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72,468</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80" w:type="dxa"/>
            <w:vAlign w:val="bottom"/>
          </w:tcPr>
          <w:p>
            <w:pPr>
              <w:ind w:left="240"/>
              <w:spacing w:after="0"/>
              <w:rPr>
                <w:sz w:val="20"/>
                <w:szCs w:val="20"/>
                <w:color w:val="auto"/>
              </w:rPr>
            </w:pPr>
            <w:r>
              <w:rPr>
                <w:rFonts w:ascii="Arial" w:cs="Arial" w:eastAsia="Arial" w:hAnsi="Arial"/>
                <w:sz w:val="14"/>
                <w:szCs w:val="14"/>
                <w:color w:val="auto"/>
              </w:rPr>
              <w:t>Net loss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(10,020)</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(10,020)</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Adjustment to Redeemable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Membership Units for</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Restricted Units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Adjustment to Redeemable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Membership Units for</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repurchase of units from</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Managers</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Repurchase of Redeemable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Membership Units</w:t>
            </w: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Unrealized loss on interest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rate swaps</w:t>
            </w: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Recognized interest expense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on interest rate swaps</w:t>
            </w: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May 2, 2020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72,306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988,178</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977,571</w:t>
            </w: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179"/>
        </w:trPr>
        <w:tc>
          <w:tcPr>
            <w:tcW w:w="20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167,676</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167,676</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Unrealized loss on interest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rate swaps</w:t>
            </w: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on interest rate swaps</w:t>
            </w: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Balances as of August 1, 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2,977</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72,306</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1,157,435</w:t>
            </w:r>
          </w:p>
        </w:tc>
        <w:tc>
          <w:tcPr>
            <w:tcW w:w="10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1,149,096</w:t>
            </w: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Distributions to holders of</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(257,000)</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(257,000)</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Membership Units</w:t>
            </w: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Effect of the Reorganization</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(72,306)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(900,435)</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836,060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Transactions</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Equity compensation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23,359</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Issuance of common stock in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184,726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184,882</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15,625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IPO, net of Offering Costs</w:t>
            </w: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Cumulative tax effect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w w:val="99"/>
              </w:rPr>
              <w:t>resulting from Reorganization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(148,829)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(148,829)</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Transactions</w:t>
            </w: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Share-Based Award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(32,819)</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w:t>
            </w: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Unrealized loss on interest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rate swaps (net of tax impact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 $53)</w:t>
            </w: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Recognized interest expense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on interest rate swaps (net of</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tax impact of $221)</w:t>
            </w: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Loss on swaps from debt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refinancing (net of tax impact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 $330)</w:t>
            </w: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w w:val="95"/>
              </w:rPr>
              <w:t>Balances as of October 31, 2020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88,104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93,064</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895,646</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(5,027)</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984,564</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88,104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 See Condensed Notes to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Thirty-Nine Weeks Ended</w:t>
            </w: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30, 2021</w:t>
            </w:r>
          </w:p>
        </w:tc>
        <w:tc>
          <w:tcPr>
            <w:tcW w:w="18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October 31, 2020</w:t>
            </w:r>
          </w:p>
        </w:tc>
      </w:tr>
      <w:tr>
        <w:trPr>
          <w:trHeight w:val="19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529,611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217,242</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77,767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79,718</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36,126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27,049</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terminated interest rate swaps, deferred loan and other costs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Loss on swaps from debt refinancing</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48,991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(11,739)</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Non-cash (gain) loss on early retirement of debt,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(7,831)</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Casualty loss</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Merchandise inventories,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(335,945)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16,727</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2,207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128,743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439,682</w:t>
            </w: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34,683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44,733</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r>
      <w:tr>
        <w:trPr>
          <w:trHeight w:val="213"/>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21,784</w:t>
            </w:r>
          </w:p>
        </w:tc>
      </w:tr>
      <w:tr>
        <w:trPr>
          <w:trHeight w:val="210"/>
        </w:trPr>
        <w:tc>
          <w:tcPr>
            <w:tcW w:w="74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515,063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857,218</w:t>
            </w:r>
          </w:p>
        </w:tc>
      </w:tr>
      <w:tr>
        <w:trPr>
          <w:trHeight w:val="77"/>
        </w:trPr>
        <w:tc>
          <w:tcPr>
            <w:tcW w:w="7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(58,567)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(21,915)</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intangible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Notes receivable from member</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8,125</w:t>
            </w:r>
          </w:p>
        </w:tc>
      </w:tr>
      <w:tr>
        <w:trPr>
          <w:trHeight w:val="210"/>
        </w:trPr>
        <w:tc>
          <w:tcPr>
            <w:tcW w:w="744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(58,711)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(13,790)</w:t>
            </w:r>
          </w:p>
        </w:tc>
      </w:tr>
      <w:tr>
        <w:trPr>
          <w:trHeight w:val="77"/>
        </w:trPr>
        <w:tc>
          <w:tcPr>
            <w:tcW w:w="7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Proceeds from ABL Facility</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ABL Facility</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Repayment of Term Loan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(101,500)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(29,653)</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issuance fees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Share-Based Award Payments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(20,724)</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(257,000)</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net of Offering Costs</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184,882</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program</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945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Repurchase of common stock for retirement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(345,837)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48"/>
        </w:trPr>
        <w:tc>
          <w:tcPr>
            <w:tcW w:w="744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(432,659)</w:t>
            </w: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(123,088)</w:t>
            </w:r>
          </w:p>
        </w:tc>
      </w:tr>
      <w:tr>
        <w:trPr>
          <w:trHeight w:val="213"/>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23,693</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720,340</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149,385</w:t>
            </w:r>
          </w:p>
        </w:tc>
      </w:tr>
      <w:tr>
        <w:trPr>
          <w:trHeight w:val="212"/>
        </w:trPr>
        <w:tc>
          <w:tcPr>
            <w:tcW w:w="74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401,297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869,725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28,481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68,759</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95,799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r>
      <w:tr>
        <w:trPr>
          <w:trHeight w:val="54"/>
        </w:trPr>
        <w:tc>
          <w:tcPr>
            <w:tcW w:w="7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Non-cash issuance of common shares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capital expenditures in accounts payable and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10"/>
        </w:trPr>
        <w:tc>
          <w:tcPr>
            <w:tcW w:w="7440" w:type="dxa"/>
            <w:vAlign w:val="bottom"/>
          </w:tcPr>
          <w:p>
            <w:pPr>
              <w:ind w:left="240"/>
              <w:spacing w:after="0"/>
              <w:rPr>
                <w:sz w:val="20"/>
                <w:szCs w:val="20"/>
                <w:color w:val="auto"/>
              </w:rPr>
            </w:pPr>
            <w:r>
              <w:rPr>
                <w:rFonts w:ascii="Arial" w:cs="Arial" w:eastAsia="Arial" w:hAnsi="Arial"/>
                <w:sz w:val="16"/>
                <w:szCs w:val="16"/>
                <w:color w:val="auto"/>
              </w:rPr>
              <w:t>Right-of-use assets obtained in exchange for new operating leases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10,924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84,595</w:t>
            </w: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ectPr>
          <w:pgSz w:w="11900" w:h="16838" w:orient="portrait"/>
          <w:cols w:equalWidth="0" w:num="1">
            <w:col w:w="11000"/>
          </w:cols>
          <w:pgMar w:left="440" w:top="567" w:right="45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67" w:right="459" w:bottom="1440" w:gutter="0" w:footer="0" w:header="0"/>
          <w:type w:val="continuous"/>
        </w:sectPr>
      </w:pPr>
    </w:p>
    <w:bookmarkStart w:id="8" w:name="page9"/>
    <w:bookmarkEnd w:id="8"/>
    <w:p>
      <w:pPr>
        <w:jc w:val="center"/>
        <w:ind w:right="8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260" w:firstLine="324"/>
        <w:spacing w:after="0" w:line="290" w:lineRule="auto"/>
        <w:rPr>
          <w:sz w:val="20"/>
          <w:szCs w:val="20"/>
          <w:color w:val="auto"/>
        </w:rPr>
      </w:pPr>
      <w:r>
        <w:rPr>
          <w:rFonts w:ascii="Arial" w:cs="Arial" w:eastAsia="Arial" w:hAnsi="Arial"/>
          <w:sz w:val="16"/>
          <w:szCs w:val="16"/>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Upon completion of the September 2021 Secondary Offering (as defined below), KKR no longer holds an ownership interest in the Company.</w:t>
      </w:r>
    </w:p>
    <w:p>
      <w:pPr>
        <w:spacing w:after="0" w:line="111"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 xml:space="preserve">The Company is one of the leading full-line sporting goods and outdoor recreational products retailers in the United States in terms of net sales. As of October 30, 2021, we operated 259 "Academy Sports + Outdoors" retail locations in 16 states and three distribution centers located in Katy, Texas, Twiggs County, Georgia and Cookeville, Tennessee. We also sell merchandise to customers across most of the United States via our </w:t>
      </w:r>
      <w:r>
        <w:rPr>
          <w:rFonts w:ascii="Arial" w:cs="Arial" w:eastAsia="Arial" w:hAnsi="Arial"/>
          <w:sz w:val="18"/>
          <w:szCs w:val="18"/>
          <w:i w:val="1"/>
          <w:iCs w:val="1"/>
          <w:color w:val="auto"/>
        </w:rPr>
        <w:t xml:space="preserve">academy.com </w:t>
      </w:r>
      <w:r>
        <w:rPr>
          <w:rFonts w:ascii="Arial" w:cs="Arial" w:eastAsia="Arial" w:hAnsi="Arial"/>
          <w:sz w:val="18"/>
          <w:szCs w:val="18"/>
          <w:color w:val="auto"/>
        </w:rPr>
        <w:t>website.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On October 6, 2020, ASO, Inc. completed an initial public offering (the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1220" w:hanging="320"/>
        <w:spacing w:after="0" w:line="277" w:lineRule="auto"/>
        <w:tabs>
          <w:tab w:leader="none" w:pos="1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1220" w:right="20" w:hanging="320"/>
        <w:spacing w:after="0" w:line="277" w:lineRule="auto"/>
        <w:tabs>
          <w:tab w:leader="none" w:pos="1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On November 3, 2020, ASO, Inc.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"IPO Over-Allotment Exercise"). The option expired with respect to the remaining shares.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approximately $20.69 per share. The Company did not receive any proceeds from the Secondary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2021 Secondary Offering and Stock Repurchase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May 2021 Underwriters, which was at a discount to the prevailing market price at the time of repurchase (see Note 9). The May 2021 Secondary Offering was completed on May 10, 2021. The Company did not receive any proceeds from the May 2021 Secondary Offering.</w:t>
      </w:r>
    </w:p>
    <w:p>
      <w:pPr>
        <w:spacing w:after="0" w:line="12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2021 Secondary Offering and Stock Repurchase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14, 2021, ASO, Inc. entered into an underwriting agreement (the “September 2021 Underwriting Agreement”), by and among ASO, Inc., Allstar LLC, Allstar Co-Invest Blocker L.P. and KKR 2006 Allstar Blocker L.P. (collectively, the “September 2021 Selling Stockholders”), and Credit Suisse Securities (USA) LLC, as representative of the several underwriters named therein (the “September 2021 Underwriters”), relating to an underwritten offering (the “September 2021 Secondary Offering”) of 18,645,602 shares of common stock at approximately $43.52 per share, pursuant to the Company’s Registration Statement on Form S-1 (File No. 333-259477), filed on September 13, 2021. The September 2021 Secondary Offering also included the Company’s repurchase and simultaneous retirement of 4,500,000 shares out of the 18,645,602 shares of common stock at approximately $43.52, the same price granted to the September 2021 Underwriters, which was at a discount to the prevailing market price at the time of repurchase (see Note 9). The September 2021 Secondary Offering was completed on September 17, 2021. The Company did not receive any proceeds from the September 2021 Secondary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69" w:lineRule="auto"/>
        <w:rPr>
          <w:sz w:val="20"/>
          <w:szCs w:val="20"/>
          <w:color w:val="auto"/>
        </w:rPr>
      </w:pPr>
      <w:r>
        <w:rPr>
          <w:rFonts w:ascii="Arial" w:cs="Arial" w:eastAsia="Arial" w:hAnsi="Arial"/>
          <w:sz w:val="17"/>
          <w:szCs w:val="17"/>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30, 2021, as filed with the Securities and Exchange Commission on April 7, 2021 (the "Annual Report"). The information furnished herein reflects all normal recurring adjustments which are, in the opinion of management, necessary for a fair presentation of the results for the interim periods presented. The results of operations for the thirteen and thirty-nine weeks ended October 30, 2021 are not necessarily indicative of the results that will be realized for the fiscal year ending January 29, 2022 or any other period. The balance sheet as of January 30, 2021 has been derived from our audited financial statements as of that date. For further information, refer to our audited financial statements and notes thereto included in the Annual Report.</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left="260" w:firstLine="324"/>
        <w:spacing w:after="0" w:line="279" w:lineRule="auto"/>
        <w:rPr>
          <w:sz w:val="20"/>
          <w:szCs w:val="20"/>
          <w:color w:val="auto"/>
        </w:rPr>
      </w:pPr>
      <w:r>
        <w:rPr>
          <w:rFonts w:ascii="Arial" w:cs="Arial" w:eastAsia="Arial" w:hAnsi="Arial"/>
          <w:sz w:val="17"/>
          <w:szCs w:val="17"/>
          <w:color w:val="auto"/>
        </w:rPr>
        <w:t>These unaudited condensed consolidated financial statements include the accounts of ASO, Inc. and its subsidiaries,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October 31, 2020 for comparability purposes. This reclassification is in divisional presentation only and did not impact the overall net sales balances previously disclosed.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left="260" w:firstLine="324"/>
        <w:spacing w:after="0" w:line="290" w:lineRule="auto"/>
        <w:rPr>
          <w:sz w:val="20"/>
          <w:szCs w:val="20"/>
          <w:color w:val="auto"/>
        </w:rPr>
      </w:pPr>
      <w:r>
        <w:rPr>
          <w:rFonts w:ascii="Arial" w:cs="Arial" w:eastAsia="Arial" w:hAnsi="Arial"/>
          <w:sz w:val="16"/>
          <w:szCs w:val="16"/>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Statements of Partners’ / Stockholders’ Equity and in Note 9. Equity and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was dissolved and its assets were distributed to its members on December 23, 2020. Managers was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9). Each outstanding Redeemable Membership Unit in Managers corresponded to an outstanding NAHC Membership Unit, on a unit-for-unit basis.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was the sole managing member of Managers with a controlling voting interest, but no economic interest, in Managers. As the sole managing member of Managers, NAHC operated and controlled all business affairs of Managers.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and conditions of the agreements governing the Redeemable Membership Units included provisions by which the holder, or its heirs, had the right to require Managers or NAHC to purchase the holder's Redeemable Membership Units upon the holder’s termination of employment due to death or disability for cash at fair value. The carrying value of the Redeemable Membership Units was classified as temporary equity, initially at fair value, as redemption was an event that was not solely within our control. If redemption became probable, we were required to re-measure the Redeemable Membership Units to fair value. Periodically, these rights lapsed due to contractual expiration or a holder's termination of employment for reasons other than death or disability.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Income Taxes (Topic 740)</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is effective for fiscal years and interim periods beginning after December 15, 2020. This update simplifies the accounting for income taxes by removing certain exceptions and amends existing guidance to improve consistent application. The Company adopted ASU 2019-12 on January 31, 2021 and it did not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Sales</w:t>
      </w:r>
    </w:p>
    <w:p>
      <w:pPr>
        <w:spacing w:after="0" w:line="175"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80" w:type="dxa"/>
            <w:vAlign w:val="bottom"/>
            <w:gridSpan w:val="5"/>
          </w:tcPr>
          <w:p>
            <w:pPr>
              <w:ind w:left="760"/>
              <w:spacing w:after="0"/>
              <w:rPr>
                <w:sz w:val="20"/>
                <w:szCs w:val="20"/>
                <w:color w:val="auto"/>
              </w:rPr>
            </w:pPr>
            <w:r>
              <w:rPr>
                <w:rFonts w:ascii="Arial" w:cs="Arial" w:eastAsia="Arial" w:hAnsi="Arial"/>
                <w:sz w:val="18"/>
                <w:szCs w:val="18"/>
                <w:b w:val="1"/>
                <w:bCs w:val="1"/>
                <w:color w:val="auto"/>
              </w:rPr>
              <w:t>Thirteen Weeks Ended</w:t>
            </w:r>
          </w:p>
        </w:tc>
        <w:tc>
          <w:tcPr>
            <w:tcW w:w="460" w:type="dxa"/>
            <w:vAlign w:val="bottom"/>
          </w:tcPr>
          <w:p>
            <w:pPr>
              <w:spacing w:after="0"/>
              <w:rPr>
                <w:sz w:val="20"/>
                <w:szCs w:val="20"/>
                <w:color w:val="auto"/>
              </w:rPr>
            </w:pPr>
          </w:p>
        </w:tc>
        <w:tc>
          <w:tcPr>
            <w:tcW w:w="35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28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October 30, 2021</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October 31, 2020</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October 30, 2021</w:t>
            </w:r>
          </w:p>
        </w:tc>
        <w:tc>
          <w:tcPr>
            <w:tcW w:w="4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October 31, 2020</w:t>
            </w:r>
          </w:p>
        </w:tc>
      </w:tr>
      <w:tr>
        <w:trPr>
          <w:trHeight w:val="209"/>
        </w:trPr>
        <w:tc>
          <w:tcPr>
            <w:tcW w:w="2880" w:type="dxa"/>
            <w:vAlign w:val="bottom"/>
            <w:tcBorders>
              <w:top w:val="single" w:sz="8" w:color="CCEEFF"/>
            </w:tcBorders>
            <w:shd w:val="clear" w:color="auto" w:fill="CCEEFF"/>
          </w:tcPr>
          <w:p>
            <w:pPr>
              <w:ind w:left="34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2880" w:type="dxa"/>
            <w:vAlign w:val="bottom"/>
          </w:tcPr>
          <w:p>
            <w:pPr>
              <w:ind w:left="560"/>
              <w:spacing w:after="0"/>
              <w:rPr>
                <w:sz w:val="20"/>
                <w:szCs w:val="20"/>
                <w:color w:val="auto"/>
              </w:rPr>
            </w:pPr>
            <w:r>
              <w:rPr>
                <w:rFonts w:ascii="Arial" w:cs="Arial" w:eastAsia="Arial" w:hAnsi="Arial"/>
                <w:sz w:val="18"/>
                <w:szCs w:val="18"/>
                <w:color w:val="auto"/>
              </w:rPr>
              <w:t>Outdoors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578,987</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487,401</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1,604,045</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1,448,987</w:t>
            </w:r>
          </w:p>
        </w:tc>
      </w:tr>
      <w:tr>
        <w:trPr>
          <w:trHeight w:val="230"/>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Sports and recreation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285,614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262,979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1,098,621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917,656</w:t>
            </w:r>
          </w:p>
        </w:tc>
      </w:tr>
      <w:tr>
        <w:trPr>
          <w:trHeight w:val="229"/>
        </w:trPr>
        <w:tc>
          <w:tcPr>
            <w:tcW w:w="2880" w:type="dxa"/>
            <w:vAlign w:val="bottom"/>
          </w:tcPr>
          <w:p>
            <w:pPr>
              <w:ind w:left="560"/>
              <w:spacing w:after="0"/>
              <w:rPr>
                <w:sz w:val="20"/>
                <w:szCs w:val="20"/>
                <w:color w:val="auto"/>
              </w:rPr>
            </w:pPr>
            <w:r>
              <w:rPr>
                <w:rFonts w:ascii="Arial" w:cs="Arial" w:eastAsia="Arial" w:hAnsi="Arial"/>
                <w:sz w:val="18"/>
                <w:szCs w:val="18"/>
                <w:color w:val="auto"/>
              </w:rPr>
              <w:t>Apparel</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399,852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319,258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1,269,106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941,432</w:t>
            </w:r>
          </w:p>
        </w:tc>
      </w:tr>
      <w:tr>
        <w:trPr>
          <w:trHeight w:val="230"/>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Footwear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320,119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272,626</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967,839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762,173</w:t>
            </w:r>
          </w:p>
        </w:tc>
      </w:tr>
      <w:tr>
        <w:trPr>
          <w:trHeight w:val="223"/>
        </w:trPr>
        <w:tc>
          <w:tcPr>
            <w:tcW w:w="2880" w:type="dxa"/>
            <w:vAlign w:val="bottom"/>
          </w:tcPr>
          <w:p>
            <w:pPr>
              <w:ind w:left="760"/>
              <w:spacing w:after="0" w:line="223" w:lineRule="exact"/>
              <w:rPr>
                <w:sz w:val="20"/>
                <w:szCs w:val="20"/>
                <w:color w:val="auto"/>
              </w:rPr>
            </w:pPr>
            <w:r>
              <w:rPr>
                <w:rFonts w:ascii="Arial" w:cs="Arial" w:eastAsia="Arial" w:hAnsi="Arial"/>
                <w:sz w:val="18"/>
                <w:szCs w:val="18"/>
                <w:color w:val="auto"/>
                <w:w w:val="95"/>
              </w:rPr>
              <w:t xml:space="preserve">Total merchandise sales </w:t>
            </w:r>
            <w:r>
              <w:rPr>
                <w:rFonts w:ascii="Arial" w:cs="Arial" w:eastAsia="Arial" w:hAnsi="Arial"/>
                <w:sz w:val="23"/>
                <w:szCs w:val="23"/>
                <w:color w:val="auto"/>
                <w:w w:val="95"/>
                <w:vertAlign w:val="superscript"/>
              </w:rPr>
              <w:t>(2)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1,584,572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1,342,264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4,939,611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4,070,248</w:t>
            </w:r>
          </w:p>
        </w:tc>
      </w:tr>
      <w:tr>
        <w:trPr>
          <w:trHeight w:val="230"/>
        </w:trPr>
        <w:tc>
          <w:tcPr>
            <w:tcW w:w="288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21,549</w:t>
            </w:r>
          </w:p>
        </w:tc>
      </w:tr>
      <w:tr>
        <w:trPr>
          <w:trHeight w:val="223"/>
        </w:trPr>
        <w:tc>
          <w:tcPr>
            <w:tcW w:w="2880" w:type="dxa"/>
            <w:vAlign w:val="bottom"/>
          </w:tcPr>
          <w:p>
            <w:pPr>
              <w:ind w:left="76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1,592,795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1,349,076</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4,964,658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4,091,797</w:t>
            </w:r>
          </w:p>
        </w:tc>
      </w:tr>
      <w:tr>
        <w:trPr>
          <w:trHeight w:val="21"/>
        </w:trPr>
        <w:tc>
          <w:tcPr>
            <w:tcW w:w="2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420" w:hanging="168"/>
        <w:spacing w:after="0" w:line="238" w:lineRule="auto"/>
        <w:tabs>
          <w:tab w:leader="none" w:pos="46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October 31, 2020 for comparability purposes. This reclassification is in divisional presentation only and did not impact the overall net sales balances previously disclosed (see Note 2).</w:t>
      </w:r>
    </w:p>
    <w:p>
      <w:pPr>
        <w:ind w:left="420" w:hanging="168"/>
        <w:spacing w:after="0" w:line="243" w:lineRule="auto"/>
        <w:tabs>
          <w:tab w:leader="none" w:pos="42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E-commerce sales consisted of 8.0% of merchandise sales for the thirteen and thirty-nine weeks ended October 30, 2021, and 7.5% and 9.8% for the thirteen and thirty-nine weeks ended October 31, 2020, respectively.</w:t>
      </w:r>
    </w:p>
    <w:p>
      <w:pPr>
        <w:spacing w:after="0" w:line="1" w:lineRule="exact"/>
        <w:rPr>
          <w:rFonts w:ascii="Arial" w:cs="Arial" w:eastAsia="Arial" w:hAnsi="Arial"/>
          <w:sz w:val="21"/>
          <w:szCs w:val="21"/>
          <w:color w:val="auto"/>
          <w:vertAlign w:val="superscript"/>
        </w:rPr>
      </w:pPr>
    </w:p>
    <w:p>
      <w:pPr>
        <w:ind w:left="420" w:hanging="168"/>
        <w:spacing w:after="0" w:line="219" w:lineRule="auto"/>
        <w:tabs>
          <w:tab w:leader="none" w:pos="456"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9" w:lineRule="exact"/>
        <w:rPr>
          <w:sz w:val="20"/>
          <w:szCs w:val="20"/>
          <w:color w:val="auto"/>
        </w:rPr>
      </w:pPr>
    </w:p>
    <w:p>
      <w:pPr>
        <w:jc w:val="both"/>
        <w:ind w:left="260" w:firstLine="324"/>
        <w:spacing w:after="0" w:line="342" w:lineRule="auto"/>
        <w:rPr>
          <w:sz w:val="20"/>
          <w:szCs w:val="20"/>
          <w:color w:val="auto"/>
        </w:rPr>
      </w:pPr>
      <w:r>
        <w:rPr>
          <w:rFonts w:ascii="Arial" w:cs="Arial" w:eastAsia="Arial" w:hAnsi="Arial"/>
          <w:sz w:val="16"/>
          <w:szCs w:val="16"/>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6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720" w:type="dxa"/>
            <w:vAlign w:val="bottom"/>
          </w:tcPr>
          <w:p>
            <w:pPr>
              <w:spacing w:after="0"/>
              <w:rPr>
                <w:sz w:val="20"/>
                <w:szCs w:val="20"/>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Thirty-Nine Weeks Ended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October 30, 2021</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October 31, 2020</w:t>
            </w:r>
          </w:p>
        </w:tc>
        <w:tc>
          <w:tcPr>
            <w:tcW w:w="100" w:type="dxa"/>
            <w:vAlign w:val="bottom"/>
          </w:tcPr>
          <w:p>
            <w:pPr>
              <w:spacing w:after="0"/>
              <w:rPr>
                <w:sz w:val="19"/>
                <w:szCs w:val="19"/>
                <w:color w:val="auto"/>
              </w:rPr>
            </w:pPr>
          </w:p>
        </w:tc>
        <w:tc>
          <w:tcPr>
            <w:tcW w:w="190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October 30, 2021</w:t>
            </w:r>
          </w:p>
        </w:tc>
        <w:tc>
          <w:tcPr>
            <w:tcW w:w="1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5"/>
        </w:trPr>
        <w:tc>
          <w:tcPr>
            <w:tcW w:w="2960" w:type="dxa"/>
            <w:vAlign w:val="bottom"/>
            <w:tcBorders>
              <w:top w:val="single" w:sz="8" w:color="CCEEFF"/>
            </w:tcBorders>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rPr>
              <w:t>Gift card liability, beginning</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60,526</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560"/>
              <w:spacing w:after="0"/>
              <w:rPr>
                <w:sz w:val="20"/>
                <w:szCs w:val="20"/>
                <w:color w:val="auto"/>
              </w:rPr>
            </w:pPr>
            <w:r>
              <w:rPr>
                <w:rFonts w:ascii="Arial" w:cs="Arial" w:eastAsia="Arial" w:hAnsi="Arial"/>
                <w:sz w:val="18"/>
                <w:szCs w:val="18"/>
                <w:color w:val="auto"/>
              </w:rPr>
              <w:t>Issued</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17,407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61,333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47,524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Redeemed</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(74,749)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(61,574)</w:t>
            </w:r>
          </w:p>
        </w:tc>
        <w:tc>
          <w:tcPr>
            <w:tcW w:w="0" w:type="dxa"/>
            <w:vAlign w:val="bottom"/>
          </w:tcPr>
          <w:p>
            <w:pPr>
              <w:spacing w:after="0"/>
              <w:rPr>
                <w:sz w:val="1"/>
                <w:szCs w:val="1"/>
                <w:color w:val="auto"/>
              </w:rPr>
            </w:pPr>
          </w:p>
        </w:tc>
      </w:tr>
      <w:tr>
        <w:trPr>
          <w:trHeight w:val="175"/>
        </w:trPr>
        <w:tc>
          <w:tcPr>
            <w:tcW w:w="2960" w:type="dxa"/>
            <w:vAlign w:val="bottom"/>
          </w:tcPr>
          <w:p>
            <w:pPr>
              <w:ind w:left="560"/>
              <w:spacing w:after="0" w:line="176" w:lineRule="exact"/>
              <w:rPr>
                <w:sz w:val="20"/>
                <w:szCs w:val="20"/>
                <w:color w:val="auto"/>
              </w:rPr>
            </w:pPr>
            <w:r>
              <w:rPr>
                <w:rFonts w:ascii="Arial" w:cs="Arial" w:eastAsia="Arial" w:hAnsi="Arial"/>
                <w:sz w:val="18"/>
                <w:szCs w:val="18"/>
                <w:color w:val="auto"/>
              </w:rPr>
              <w:t>Recognized as breakage</w:t>
            </w:r>
          </w:p>
        </w:tc>
        <w:tc>
          <w:tcPr>
            <w:tcW w:w="4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(2,528)</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rPr>
              <w:t>Gift card liability, ending</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58,309</w:t>
            </w: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52,089</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58,309</w:t>
            </w:r>
          </w:p>
        </w:tc>
        <w:tc>
          <w:tcPr>
            <w:tcW w:w="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52,089</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6480" w:type="dxa"/>
            <w:vAlign w:val="bottom"/>
            <w:gridSpan w:val="4"/>
          </w:tcPr>
          <w:p>
            <w:pPr>
              <w:ind w:left="320"/>
              <w:spacing w:after="0"/>
              <w:rPr>
                <w:sz w:val="20"/>
                <w:szCs w:val="20"/>
                <w:color w:val="auto"/>
              </w:rPr>
            </w:pPr>
            <w:r>
              <w:rPr>
                <w:rFonts w:ascii="Arial" w:cs="Arial" w:eastAsia="Arial" w:hAnsi="Arial"/>
                <w:sz w:val="18"/>
                <w:szCs w:val="18"/>
                <w:color w:val="auto"/>
              </w:rPr>
              <w:t>Our debt consisted of the following (amounts in thousands) as of:</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 2021</w:t>
            </w:r>
          </w:p>
        </w:tc>
        <w:tc>
          <w:tcPr>
            <w:tcW w:w="46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 2021</w:t>
            </w:r>
          </w:p>
        </w:tc>
        <w:tc>
          <w:tcPr>
            <w:tcW w:w="460" w:type="dxa"/>
            <w:vAlign w:val="bottom"/>
          </w:tcPr>
          <w:p>
            <w:pPr>
              <w:spacing w:after="0"/>
              <w:rPr>
                <w:sz w:val="22"/>
                <w:szCs w:val="22"/>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October 31, 2020</w:t>
            </w:r>
          </w:p>
        </w:tc>
      </w:tr>
      <w:tr>
        <w:trPr>
          <w:trHeight w:val="223"/>
        </w:trPr>
        <w:tc>
          <w:tcPr>
            <w:tcW w:w="260" w:type="dxa"/>
            <w:vAlign w:val="bottom"/>
          </w:tcPr>
          <w:p>
            <w:pPr>
              <w:spacing w:after="0"/>
              <w:rPr>
                <w:sz w:val="19"/>
                <w:szCs w:val="19"/>
                <w:color w:val="auto"/>
              </w:rPr>
            </w:pPr>
          </w:p>
        </w:tc>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ABL Facility, due November 2025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Term Loan, due November 2027</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298,500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1,431,419</w:t>
            </w: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due November 2027</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4440" w:type="dxa"/>
            <w:vAlign w:val="bottom"/>
          </w:tcPr>
          <w:p>
            <w:pPr>
              <w:ind w:left="560"/>
              <w:spacing w:after="0"/>
              <w:rPr>
                <w:sz w:val="20"/>
                <w:szCs w:val="20"/>
                <w:color w:val="auto"/>
              </w:rPr>
            </w:pPr>
            <w:r>
              <w:rPr>
                <w:rFonts w:ascii="Arial" w:cs="Arial" w:eastAsia="Arial" w:hAnsi="Arial"/>
                <w:sz w:val="18"/>
                <w:szCs w:val="18"/>
                <w:color w:val="auto"/>
              </w:rPr>
              <w:t>Total debt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698,500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1,431,419</w:t>
            </w: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r>
      <w:tr>
        <w:trPr>
          <w:trHeight w:val="230"/>
        </w:trPr>
        <w:tc>
          <w:tcPr>
            <w:tcW w:w="26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Less unamortized discount on Term Loan</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(2,572)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r>
      <w:tr>
        <w:trPr>
          <w:trHeight w:val="223"/>
        </w:trPr>
        <w:tc>
          <w:tcPr>
            <w:tcW w:w="260" w:type="dxa"/>
            <w:vAlign w:val="bottom"/>
          </w:tcPr>
          <w:p>
            <w:pPr>
              <w:spacing w:after="0"/>
              <w:rPr>
                <w:sz w:val="19"/>
                <w:szCs w:val="19"/>
                <w:color w:val="auto"/>
              </w:rPr>
            </w:pPr>
          </w:p>
        </w:tc>
        <w:tc>
          <w:tcPr>
            <w:tcW w:w="4440" w:type="dxa"/>
            <w:vAlign w:val="bottom"/>
          </w:tcPr>
          <w:p>
            <w:pPr>
              <w:ind w:left="560"/>
              <w:spacing w:after="0"/>
              <w:rPr>
                <w:sz w:val="20"/>
                <w:szCs w:val="20"/>
                <w:color w:val="auto"/>
              </w:rPr>
            </w:pPr>
            <w:r>
              <w:rPr>
                <w:rFonts w:ascii="Arial" w:cs="Arial" w:eastAsia="Arial" w:hAnsi="Arial"/>
                <w:sz w:val="18"/>
                <w:szCs w:val="18"/>
                <w:color w:val="auto"/>
              </w:rPr>
              <w:t>Long-term debt, net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683,845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781,489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1,408,885</w:t>
            </w:r>
          </w:p>
        </w:tc>
      </w:tr>
      <w:tr>
        <w:trPr>
          <w:trHeight w:val="20"/>
        </w:trPr>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440" w:hanging="188"/>
        <w:spacing w:after="0"/>
        <w:tabs>
          <w:tab w:leader="none" w:pos="4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Deferred loan costs are related to the Term Loan and Notes.</w:t>
      </w:r>
    </w:p>
    <w:p>
      <w:pPr>
        <w:spacing w:after="0" w:line="148" w:lineRule="exact"/>
        <w:rPr>
          <w:sz w:val="20"/>
          <w:szCs w:val="20"/>
          <w:color w:val="auto"/>
        </w:rPr>
      </w:pPr>
    </w:p>
    <w:p>
      <w:pPr>
        <w:jc w:val="both"/>
        <w:ind w:left="260" w:firstLine="324"/>
        <w:spacing w:after="0" w:line="291" w:lineRule="auto"/>
        <w:rPr>
          <w:sz w:val="20"/>
          <w:szCs w:val="20"/>
          <w:color w:val="auto"/>
        </w:rPr>
      </w:pPr>
      <w:r>
        <w:rPr>
          <w:rFonts w:ascii="Arial" w:cs="Arial" w:eastAsia="Arial" w:hAnsi="Arial"/>
          <w:sz w:val="16"/>
          <w:szCs w:val="16"/>
          <w:color w:val="auto"/>
        </w:rPr>
        <w:t>As of October 30, 2021, January 30, 2021 and October 31, 2020, the balance in deferred loan costs related to the ABL Facility (as defined below) was approximately $4.6 million, $5.5 million and $2.6 million, respectively, and was included in other noncurrent assets on our consolidated balance sheets. Total amortization of deferred loan costs was $0.6 million and $2.0 million for the thirteen and thirty-nine weeks ended October 30, 2021, respectively, and $0.6 million and $1.9 million for the thirteen and thirty-nine weeks ended October 31, 2020, respectively. Total expenses related to accretion of original issuance discount were $0.1 million and $0.4 million for the thirteen and thirty-nine weeks ended October 30, 2021, respectively, and $0.3 million and $0.8 million for the thirteen and thirty-nine weeks ended October 31, 2020, respectively. The expenses related to amortization of deferred loan costs and accretion of original issuance discount are included in interest expense, net on the consolidated statements of income.</w:t>
      </w:r>
    </w:p>
    <w:p>
      <w:pPr>
        <w:spacing w:after="0" w:line="112" w:lineRule="exact"/>
        <w:rPr>
          <w:sz w:val="20"/>
          <w:szCs w:val="20"/>
          <w:color w:val="auto"/>
        </w:rPr>
      </w:pPr>
    </w:p>
    <w:p>
      <w:pPr>
        <w:jc w:val="both"/>
        <w:ind w:left="260" w:right="20" w:firstLine="324"/>
        <w:spacing w:after="0" w:line="311" w:lineRule="auto"/>
        <w:rPr>
          <w:sz w:val="20"/>
          <w:szCs w:val="20"/>
          <w:color w:val="auto"/>
        </w:rPr>
      </w:pPr>
      <w:r>
        <w:rPr>
          <w:rFonts w:ascii="Arial" w:cs="Arial" w:eastAsia="Arial" w:hAnsi="Arial"/>
          <w:sz w:val="16"/>
          <w:szCs w:val="16"/>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95" w:lineRule="exact"/>
        <w:rPr>
          <w:sz w:val="20"/>
          <w:szCs w:val="20"/>
          <w:color w:val="auto"/>
        </w:rPr>
      </w:pPr>
    </w:p>
    <w:p>
      <w:pPr>
        <w:ind w:left="580" w:right="1040"/>
        <w:spacing w:after="0" w:line="465" w:lineRule="auto"/>
        <w:rPr>
          <w:sz w:val="20"/>
          <w:szCs w:val="20"/>
          <w:color w:val="auto"/>
        </w:rPr>
      </w:pPr>
      <w:r>
        <w:rPr>
          <w:rFonts w:ascii="Arial" w:cs="Arial" w:eastAsia="Arial" w:hAnsi="Arial"/>
          <w:sz w:val="18"/>
          <w:szCs w:val="18"/>
          <w:color w:val="auto"/>
        </w:rPr>
        <w:t xml:space="preserve">On May 25, 2021, the Company refinanced its 2020 Term Loan and paid down approximately $99.0 million of the 2020 Term Loan. </w:t>
      </w:r>
      <w:r>
        <w:rPr>
          <w:rFonts w:ascii="Arial" w:cs="Arial" w:eastAsia="Arial" w:hAnsi="Arial"/>
          <w:sz w:val="18"/>
          <w:szCs w:val="18"/>
          <w:b w:val="1"/>
          <w:bCs w:val="1"/>
          <w:i w:val="1"/>
          <w:iCs w:val="1"/>
          <w:u w:val="single" w:color="auto"/>
          <w:color w:val="auto"/>
        </w:rPr>
        <w:t>Term Loan</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 2015 Term Loan, the 2020 Term Loan and the Amendment collectively as the "Term Loan".</w:t>
      </w:r>
    </w:p>
    <w:p>
      <w:pPr>
        <w:spacing w:after="0" w:line="171" w:lineRule="exact"/>
        <w:rPr>
          <w:sz w:val="20"/>
          <w:szCs w:val="20"/>
          <w:color w:val="auto"/>
        </w:rPr>
      </w:pPr>
    </w:p>
    <w:p>
      <w:pPr>
        <w:jc w:val="both"/>
        <w:ind w:left="260" w:firstLine="324"/>
        <w:spacing w:after="0" w:line="291" w:lineRule="auto"/>
        <w:rPr>
          <w:sz w:val="20"/>
          <w:szCs w:val="20"/>
          <w:color w:val="auto"/>
        </w:rPr>
      </w:pPr>
      <w:r>
        <w:rPr>
          <w:rFonts w:ascii="Arial" w:cs="Arial" w:eastAsia="Arial" w:hAnsi="Arial"/>
          <w:sz w:val="16"/>
          <w:szCs w:val="16"/>
          <w:color w:val="auto"/>
        </w:rPr>
        <w:t>On July 2, 2015, Academy, Ltd. entered into a seven-year $1.8 billion senior secured term loan facility (the "2015 Term Loan") with Morgan Stanley Senior Funding, Inc., as the administrative and collateral agent, and other lenders, and a five-year $650 million secured asset-based revolving credit facility (the "2015 ABL Facility") with JPMorgan Chase Bank, N.A., as administrative agent, and other lenders. Academy, Ltd. received proceeds from the 2015 Term Loan of $1.8 billion, which was net of discount of $9.1 million. The 2015 Term Loan bore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were required through June 30, 2022, with the balance due in full on the maturity date of July 2, 2022.</w:t>
      </w:r>
    </w:p>
    <w:p>
      <w:pPr>
        <w:spacing w:after="0" w:line="193"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4" w:name="page15"/>
    <w:bookmarkEnd w:id="14"/>
    <w:p>
      <w:pPr>
        <w:jc w:val="both"/>
        <w:ind w:firstLine="324"/>
        <w:spacing w:after="0" w:line="268" w:lineRule="auto"/>
        <w:rPr>
          <w:sz w:val="20"/>
          <w:szCs w:val="20"/>
          <w:color w:val="auto"/>
        </w:rPr>
      </w:pPr>
      <w:r>
        <w:rPr>
          <w:rFonts w:ascii="Arial" w:cs="Arial" w:eastAsia="Arial" w:hAnsi="Arial"/>
          <w:sz w:val="17"/>
          <w:szCs w:val="17"/>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October 30, 2021, the weighted average interest rate was 4.50%, with interest payable monthly. The terms and conditions of the Amendment also require that the outstanding balance under the Loan is prepaid under certain circumstances. In connection with the 2020 Term Loan and the Amendment, the Company capitalized related professional fees of $5.8 million as deferred loan costs. As of October 30, 2021, no prepayment was due under the terms and conditions of the Term Loan.</w:t>
      </w:r>
    </w:p>
    <w:p>
      <w:pPr>
        <w:spacing w:after="0" w:line="1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Amendment, the Company recognized a non-cash loss on early retirement of debt of $2.2 million in the thirty-nine weeks ended October 30, 2021 from the write-off of deferred loan costs and expense related to the original issuance discount associated with our 2020 Term Loan.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thirty-nine weeks ended October 31, 2020, we repurchased principal on our 2015 Term Loan, which was trading at a discount, in open market transactions. The following table provides further detail regarding the repurchase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Thirty-Nine Weeks Ended</w:t>
            </w:r>
          </w:p>
        </w:tc>
      </w:tr>
      <w:tr>
        <w:trPr>
          <w:trHeight w:val="223"/>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October 31, 2020</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principal repurchased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Reacquisition price of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Notes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will pay interest semi-annually in arrears in cash on May 15 and November 15 of each year at a rate of 6.00% per year, commencing on May 15, 2021. In connection with issuance of the Notes, the Company capitalized related professional fees of $5.2 million as deferred loan costs.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5" w:name="page16"/>
    <w:bookmarkEnd w:id="15"/>
    <w:p>
      <w:pPr>
        <w:ind w:left="580"/>
        <w:spacing w:after="0"/>
        <w:rPr>
          <w:sz w:val="20"/>
          <w:szCs w:val="20"/>
          <w:color w:val="auto"/>
        </w:rPr>
      </w:pPr>
      <w:r>
        <w:rPr>
          <w:rFonts w:ascii="Arial" w:cs="Arial" w:eastAsia="Arial" w:hAnsi="Arial"/>
          <w:sz w:val="18"/>
          <w:szCs w:val="18"/>
          <w:b w:val="1"/>
          <w:bCs w:val="1"/>
          <w:i w:val="1"/>
          <w:iCs w:val="1"/>
          <w:u w:val="single" w:color="auto"/>
          <w:color w:val="auto"/>
        </w:rPr>
        <w:t>ABL Facility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 2015 ABL Facility and the 2020 ABL Facility collectively as the "ABL Facility".</w:t>
      </w:r>
    </w:p>
    <w:p>
      <w:pPr>
        <w:spacing w:after="0" w:line="17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On July 2, 2015, Academy, Ltd. entered into a five-year $650 million secured asset-based revolving credit facility (the "2015 ABL Facility"). On May 22, 2018, the Company amended the agreement governing the 2015 ABL Facility to increase the commitment on the facility from $650 million to $1 billion. In connection with the amendment to the 2015 ABL Facility, the Company capitalized related professional fees of $2.8 million as deferred loan costs and wrote off $0.1 million in previously capitalized deferred loan costs. The 2015 ABL Facility was scheduled to mature on May 22, 2023, subject to a springing maturity clause which could have been triggered 91 days before the July 2, 2022 maturity of the 2015 Term Loan.</w:t>
      </w:r>
    </w:p>
    <w:p>
      <w:pPr>
        <w:spacing w:after="0" w:line="107"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On November 6, 2020, Academy, Ltd., as borrower, and the Guarantors, as guarantors, amended the 2015 ABL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to November 6, 2025 (the "2020 ABL Facility"). In connection with the 2020 ABL Facility, the Company capitalized related professional fees of $3.1 million as deferred loan costs.</w:t>
      </w:r>
    </w:p>
    <w:p>
      <w:pPr>
        <w:spacing w:after="0" w:line="138" w:lineRule="exact"/>
        <w:rPr>
          <w:sz w:val="20"/>
          <w:szCs w:val="20"/>
          <w:color w:val="auto"/>
        </w:rPr>
      </w:pPr>
    </w:p>
    <w:p>
      <w:pPr>
        <w:jc w:val="both"/>
        <w:ind w:left="260" w:firstLine="324"/>
        <w:spacing w:after="0" w:line="275" w:lineRule="auto"/>
        <w:rPr>
          <w:sz w:val="20"/>
          <w:szCs w:val="20"/>
          <w:color w:val="auto"/>
        </w:rPr>
      </w:pPr>
      <w:r>
        <w:rPr>
          <w:rFonts w:ascii="Arial" w:cs="Arial" w:eastAsia="Arial" w:hAnsi="Arial"/>
          <w:sz w:val="17"/>
          <w:szCs w:val="17"/>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30, 2021, we had outstanding letters of credit of approximately $20.5 million, of which $17.8 million were issued under the ABL Facility, and we had no borrowings outstanding under the ABL Facility, leaving the available borrowing capacity under the ABL Facility of $982.2 million.</w:t>
      </w:r>
    </w:p>
    <w:p>
      <w:pPr>
        <w:spacing w:after="0" w:line="122" w:lineRule="exact"/>
        <w:rPr>
          <w:sz w:val="20"/>
          <w:szCs w:val="20"/>
          <w:color w:val="auto"/>
        </w:rPr>
      </w:pPr>
    </w:p>
    <w:p>
      <w:pPr>
        <w:jc w:val="both"/>
        <w:ind w:left="260" w:firstLine="324"/>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October 30, 2021, no future prepayments of outstanding loans have been triggered under the terms and conditions of the ABL Facility.</w:t>
      </w:r>
    </w:p>
    <w:p>
      <w:pPr>
        <w:spacing w:after="0" w:line="118"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7"/>
          <w:szCs w:val="17"/>
          <w:b w:val="1"/>
          <w:bCs w:val="1"/>
          <w:i w:val="1"/>
          <w:iCs w:val="1"/>
          <w:u w:val="single" w:color="auto"/>
          <w:color w:val="auto"/>
        </w:rPr>
        <w:t>Covenants</w:t>
      </w: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ABL Facility and Term Loan agreements and the Indenture contain covenants, including, among other things, covenants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October 30, 2021.</w:t>
      </w:r>
    </w:p>
    <w:p>
      <w:pPr>
        <w:spacing w:after="0" w:line="118"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b w:val="1"/>
          <w:bCs w:val="1"/>
          <w:i w:val="1"/>
          <w:iCs w:val="1"/>
          <w:u w:val="single" w:color="auto"/>
          <w:color w:val="auto"/>
        </w:rPr>
        <w:t>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capitalized interest primarily related to store renovations and information technology initiatives in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and $0.4 million for the thirteen and thirty-nine weeks ended October 30, 2021, respectively, and $0.1 million and $0.4 million for the thirteen and thirty-nine weeks ended October 31, 2020,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historically used interest rate swap agreements to hedge market risk relating to possible adverse changes in interest rates.</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All interest rate swaps had been designated as cash flow hedges of variable rate interest payments on borrowings under the Term Loan. On October 28, 2020, we determined that a portion of the underlying cash flows related to $100.0 million of swap notional principal amount was no longer probable of occurring over the remaining term of the interest rate swaps as a result of the Company's planned Refinancing Transactions. As a result, we reclassified approximately $1.3 million of losses from accumulated other comprehensive loss ("AOCI") to other (income) expense, net in our statements of income for the thirteen and thirty-nine weeks ended October 31, 2020 related to the portion of the forecasted transaction no longer considered probable of occurring. We also de-designated a portion of our interest rate swaps as cash flow hedges, leaving $250 million notional principal amount designated and $650 million undesignated. The remaining $4.0 million loss in AOCI as of October 31, 2020 related to the de-designated hedges would then be amortized as an increase to interest expense over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67"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the original maturity of the de-designated swaps. The de-designated $650 million notional principal amount of fixed interest rate swaps would have received mark-to-market treatment prospectively, with changes in fair value recorded immediately to other (income) expense, net on the statements of income.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19, 2021, we settled our three remaining outstanding interest rate swaps in full, which were scheduled to expire on various dates during 2021, for $4.1 million. As of October 30, 2021, we do not have any derivative financial instruments outstanding.</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 2021</w:t>
            </w:r>
          </w:p>
        </w:tc>
        <w:tc>
          <w:tcPr>
            <w:tcW w:w="4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 2021</w:t>
            </w:r>
          </w:p>
        </w:tc>
        <w:tc>
          <w:tcPr>
            <w:tcW w:w="46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October 31, 2020</w:t>
            </w:r>
          </w:p>
        </w:tc>
        <w:tc>
          <w:tcPr>
            <w:tcW w:w="0" w:type="dxa"/>
            <w:vAlign w:val="bottom"/>
          </w:tcPr>
          <w:p>
            <w:pPr>
              <w:spacing w:after="0"/>
              <w:rPr>
                <w:sz w:val="1"/>
                <w:szCs w:val="1"/>
                <w:color w:val="auto"/>
              </w:rPr>
            </w:pPr>
          </w:p>
        </w:tc>
      </w:tr>
      <w:tr>
        <w:trPr>
          <w:trHeight w:val="189"/>
        </w:trPr>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7"/>
              </w:rPr>
              <w:t>Derivatives designated as hedging instruments</w:t>
            </w:r>
          </w:p>
        </w:tc>
        <w:tc>
          <w:tcPr>
            <w:tcW w:w="6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424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included in accrued expenses and other</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vMerge w:val="restart"/>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30"/>
        </w:trPr>
        <w:tc>
          <w:tcPr>
            <w:tcW w:w="45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4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Amounts included in other long-term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56"/>
        </w:trPr>
        <w:tc>
          <w:tcPr>
            <w:tcW w:w="340" w:type="dxa"/>
            <w:vAlign w:val="bottom"/>
            <w:shd w:val="clear" w:color="auto" w:fill="CCEEFF"/>
          </w:tcPr>
          <w:p>
            <w:pPr>
              <w:spacing w:after="0"/>
              <w:rPr>
                <w:sz w:val="13"/>
                <w:szCs w:val="13"/>
                <w:color w:val="auto"/>
              </w:rPr>
            </w:pPr>
          </w:p>
        </w:tc>
        <w:tc>
          <w:tcPr>
            <w:tcW w:w="4240" w:type="dxa"/>
            <w:vAlign w:val="bottom"/>
            <w:gridSpan w:val="3"/>
            <w:shd w:val="clear" w:color="auto" w:fill="CCEEFF"/>
          </w:tcPr>
          <w:p>
            <w:pPr>
              <w:ind w:left="420"/>
              <w:spacing w:after="0" w:line="156" w:lineRule="exact"/>
              <w:rPr>
                <w:sz w:val="20"/>
                <w:szCs w:val="20"/>
                <w:color w:val="auto"/>
              </w:rPr>
            </w:pPr>
            <w:r>
              <w:rPr>
                <w:rFonts w:ascii="Arial" w:cs="Arial" w:eastAsia="Arial" w:hAnsi="Arial"/>
                <w:sz w:val="18"/>
                <w:szCs w:val="18"/>
                <w:color w:val="auto"/>
              </w:rPr>
              <w:t>Total derivatives designated as hedging</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vMerge w:val="restart"/>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instruments net liability</w:t>
            </w:r>
          </w:p>
        </w:tc>
        <w:tc>
          <w:tcPr>
            <w:tcW w:w="4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6"/>
              </w:rPr>
              <w:t>Derivatives not designated as hedging instruments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Borders>
              <w:top w:val="single" w:sz="8" w:color="CCEEFF"/>
            </w:tcBorders>
          </w:tcPr>
          <w:p>
            <w:pPr>
              <w:spacing w:after="0"/>
              <w:rPr>
                <w:sz w:val="19"/>
                <w:szCs w:val="19"/>
                <w:color w:val="auto"/>
              </w:rPr>
            </w:pPr>
          </w:p>
        </w:tc>
        <w:tc>
          <w:tcPr>
            <w:tcW w:w="3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Liabilities</w:t>
            </w:r>
          </w:p>
        </w:tc>
        <w:tc>
          <w:tcPr>
            <w:tcW w:w="4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424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included in accrued expenses and other</w:t>
            </w:r>
          </w:p>
        </w:tc>
        <w:tc>
          <w:tcPr>
            <w:tcW w:w="4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30"/>
        </w:trPr>
        <w:tc>
          <w:tcPr>
            <w:tcW w:w="45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4240" w:type="dxa"/>
            <w:vAlign w:val="bottom"/>
            <w:gridSpan w:val="3"/>
          </w:tcPr>
          <w:p>
            <w:pPr>
              <w:ind w:left="420"/>
              <w:spacing w:after="0" w:line="156" w:lineRule="exact"/>
              <w:rPr>
                <w:sz w:val="20"/>
                <w:szCs w:val="20"/>
                <w:color w:val="auto"/>
              </w:rPr>
            </w:pPr>
            <w:r>
              <w:rPr>
                <w:rFonts w:ascii="Arial" w:cs="Arial" w:eastAsia="Arial" w:hAnsi="Arial"/>
                <w:sz w:val="18"/>
                <w:szCs w:val="18"/>
                <w:color w:val="auto"/>
              </w:rPr>
              <w:t>Total derivatives not designated as hedging</w:t>
            </w:r>
          </w:p>
        </w:tc>
        <w:tc>
          <w:tcPr>
            <w:tcW w:w="440" w:type="dxa"/>
            <w:vAlign w:val="bottom"/>
          </w:tcPr>
          <w:p>
            <w:pPr>
              <w:spacing w:after="0"/>
              <w:rPr>
                <w:sz w:val="13"/>
                <w:szCs w:val="13"/>
                <w:color w:val="auto"/>
              </w:rPr>
            </w:pPr>
          </w:p>
        </w:tc>
        <w:tc>
          <w:tcPr>
            <w:tcW w:w="1560" w:type="dxa"/>
            <w:vAlign w:val="bottom"/>
            <w:gridSpan w:val="2"/>
            <w:vMerge w:val="restart"/>
          </w:tcPr>
          <w:p>
            <w:pPr>
              <w:ind w:left="1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3"/>
                <w:szCs w:val="13"/>
                <w:color w:val="auto"/>
              </w:rPr>
            </w:pPr>
          </w:p>
        </w:tc>
        <w:tc>
          <w:tcPr>
            <w:tcW w:w="1560" w:type="dxa"/>
            <w:vAlign w:val="bottom"/>
            <w:gridSpan w:val="2"/>
            <w:vMerge w:val="restart"/>
          </w:tcPr>
          <w:p>
            <w:pPr>
              <w:ind w:left="1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instruments</w:t>
            </w:r>
          </w:p>
        </w:tc>
        <w:tc>
          <w:tcPr>
            <w:tcW w:w="4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derivatives net liability</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Term Loan.</w:t>
      </w:r>
    </w:p>
    <w:p>
      <w:pPr>
        <w:spacing w:after="0" w:line="197"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expense as follows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340" w:type="dxa"/>
            <w:vAlign w:val="bottom"/>
            <w:gridSpan w:val="4"/>
          </w:tcPr>
          <w:p>
            <w:pPr>
              <w:ind w:left="58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October 31, 2020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30, 2021</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vMerge w:val="restart"/>
            <w:shd w:val="clear" w:color="auto" w:fill="CCEEFF"/>
          </w:tcPr>
          <w:p>
            <w:pPr>
              <w:jc w:val="center"/>
              <w:ind w:left="870"/>
              <w:spacing w:after="0"/>
              <w:rPr>
                <w:sz w:val="20"/>
                <w:szCs w:val="20"/>
                <w:color w:val="auto"/>
              </w:rPr>
            </w:pPr>
            <w:r>
              <w:rPr>
                <w:rFonts w:ascii="Arial" w:cs="Arial" w:eastAsia="Arial" w:hAnsi="Arial"/>
                <w:sz w:val="18"/>
                <w:szCs w:val="18"/>
                <w:color w:val="auto"/>
                <w:w w:val="91"/>
              </w:rPr>
              <w:t>(8,066)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w:t>
            </w:r>
          </w:p>
        </w:tc>
        <w:tc>
          <w:tcPr>
            <w:tcW w:w="14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w w:val="95"/>
              </w:rPr>
              <w:t>Loss deferred into AOCI (net of tax impact</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w w:val="99"/>
              </w:rPr>
              <w:t>of $53 in both the thirteen and thirty-nine</w:t>
            </w:r>
          </w:p>
        </w:tc>
        <w:tc>
          <w:tcPr>
            <w:tcW w:w="140" w:type="dxa"/>
            <w:vAlign w:val="bottom"/>
          </w:tcPr>
          <w:p>
            <w:pPr>
              <w:spacing w:after="0"/>
              <w:rPr>
                <w:sz w:val="15"/>
                <w:szCs w:val="15"/>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520" w:type="dxa"/>
            <w:vAlign w:val="bottom"/>
            <w:vMerge w:val="restart"/>
          </w:tcPr>
          <w:p>
            <w:pPr>
              <w:jc w:val="center"/>
              <w:ind w:left="870"/>
              <w:spacing w:after="0"/>
              <w:rPr>
                <w:sz w:val="20"/>
                <w:szCs w:val="20"/>
                <w:color w:val="auto"/>
              </w:rPr>
            </w:pPr>
            <w:r>
              <w:rPr>
                <w:rFonts w:ascii="Arial" w:cs="Arial" w:eastAsia="Arial" w:hAnsi="Arial"/>
                <w:sz w:val="18"/>
                <w:szCs w:val="18"/>
                <w:color w:val="auto"/>
                <w:w w:val="91"/>
              </w:rPr>
              <w:t>(5,318)</w:t>
            </w:r>
          </w:p>
        </w:tc>
        <w:tc>
          <w:tcPr>
            <w:tcW w:w="0" w:type="dxa"/>
            <w:vAlign w:val="bottom"/>
          </w:tcPr>
          <w:p>
            <w:pPr>
              <w:spacing w:after="0"/>
              <w:rPr>
                <w:sz w:val="1"/>
                <w:szCs w:val="1"/>
                <w:color w:val="auto"/>
              </w:rPr>
            </w:pPr>
          </w:p>
        </w:tc>
      </w:tr>
      <w:tr>
        <w:trPr>
          <w:trHeight w:val="230"/>
        </w:trPr>
        <w:tc>
          <w:tcPr>
            <w:tcW w:w="3460" w:type="dxa"/>
            <w:vAlign w:val="bottom"/>
          </w:tcPr>
          <w:p>
            <w:pPr>
              <w:ind w:left="220"/>
              <w:spacing w:after="0"/>
              <w:rPr>
                <w:sz w:val="20"/>
                <w:szCs w:val="20"/>
                <w:color w:val="auto"/>
              </w:rPr>
            </w:pPr>
            <w:r>
              <w:rPr>
                <w:rFonts w:ascii="Arial" w:cs="Arial" w:eastAsia="Arial" w:hAnsi="Arial"/>
                <w:sz w:val="18"/>
                <w:szCs w:val="18"/>
                <w:color w:val="auto"/>
              </w:rPr>
              <w:t>weeks ended October 31, 2020)</w:t>
            </w:r>
          </w:p>
        </w:tc>
        <w:tc>
          <w:tcPr>
            <w:tcW w:w="1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Increase to interest expense (net of tax</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impact of $115 and $548 for the thirteen</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and thirty-nine weeks ended October 30,</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2021, respectively, and $221 for both the</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thirteen and thirty-nine weeks ended</w:t>
            </w: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88"/>
              </w:rPr>
              <w:t>7,357</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31, 2020)</w:t>
            </w: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rPr>
              <w:t>Loss on swaps from debt refinancing in</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rPr>
              <w:t>other (income) expense, net (net of tax</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rPr>
              <w:t>impact of $330 for both the thirteen and</w:t>
            </w:r>
          </w:p>
        </w:tc>
        <w:tc>
          <w:tcPr>
            <w:tcW w:w="140" w:type="dxa"/>
            <w:vAlign w:val="bottom"/>
          </w:tcPr>
          <w:p>
            <w:pPr>
              <w:spacing w:after="0"/>
              <w:rPr>
                <w:sz w:val="15"/>
                <w:szCs w:val="15"/>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520" w:type="dxa"/>
            <w:vAlign w:val="bottom"/>
            <w:vMerge w:val="restart"/>
          </w:tcPr>
          <w:p>
            <w:pPr>
              <w:jc w:val="center"/>
              <w:ind w:left="91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9"/>
        </w:trPr>
        <w:tc>
          <w:tcPr>
            <w:tcW w:w="3460" w:type="dxa"/>
            <w:vAlign w:val="bottom"/>
          </w:tcPr>
          <w:p>
            <w:pPr>
              <w:ind w:left="220"/>
              <w:spacing w:after="0"/>
              <w:rPr>
                <w:sz w:val="20"/>
                <w:szCs w:val="20"/>
                <w:color w:val="auto"/>
              </w:rPr>
            </w:pPr>
            <w:r>
              <w:rPr>
                <w:rFonts w:ascii="Arial" w:cs="Arial" w:eastAsia="Arial" w:hAnsi="Arial"/>
                <w:sz w:val="18"/>
                <w:szCs w:val="18"/>
                <w:color w:val="auto"/>
                <w:w w:val="94"/>
              </w:rPr>
              <w:t>thirty-nine weeks ended October 31, 2020)</w:t>
            </w:r>
          </w:p>
        </w:tc>
        <w:tc>
          <w:tcPr>
            <w:tcW w:w="1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vMerge w:val="restart"/>
            <w:shd w:val="clear" w:color="auto" w:fill="CCEEFF"/>
          </w:tcPr>
          <w:p>
            <w:pPr>
              <w:jc w:val="center"/>
              <w:ind w:left="870"/>
              <w:spacing w:after="0"/>
              <w:rPr>
                <w:sz w:val="20"/>
                <w:szCs w:val="20"/>
                <w:color w:val="auto"/>
              </w:rPr>
            </w:pPr>
            <w:r>
              <w:rPr>
                <w:rFonts w:ascii="Arial" w:cs="Arial" w:eastAsia="Arial" w:hAnsi="Arial"/>
                <w:sz w:val="18"/>
                <w:szCs w:val="18"/>
                <w:color w:val="auto"/>
                <w:w w:val="91"/>
              </w:rPr>
              <w:t>(5,027)</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ending</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measurements are classified as either:</w:t>
      </w:r>
    </w:p>
    <w:p>
      <w:pPr>
        <w:spacing w:after="0" w:line="171" w:lineRule="exact"/>
        <w:rPr>
          <w:sz w:val="20"/>
          <w:szCs w:val="20"/>
          <w:color w:val="auto"/>
        </w:rPr>
      </w:pPr>
    </w:p>
    <w:p>
      <w:pPr>
        <w:ind w:left="900" w:hanging="324"/>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8" w:lineRule="exact"/>
        <w:rPr>
          <w:rFonts w:ascii="Arial" w:cs="Arial" w:eastAsia="Arial" w:hAnsi="Arial"/>
          <w:sz w:val="18"/>
          <w:szCs w:val="18"/>
          <w:color w:val="auto"/>
        </w:rPr>
      </w:pPr>
    </w:p>
    <w:p>
      <w:pPr>
        <w:jc w:val="both"/>
        <w:ind w:left="900" w:hanging="324"/>
        <w:spacing w:after="0" w:line="263"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21" w:lineRule="exact"/>
        <w:rPr>
          <w:rFonts w:ascii="Arial" w:cs="Arial" w:eastAsia="Arial" w:hAnsi="Arial"/>
          <w:sz w:val="18"/>
          <w:szCs w:val="18"/>
          <w:color w:val="auto"/>
        </w:rPr>
      </w:pPr>
    </w:p>
    <w:p>
      <w:pPr>
        <w:ind w:left="900" w:hanging="324"/>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16"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1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Fair Value</w:t>
            </w:r>
          </w:p>
        </w:tc>
        <w:tc>
          <w:tcPr>
            <w:tcW w:w="440" w:type="dxa"/>
            <w:vAlign w:val="bottom"/>
          </w:tcPr>
          <w:p>
            <w:pPr>
              <w:spacing w:after="0"/>
              <w:rPr>
                <w:sz w:val="17"/>
                <w:szCs w:val="17"/>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October 30, 2021</w:t>
            </w:r>
          </w:p>
        </w:tc>
        <w:tc>
          <w:tcPr>
            <w:tcW w:w="194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January 30, 2021</w:t>
            </w:r>
          </w:p>
        </w:tc>
        <w:tc>
          <w:tcPr>
            <w:tcW w:w="460" w:type="dxa"/>
            <w:vAlign w:val="bottom"/>
          </w:tcPr>
          <w:p>
            <w:pPr>
              <w:spacing w:after="0"/>
              <w:rPr>
                <w:sz w:val="17"/>
                <w:szCs w:val="17"/>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0"/>
              </w:rPr>
              <w:t>October 31, 2020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Hierarchy</w:t>
            </w:r>
          </w:p>
        </w:tc>
        <w:tc>
          <w:tcPr>
            <w:tcW w:w="4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i w:val="1"/>
                <w:iCs w:val="1"/>
                <w:color w:val="auto"/>
                <w:w w:val="86"/>
              </w:rPr>
              <w:t>Liabilities</w:t>
            </w: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Interest rate swap</w:t>
            </w:r>
          </w:p>
        </w:tc>
        <w:tc>
          <w:tcPr>
            <w:tcW w:w="19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Level 2</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both"/>
        <w:ind w:left="260" w:firstLine="324"/>
        <w:spacing w:after="0" w:line="267" w:lineRule="auto"/>
        <w:rPr>
          <w:sz w:val="20"/>
          <w:szCs w:val="20"/>
          <w:color w:val="auto"/>
        </w:rPr>
      </w:pPr>
      <w:r>
        <w:rPr>
          <w:rFonts w:ascii="Arial" w:cs="Arial" w:eastAsia="Arial" w:hAnsi="Arial"/>
          <w:sz w:val="17"/>
          <w:szCs w:val="17"/>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7"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October 30, 2021, January 30, 2021 and October 31, 2020, we held $294.0 million, $284.0 million and $767.0 million in money market funds, respectively.</w:t>
      </w:r>
    </w:p>
    <w:p>
      <w:pPr>
        <w:spacing w:after="0" w:line="130"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October 30, 2021 and January 30, 2021, the estimated fair value of the Term Loan and Notes was $0.7 billion and $0.8 billion, respectively. As of October 31, 2020, the estimated fair value of the Term Loan was $1.4 billion.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560" w:type="dxa"/>
            <w:vAlign w:val="bottom"/>
            <w:gridSpan w:val="4"/>
          </w:tcPr>
          <w:p>
            <w:pPr>
              <w:ind w:left="320"/>
              <w:spacing w:after="0"/>
              <w:rPr>
                <w:sz w:val="20"/>
                <w:szCs w:val="20"/>
                <w:color w:val="auto"/>
              </w:rPr>
            </w:pPr>
            <w:r>
              <w:rPr>
                <w:rFonts w:ascii="Arial" w:cs="Arial" w:eastAsia="Arial" w:hAnsi="Arial"/>
                <w:sz w:val="18"/>
                <w:szCs w:val="18"/>
                <w:color w:val="auto"/>
                <w:w w:val="98"/>
              </w:rPr>
              <w:t>Property and equipment consists of the following (amounts in thousands) as of:</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 2021</w:t>
            </w:r>
          </w:p>
        </w:tc>
        <w:tc>
          <w:tcPr>
            <w:tcW w:w="46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460" w:type="dxa"/>
            <w:vAlign w:val="bottom"/>
          </w:tcPr>
          <w:p>
            <w:pPr>
              <w:spacing w:after="0"/>
              <w:rPr>
                <w:sz w:val="22"/>
                <w:szCs w:val="22"/>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October 31, 2020</w:t>
            </w:r>
          </w:p>
        </w:tc>
      </w:tr>
      <w:tr>
        <w:trPr>
          <w:trHeight w:val="223"/>
        </w:trPr>
        <w:tc>
          <w:tcPr>
            <w:tcW w:w="26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455,542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438,287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435,094</w:t>
            </w:r>
          </w:p>
        </w:tc>
      </w:tr>
      <w:tr>
        <w:trPr>
          <w:trHeight w:val="229"/>
        </w:trPr>
        <w:tc>
          <w:tcPr>
            <w:tcW w:w="2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Equipment and software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593,479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561,333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543,147</w:t>
            </w:r>
          </w:p>
        </w:tc>
      </w:tr>
      <w:tr>
        <w:trPr>
          <w:trHeight w:val="229"/>
        </w:trPr>
        <w:tc>
          <w:tcPr>
            <w:tcW w:w="26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332,368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317,371</w:t>
            </w:r>
          </w:p>
        </w:tc>
      </w:tr>
      <w:tr>
        <w:trPr>
          <w:trHeight w:val="230"/>
        </w:trPr>
        <w:tc>
          <w:tcPr>
            <w:tcW w:w="2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Construction in progress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16,486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27,979</w:t>
            </w:r>
          </w:p>
        </w:tc>
      </w:tr>
      <w:tr>
        <w:trPr>
          <w:trHeight w:val="229"/>
        </w:trPr>
        <w:tc>
          <w:tcPr>
            <w:tcW w:w="26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260" w:type="dxa"/>
            <w:vAlign w:val="bottom"/>
          </w:tcPr>
          <w:p>
            <w:pPr>
              <w:spacing w:after="0"/>
              <w:rPr>
                <w:sz w:val="19"/>
                <w:szCs w:val="19"/>
                <w:color w:val="auto"/>
              </w:rPr>
            </w:pPr>
          </w:p>
        </w:tc>
        <w:tc>
          <w:tcPr>
            <w:tcW w:w="4460" w:type="dxa"/>
            <w:vAlign w:val="bottom"/>
          </w:tcPr>
          <w:p>
            <w:pPr>
              <w:ind w:left="560"/>
              <w:spacing w:after="0"/>
              <w:rPr>
                <w:sz w:val="20"/>
                <w:szCs w:val="20"/>
                <w:color w:val="auto"/>
              </w:rPr>
            </w:pPr>
            <w:r>
              <w:rPr>
                <w:rFonts w:ascii="Arial" w:cs="Arial" w:eastAsia="Arial" w:hAnsi="Arial"/>
                <w:sz w:val="18"/>
                <w:szCs w:val="18"/>
                <w:color w:val="auto"/>
              </w:rPr>
              <w:t>Total property and equipment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1,401,573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1,346,658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1,327,289</w:t>
            </w:r>
          </w:p>
        </w:tc>
      </w:tr>
      <w:tr>
        <w:trPr>
          <w:trHeight w:val="229"/>
        </w:trPr>
        <w:tc>
          <w:tcPr>
            <w:tcW w:w="26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 and amortization</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(1,043,463)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(968,398)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(944,669)</w:t>
            </w:r>
          </w:p>
        </w:tc>
      </w:tr>
      <w:tr>
        <w:trPr>
          <w:trHeight w:val="223"/>
        </w:trPr>
        <w:tc>
          <w:tcPr>
            <w:tcW w:w="260" w:type="dxa"/>
            <w:vAlign w:val="bottom"/>
          </w:tcPr>
          <w:p>
            <w:pPr>
              <w:spacing w:after="0"/>
              <w:rPr>
                <w:sz w:val="19"/>
                <w:szCs w:val="19"/>
                <w:color w:val="auto"/>
              </w:rPr>
            </w:pPr>
          </w:p>
        </w:tc>
        <w:tc>
          <w:tcPr>
            <w:tcW w:w="4460" w:type="dxa"/>
            <w:vAlign w:val="bottom"/>
          </w:tcPr>
          <w:p>
            <w:pPr>
              <w:ind w:left="560"/>
              <w:spacing w:after="0"/>
              <w:rPr>
                <w:sz w:val="20"/>
                <w:szCs w:val="20"/>
                <w:color w:val="auto"/>
              </w:rPr>
            </w:pPr>
            <w:r>
              <w:rPr>
                <w:rFonts w:ascii="Arial" w:cs="Arial" w:eastAsia="Arial" w:hAnsi="Arial"/>
                <w:sz w:val="18"/>
                <w:szCs w:val="18"/>
                <w:color w:val="auto"/>
              </w:rPr>
              <w:t>Property and equipment, net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358,110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378,260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382,620</w:t>
            </w:r>
          </w:p>
        </w:tc>
      </w:tr>
      <w:tr>
        <w:trPr>
          <w:trHeight w:val="20"/>
        </w:trPr>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Depreciation expense was $26.5 million and $77.8 million, respectively, in the thirteen and thirty-nine weeks ended October 30, 2021, and $25.5 million and $79.7 million in the thirteen and thirty-nine weeks ended October 31, 2020, respectively, and is included in selling, general and administrative expenses on the consolidated statements of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520" w:type="dxa"/>
            <w:vAlign w:val="bottom"/>
            <w:gridSpan w:val="7"/>
          </w:tcPr>
          <w:p>
            <w:pPr>
              <w:ind w:left="32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30, 2021</w:t>
            </w:r>
          </w:p>
        </w:tc>
        <w:tc>
          <w:tcPr>
            <w:tcW w:w="4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460" w:type="dxa"/>
            <w:vAlign w:val="bottom"/>
          </w:tcPr>
          <w:p>
            <w:pPr>
              <w:spacing w:after="0"/>
              <w:rPr>
                <w:sz w:val="22"/>
                <w:szCs w:val="22"/>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October 31, 2020</w:t>
            </w:r>
          </w:p>
        </w:tc>
      </w:tr>
      <w:tr>
        <w:trPr>
          <w:trHeight w:val="223"/>
        </w:trPr>
        <w:tc>
          <w:tcPr>
            <w:tcW w:w="26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r>
      <w:tr>
        <w:trPr>
          <w:trHeight w:val="230"/>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Accrued personnel costs</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91,433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113,032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72,995</w:t>
            </w:r>
          </w:p>
        </w:tc>
      </w:tr>
      <w:tr>
        <w:trPr>
          <w:trHeight w:val="230"/>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professional fees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r>
      <w:tr>
        <w:trPr>
          <w:trHeight w:val="230"/>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Accrued sales and use tax</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23,111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18,590</w:t>
            </w:r>
          </w:p>
        </w:tc>
      </w:tr>
      <w:tr>
        <w:trPr>
          <w:trHeight w:val="229"/>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self-insurance</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r>
      <w:tr>
        <w:trPr>
          <w:trHeight w:val="230"/>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Deferred revenue - gift cards and other</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61,145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76,778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54,557</w:t>
            </w:r>
          </w:p>
        </w:tc>
      </w:tr>
      <w:tr>
        <w:trPr>
          <w:trHeight w:val="230"/>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w:t>
            </w:r>
          </w:p>
        </w:tc>
      </w:tr>
      <w:tr>
        <w:trPr>
          <w:trHeight w:val="230"/>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5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5,746</w:t>
            </w:r>
          </w:p>
        </w:tc>
      </w:tr>
      <w:tr>
        <w:trPr>
          <w:trHeight w:val="230"/>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taxes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w:t>
            </w:r>
          </w:p>
        </w:tc>
      </w:tr>
      <w:tr>
        <w:trPr>
          <w:trHeight w:val="229"/>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Sales return allowance</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w:t>
            </w:r>
          </w:p>
        </w:tc>
      </w:tr>
      <w:tr>
        <w:trPr>
          <w:trHeight w:val="223"/>
        </w:trPr>
        <w:tc>
          <w:tcPr>
            <w:tcW w:w="260" w:type="dxa"/>
            <w:vAlign w:val="bottom"/>
          </w:tcPr>
          <w:p>
            <w:pPr>
              <w:spacing w:after="0"/>
              <w:rPr>
                <w:sz w:val="19"/>
                <w:szCs w:val="19"/>
                <w:color w:val="auto"/>
              </w:rPr>
            </w:pPr>
          </w:p>
        </w:tc>
        <w:tc>
          <w:tcPr>
            <w:tcW w:w="4280" w:type="dxa"/>
            <w:vAlign w:val="bottom"/>
          </w:tcPr>
          <w:p>
            <w:pPr>
              <w:ind w:left="56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304,488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291,351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274,612</w:t>
            </w:r>
          </w:p>
        </w:tc>
      </w:tr>
      <w:tr>
        <w:trPr>
          <w:trHeight w:val="20"/>
        </w:trPr>
        <w:tc>
          <w:tcPr>
            <w:tcW w:w="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Equity and Share-Based Compensation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Equity</w:t>
      </w:r>
    </w:p>
    <w:p>
      <w:pPr>
        <w:spacing w:after="0" w:line="175" w:lineRule="exact"/>
        <w:rPr>
          <w:sz w:val="20"/>
          <w:szCs w:val="20"/>
          <w:color w:val="auto"/>
        </w:rPr>
      </w:pPr>
    </w:p>
    <w:p>
      <w:pPr>
        <w:jc w:val="both"/>
        <w:ind w:left="260" w:firstLine="401"/>
        <w:spacing w:after="0" w:line="284" w:lineRule="auto"/>
        <w:rPr>
          <w:sz w:val="20"/>
          <w:szCs w:val="20"/>
          <w:color w:val="auto"/>
        </w:rPr>
      </w:pPr>
      <w:r>
        <w:rPr>
          <w:rFonts w:ascii="Arial" w:cs="Arial" w:eastAsia="Arial" w:hAnsi="Arial"/>
          <w:sz w:val="16"/>
          <w:szCs w:val="16"/>
          <w:color w:val="auto"/>
        </w:rPr>
        <w:t>On September 2, 2021, the Board of Directors of the Company authorized a share repurchase program (the "Share Repurchase Program") under which the Company may purchase up to $500 million of its outstanding shares during the three-year period ending September 2, 2024. 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w:t>
      </w:r>
    </w:p>
    <w:p>
      <w:pPr>
        <w:spacing w:after="0" w:line="2" w:lineRule="exact"/>
        <w:rPr>
          <w:sz w:val="20"/>
          <w:szCs w:val="20"/>
          <w:color w:val="auto"/>
        </w:rPr>
      </w:pPr>
    </w:p>
    <w:p>
      <w:pPr>
        <w:jc w:val="both"/>
        <w:ind w:left="260" w:firstLine="401"/>
        <w:spacing w:after="0" w:line="252" w:lineRule="auto"/>
        <w:rPr>
          <w:sz w:val="20"/>
          <w:szCs w:val="20"/>
          <w:color w:val="auto"/>
        </w:rPr>
      </w:pPr>
      <w:r>
        <w:rPr>
          <w:rFonts w:ascii="Arial" w:cs="Arial" w:eastAsia="Arial" w:hAnsi="Arial"/>
          <w:sz w:val="18"/>
          <w:szCs w:val="18"/>
          <w:color w:val="auto"/>
        </w:rPr>
        <w:t>During the thirteen and thirty-nine weeks ended October 30, 2021, we repurchased and concurrently retired 5,722,892 and 8,952,866 shares of ASO, Inc. common stock for an aggregate amount of $245.8 million and $345.8 million, respectively, which includes purchases that were made pursuant to the Share Repurchase Program and those that were made prior to the Share Repurchase Program. 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October 30, 2021, approximately $254.2 million remained available for share repurchases pursuant to our Share Repurchase Program.</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October 30, 2021, there were 3,539,843 shares that were authorized and available for grant under the 2020 Omnibus Incentive Plan.</w:t>
      </w:r>
    </w:p>
    <w:p>
      <w:pPr>
        <w:spacing w:after="0" w:line="134"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On September 29, 2020, the Academy Sports and Outdoors, Inc. Board of Directors adopted the 2020 Employee Stock Purchase Plan (the "ESPP"), which became effective on October 1, 2020. We have reserved a total of 2,000,000 shares and as of October 30, 2021, there were 1,964,614 shares authorized and available for future issuance under the ESPP.</w:t>
      </w:r>
    </w:p>
    <w:p>
      <w:pPr>
        <w:spacing w:after="0" w:line="130"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Equity compensation expense was $2.9 million and $36.1 million for the thirteen and thirty-nine weeks ended October 30, 2021, respectively, which includes approximately $24.9 million in non-cash expenses related to the 2021 Vesting Event which occurred during the 2021 second quarter. Equity compensation expense was $23.4 million and $27.0 million for the thirteen and thirty-nine weeks ended October 31, 2020, respectively, which includes approximately $19.9 million of stock compensation expense associated with the vesting of certain outstanding restricted stock units as a result of the liquidity condition being achieved upon completion of our IPO. These costs are included in selling, general and administrative expenses in the statements of income.</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20" w:name="page21"/>
    <w:bookmarkEnd w:id="20"/>
    <w:p>
      <w:pPr>
        <w:jc w:val="both"/>
        <w:ind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1" w:name="page22"/>
    <w:bookmarkEnd w:id="21"/>
    <w:p>
      <w:pPr>
        <w:ind w:left="320"/>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were entitled to receive value equal to $1.1257 per Award (or $3.5460 as converted using the Contribution Ratio), which was made in the form of cash payments, additional Restricted Unit grants or Unit Option exercise price adjustments. Cash payments due for unvested Awards were paid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24" w:lineRule="exact"/>
        <w:rPr>
          <w:sz w:val="20"/>
          <w:szCs w:val="20"/>
          <w:color w:val="auto"/>
        </w:rPr>
      </w:pPr>
    </w:p>
    <w:p>
      <w:pPr>
        <w:ind w:left="960" w:hanging="32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ind w:left="960" w:hanging="320"/>
        <w:spacing w:after="0" w:line="308" w:lineRule="auto"/>
        <w:tabs>
          <w:tab w:leader="none" w:pos="955"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payments for vested Unit Options and vested Restricted Units ("Share-Based Award Payments") of $32.2 million were paid in-full as of July 31, 2021. No further Share-Based Award Payments relative to the distribution are payable as of October 30, 2021.</w:t>
      </w:r>
    </w:p>
    <w:p>
      <w:pPr>
        <w:spacing w:after="0" w:line="92" w:lineRule="exact"/>
        <w:rPr>
          <w:sz w:val="20"/>
          <w:szCs w:val="20"/>
          <w:color w:val="auto"/>
        </w:rPr>
      </w:pPr>
    </w:p>
    <w:p>
      <w:pPr>
        <w:ind w:left="320" w:right="500"/>
        <w:spacing w:after="0" w:line="438" w:lineRule="auto"/>
        <w:rPr>
          <w:sz w:val="20"/>
          <w:szCs w:val="20"/>
          <w:color w:val="auto"/>
        </w:rPr>
      </w:pPr>
      <w:r>
        <w:rPr>
          <w:rFonts w:ascii="Arial" w:cs="Arial" w:eastAsia="Arial" w:hAnsi="Arial"/>
          <w:sz w:val="18"/>
          <w:szCs w:val="18"/>
          <w:color w:val="auto"/>
        </w:rPr>
        <w:t xml:space="preserve">These exercise price adjustments did not increase the value of the Unit Options and no related additional equity compensation was incurred. </w:t>
      </w:r>
      <w:r>
        <w:rPr>
          <w:rFonts w:ascii="Arial" w:cs="Arial" w:eastAsia="Arial" w:hAnsi="Arial"/>
          <w:sz w:val="18"/>
          <w:szCs w:val="18"/>
          <w:b w:val="1"/>
          <w:bCs w:val="1"/>
          <w:i w:val="1"/>
          <w:iCs w:val="1"/>
          <w:color w:val="auto"/>
        </w:rPr>
        <w:t>Service Option Fair Value Assumptions</w:t>
      </w:r>
    </w:p>
    <w:p>
      <w:pPr>
        <w:spacing w:after="0" w:line="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for Service Options granted was estimated using a Black-Scholes option-pricing model. The expected lives of the Service Options granted were based on the "SEC simplified" method.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assumptions and grant date fair values for Service Options granted in the thirty-nine weeks ended October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 to 44%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 to 1.22%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4"/>
        </w:trPr>
        <w:tc>
          <w:tcPr>
            <w:tcW w:w="8200" w:type="dxa"/>
            <w:vAlign w:val="bottom"/>
            <w:gridSpan w:val="7"/>
          </w:tcPr>
          <w:p>
            <w:pPr>
              <w:ind w:left="320"/>
              <w:spacing w:after="0"/>
              <w:rPr>
                <w:sz w:val="20"/>
                <w:szCs w:val="20"/>
                <w:color w:val="auto"/>
              </w:rPr>
            </w:pPr>
            <w:r>
              <w:rPr>
                <w:rFonts w:ascii="Arial" w:cs="Arial" w:eastAsia="Arial" w:hAnsi="Arial"/>
                <w:sz w:val="18"/>
                <w:szCs w:val="18"/>
                <w:color w:val="auto"/>
                <w:w w:val="98"/>
              </w:rPr>
              <w:t>The following table presents the Award grants during the thirty-nine weeks ended October 30, 2021:</w:t>
            </w: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Service Options</w:t>
            </w:r>
          </w:p>
        </w:tc>
        <w:tc>
          <w:tcPr>
            <w:tcW w:w="460" w:type="dxa"/>
            <w:vAlign w:val="bottom"/>
          </w:tcPr>
          <w:p>
            <w:pPr>
              <w:spacing w:after="0"/>
              <w:rPr>
                <w:sz w:val="17"/>
                <w:szCs w:val="17"/>
                <w:color w:val="auto"/>
              </w:rPr>
            </w:pPr>
          </w:p>
        </w:tc>
        <w:tc>
          <w:tcPr>
            <w:tcW w:w="17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Service Restricted</w:t>
            </w:r>
          </w:p>
        </w:tc>
        <w:tc>
          <w:tcPr>
            <w:tcW w:w="234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Performance Restricted</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Stock Units</w:t>
            </w:r>
          </w:p>
        </w:tc>
        <w:tc>
          <w:tcPr>
            <w:tcW w:w="58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Stock Units</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Number of shares</w:t>
            </w:r>
          </w:p>
        </w:tc>
        <w:tc>
          <w:tcPr>
            <w:tcW w:w="4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907,901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194,504</w:t>
            </w: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w w:val="92"/>
              </w:rPr>
              <w:t>Weighted average grant date fair value per Award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exercise price per Award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2" w:name="page23"/>
    <w:bookmarkEnd w:id="22"/>
    <w:p>
      <w:pPr>
        <w:ind w:left="580"/>
        <w:spacing w:after="0"/>
        <w:rPr>
          <w:sz w:val="20"/>
          <w:szCs w:val="20"/>
          <w:color w:val="auto"/>
        </w:rPr>
      </w:pPr>
      <w:r>
        <w:rPr>
          <w:rFonts w:ascii="Arial" w:cs="Arial" w:eastAsia="Arial" w:hAnsi="Arial"/>
          <w:sz w:val="18"/>
          <w:szCs w:val="18"/>
          <w:color w:val="auto"/>
        </w:rPr>
        <w:t>The following table presents the unrecognized compensation cost as of October 30, 2021:</w:t>
      </w:r>
    </w:p>
    <w:p>
      <w:pPr>
        <w:spacing w:after="0" w:line="1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Performance Restricted</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9"/>
                <w:szCs w:val="19"/>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9,898,239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10,808,988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3,445,405</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Weighted average life remaining in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8"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(amounts in thousands except per share amounts):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October 31, 2020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October 31, 2020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529,611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217,242</w:t>
            </w:r>
          </w:p>
        </w:tc>
        <w:tc>
          <w:tcPr>
            <w:tcW w:w="0" w:type="dxa"/>
            <w:vAlign w:val="bottom"/>
          </w:tcPr>
          <w:p>
            <w:pPr>
              <w:spacing w:after="0"/>
              <w:rPr>
                <w:sz w:val="1"/>
                <w:szCs w:val="1"/>
                <w:color w:val="auto"/>
              </w:rPr>
            </w:pPr>
          </w:p>
        </w:tc>
      </w:tr>
      <w:tr>
        <w:trPr>
          <w:trHeight w:val="88"/>
        </w:trPr>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Weighted average common shares outstanding -</w:t>
            </w:r>
          </w:p>
        </w:tc>
        <w:tc>
          <w:tcPr>
            <w:tcW w:w="1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91,951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73,908</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w w:val="94"/>
              </w:rPr>
              <w:t>Dilutive effect of Service Restricted Units and</w:t>
            </w:r>
          </w:p>
        </w:tc>
        <w:tc>
          <w:tcPr>
            <w:tcW w:w="1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Service Restricted Stock Units</w:t>
            </w:r>
          </w:p>
        </w:tc>
        <w:tc>
          <w:tcPr>
            <w:tcW w:w="1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Dilutive effect of Performance Restricted</w:t>
            </w: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8"/>
              </w:rPr>
              <w:t>Stock Units and Liquidity Event Restricted</w:t>
            </w:r>
          </w:p>
        </w:tc>
        <w:tc>
          <w:tcPr>
            <w:tcW w:w="1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Units</w:t>
            </w: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Dilutive effect of Service Options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2,381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Dilutive effect of Performance Unit Options</w:t>
            </w:r>
          </w:p>
        </w:tc>
        <w:tc>
          <w:tcPr>
            <w:tcW w:w="1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Performance Stock Options</w:t>
            </w: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Dilutive effect of ESPP shares</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Weighted average common shares outstanding -</w:t>
            </w:r>
          </w:p>
        </w:tc>
        <w:tc>
          <w:tcPr>
            <w:tcW w:w="14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93,844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80,714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95,504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Earnings per common share - 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08"/>
        </w:trPr>
        <w:tc>
          <w:tcPr>
            <w:tcW w:w="3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4"/>
              </w:rPr>
              <w:t>Anti-dilutive stock-based awards excluded from</w:t>
            </w:r>
          </w:p>
        </w:tc>
        <w:tc>
          <w:tcPr>
            <w:tcW w:w="1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diluted calculation</w:t>
            </w:r>
          </w:p>
        </w:tc>
        <w:tc>
          <w:tcPr>
            <w:tcW w:w="14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completed on October 1, 2020,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 NAHC continued to operate as a tax partnership through January 30, 2021.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7" w:right="339" w:bottom="1440" w:gutter="0" w:footer="0" w:header="0"/>
        </w:sectPr>
      </w:pPr>
    </w:p>
    <w:bookmarkStart w:id="23" w:name="page24"/>
    <w:bookmarkEnd w:id="23"/>
    <w:p>
      <w:pPr>
        <w:jc w:val="both"/>
        <w:ind w:left="340" w:firstLine="324"/>
        <w:spacing w:after="0" w:line="263" w:lineRule="auto"/>
        <w:rPr>
          <w:sz w:val="20"/>
          <w:szCs w:val="20"/>
          <w:color w:val="auto"/>
        </w:rPr>
      </w:pPr>
      <w:r>
        <w:rPr>
          <w:rFonts w:ascii="Arial" w:cs="Arial" w:eastAsia="Arial" w:hAnsi="Arial"/>
          <w:sz w:val="18"/>
          <w:szCs w:val="18"/>
          <w:color w:val="auto"/>
        </w:rPr>
        <w:t>Effective January 31, 2021, NAHC discontinued partnership treatment for tax purposes. As a result, our deferred tax liability was no longer measured by reference to membership units in NAHC and instead was measured by reference to the underlying assets and liabilities of our operations. No change in the total reported deferred tax liability occurred as a result of the change in tax structure.</w:t>
      </w:r>
    </w:p>
    <w:p>
      <w:pPr>
        <w:spacing w:after="0" w:line="76" w:lineRule="exact"/>
        <w:rPr>
          <w:sz w:val="20"/>
          <w:szCs w:val="20"/>
          <w:color w:val="auto"/>
        </w:rPr>
      </w:pPr>
    </w:p>
    <w:p>
      <w:pPr>
        <w:jc w:val="both"/>
        <w:ind w:left="340" w:right="20" w:firstLine="324"/>
        <w:spacing w:after="0" w:line="271" w:lineRule="auto"/>
        <w:rPr>
          <w:sz w:val="20"/>
          <w:szCs w:val="20"/>
          <w:color w:val="auto"/>
        </w:rPr>
      </w:pPr>
      <w:r>
        <w:rPr>
          <w:rFonts w:ascii="Arial" w:cs="Arial" w:eastAsia="Arial" w:hAnsi="Arial"/>
          <w:sz w:val="18"/>
          <w:szCs w:val="18"/>
          <w:color w:val="auto"/>
        </w:rPr>
        <w:t>The table below reflects the allocation of the deferred tax liability previously reflected for “Investment in NAHC” to the underlying assets and liabilities of the business based on the estimated fair value as of January 31, 2021 (amounts in thousands):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Effect of Change</w:t>
            </w:r>
          </w:p>
        </w:tc>
        <w:tc>
          <w:tcPr>
            <w:tcW w:w="18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31, 2021</w:t>
            </w: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 and reserves</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Equity compensation</w:t>
            </w:r>
          </w:p>
        </w:tc>
        <w:tc>
          <w:tcPr>
            <w:tcW w:w="18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22,854</w:t>
            </w:r>
          </w:p>
        </w:tc>
      </w:tr>
      <w:tr>
        <w:trPr>
          <w:trHeight w:val="22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60,888</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Investment in NAHC</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138,358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Prepaid items</w:t>
            </w:r>
          </w:p>
        </w:tc>
        <w:tc>
          <w:tcPr>
            <w:tcW w:w="18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(4,124)</w:t>
            </w:r>
          </w:p>
        </w:tc>
      </w:tr>
      <w:tr>
        <w:trPr>
          <w:trHeight w:val="22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(166,204)</w:t>
            </w:r>
          </w:p>
        </w:tc>
      </w:tr>
      <w:tr>
        <w:trPr>
          <w:trHeight w:val="230"/>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5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(199,591)</w:t>
            </w:r>
          </w:p>
        </w:tc>
      </w:tr>
      <w:tr>
        <w:trPr>
          <w:trHeight w:val="248"/>
        </w:trPr>
        <w:tc>
          <w:tcPr>
            <w:tcW w:w="5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determines its income tax expense by applying an estimated annual effective tax rate to its income before income taxes for the interim period. The current tax payable is based on the estimated federal and state income tax payments, while the remainder of income tax expense or benefit for the period is recorded to the net deferred tax asset or liability account. For the thirteen and thirty-nine weeks ended October 30, 2021, ASO, Inc. recorded $44.0 million and $141.5 million of income tax expense, respectively, which included changes in income taxes payable of $92.5 million and net deferred tax liabilities of $49.0 million as of October 30, 2021.</w:t>
      </w:r>
    </w:p>
    <w:p>
      <w:pPr>
        <w:spacing w:after="0" w:line="200" w:lineRule="exact"/>
        <w:rPr>
          <w:sz w:val="20"/>
          <w:szCs w:val="20"/>
          <w:color w:val="auto"/>
        </w:rPr>
      </w:pPr>
    </w:p>
    <w:p>
      <w:pPr>
        <w:spacing w:after="0" w:line="362"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12. Related 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40" w:hanging="8"/>
        <w:spacing w:after="0" w:line="271" w:lineRule="auto"/>
        <w:tabs>
          <w:tab w:leader="none" w:pos="5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provided advisory, consulting and financial services to us. In accordance with the terms of the Monitoring Agreement, we paid an aggregate annual advisory fee which increased by 5.0% annually on each anniversary of the Effective Date. The Adviser also charged us a customary fee for services rendered in connection with securing, structuring and negotiating equity and debt financings by us. Additionally, we were required to reimburse the Adviser for any out-of-pocket expenses in connection with these services. The Monitoring Agreement continued in effect from year-to-year, unless amended or terminated by the Adviser and us.</w:t>
      </w:r>
    </w:p>
    <w:p>
      <w:pPr>
        <w:spacing w:after="0" w:line="124"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Upon the completion of the IPO, in the third quarter of 2020 the Monitoring Agreement terminated and we accrued the final termination fee of $12.3 million. The termination fee was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of approximately $13.0 million and $14.8 million in the thirteen and thirty-nine weeks ended October 31, 2020, respectively. These expenses are included in selling, general and administrative expenses in the statements of income.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In connection with the September 2021 Secondary Offering and the May 2021 Secondary Offering, we repurchased from the underwriters (1) 4,500,000 shares of ASO, Inc. common stock at approximately $43.52 for approximately $195.8 million and (2) 3,229,974 shares of ASO, Inc. common stock at $30.96 per share for approximately $100.0 million. The shares repurchased were immediately retired by the Company (see Note 1 and Note 9).</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paid $2.7 million to KCM during the third quarter of 2020 for underwriting services in connection with the IPO.</w:t>
      </w:r>
    </w:p>
    <w:p>
      <w:pPr>
        <w:spacing w:after="0" w:line="171" w:lineRule="exact"/>
        <w:rPr>
          <w:sz w:val="20"/>
          <w:szCs w:val="20"/>
          <w:color w:val="auto"/>
        </w:rPr>
      </w:pPr>
    </w:p>
    <w:p>
      <w:pPr>
        <w:jc w:val="both"/>
        <w:ind w:left="260" w:firstLine="324"/>
        <w:spacing w:after="0" w:line="286" w:lineRule="auto"/>
        <w:rPr>
          <w:sz w:val="20"/>
          <w:szCs w:val="20"/>
          <w:color w:val="auto"/>
        </w:rPr>
      </w:pPr>
      <w:r>
        <w:rPr>
          <w:rFonts w:ascii="Arial" w:cs="Arial" w:eastAsia="Arial" w:hAnsi="Arial"/>
          <w:sz w:val="17"/>
          <w:szCs w:val="17"/>
          <w:color w:val="auto"/>
        </w:rPr>
        <w:t>Additionally, KKR has ownership interest in a broad range of portfolio companies and we may have entered into commercial transactions for goods or services in the ordinary course of business with these companies. We do not believe such transactions were material to our business. Upon completion of the September 2021 Secondary Offering, KKR no longer holds an ownership interest in the Company.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71" w:lineRule="exact"/>
        <w:rPr>
          <w:sz w:val="20"/>
          <w:szCs w:val="20"/>
          <w:color w:val="auto"/>
        </w:rPr>
      </w:pPr>
    </w:p>
    <w:p>
      <w:pPr>
        <w:jc w:val="both"/>
        <w:ind w:left="260" w:firstLine="324"/>
        <w:spacing w:after="0" w:line="286" w:lineRule="auto"/>
        <w:rPr>
          <w:sz w:val="20"/>
          <w:szCs w:val="20"/>
          <w:color w:val="auto"/>
        </w:rPr>
      </w:pPr>
      <w:r>
        <w:rPr>
          <w:rFonts w:ascii="Arial" w:cs="Arial" w:eastAsia="Arial" w:hAnsi="Arial"/>
          <w:sz w:val="17"/>
          <w:szCs w:val="17"/>
          <w:color w:val="auto"/>
        </w:rPr>
        <w:t>During the thirty-nine weeks ended October 31, 2020, Managers repurchased at fair market value approximately $37.0 thousand of Redeemable Membership Units from a director of the Company for cash. NAHC concurrently repurchased from Managers for cash, at fair market value, a number of NAHC membership units equal to the number of Redeemable Membership Units repurchased from the director.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Note Receivable from Member and Distribution</w:t>
      </w:r>
    </w:p>
    <w:p>
      <w:pPr>
        <w:spacing w:after="0" w:line="171"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Prior to October 1, 2020, under NAHC's LLC agreement, certain members could require the Company to provide a tax loan on their behalf under certain circumstances. On April 10, 2019, the Company loaned $4.0 million with a note receivable issued to a member of NAHC. The note receivable bore semi-annual compounding interest at 2.5%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of NAHC. The note receivable bore semi-annual compounding interest at 2.1%, with outstanding principal and interest due on April 5, 2021, and was recorded in prepaid expenses and other non-current assets on the balance sheet.</w:t>
      </w:r>
    </w:p>
    <w:p>
      <w:pPr>
        <w:spacing w:after="0" w:line="130"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9). Of the $257.0 million, $8.5 million was used to offset and satisfy the remaining balances of the notes receivable and related interest receivable from a member of NAHC.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71"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As of October 30, 2021, we have obligations under technology-related, construction and other contractual commitments in the amount of $26.2 million. Of such commitments, approximately $16.5 million is payable in the next 12 months.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71"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30, 2021, we have $23.1 million in related commitments through 2027, of which $8.3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30, 2021 (the "Annual Report"), as filed with the Securities and Exchange Commission (the "SEC") on April 7, 2021, and in this Quarterly Report, as such risk factors have been updated from time to time in our periodic filings with the SEC, and are accessible on the SEC's website at www.sec.gov, such as the following:</w:t>
      </w:r>
    </w:p>
    <w:p>
      <w:pPr>
        <w:spacing w:after="0" w:line="12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7" w:name="page28"/>
    <w:bookmarkEnd w:id="27"/>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thirty-nine weeks ended October 30, 2021 and our audited financial statements for the fiscal year ended January 30, 2021 and the section entitled "Management's Discussion and Analysis of Financial Condition and Results of Operations" included in the Annual Report.</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All references to "Academy," "Academy Sports + Outdoors," "we," "us," "our" or the "Company" in this Quarterly Report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of our operations, and its consolidated subsidiaries. Academy Sports and Outdoors, Inc. conducts its operations through its subsidiaries, including its indirect subsidiary, Academy, Ltd., an operating company which is doing business as "Academy Sports + Outdoors."</w:t>
      </w:r>
    </w:p>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We operate on the retail industry’s 4-5-4 calendar. The 4-5-4 calendar is a guide for retailers that ensures sales comparability between years by dividing the year into months based on a 4 weeks – 5 weeks – 4 weeks format. Every five to six years a week is added to the 4-5-4 fiscal calendar. Any reference in this Quarterly Report to "year" or any year in particular refers to our fiscal year, which represents the fifty-two or fifty-three week period ending on the Saturday closest to January 31. Any reference in this Quarterly Report to the "current quarter", "2021 third quarter" or similar reference refers to the thirteen week period ended October 30, 2021, and any reference in this Quarterly Report to the "prior year quarter", "2020 third quarter" or similar reference refers to the thirteen week period ended October 31, 2020. Any reference in this Quarterly Report to "current year-to-date", "year-to-date 2021" or similar reference represents the thirty-nine week period ended October 30, 2021, and any reference in this Quarterly Report to the "prior year-to-date", "year-to-date 2020" or similar reference refers to thirty-nine week period ended October 31, 2020. Unless otherwise specified, all comparisons regarding the current period of 2021 are made to the corresponding period of 2020.</w:t>
      </w:r>
    </w:p>
    <w:p>
      <w:pPr>
        <w:spacing w:after="0" w:line="20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20 owned brands.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October 30, 2021, we operated 259 stores that range in size from approximately 40,000 to 130,000 gross square feet, with an average size of approximately 70,000 gross square feet, throughout 16 contiguous states located primarily in the southern United States. Our stores are supported by approximately 22,000 team members, three distribution centers, and our rapidly growing e-commerce platform, which includes our website at www.academy.com and our mobile app, newly introduced in the 2021 second quarter. Additionally, we are deepening our customer relationships, further integrating our e-commerce platform with our stores and driving operating efficiencies by developing our omnichannel capabilities, such as our curbside pickup and ship-to-store programs, which we launched in 2020.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7540" w:type="dxa"/>
            <w:vAlign w:val="bottom"/>
          </w:tcPr>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240"/>
              <w:spacing w:after="0"/>
              <w:rPr>
                <w:sz w:val="20"/>
                <w:szCs w:val="20"/>
                <w:color w:val="auto"/>
              </w:rPr>
            </w:pPr>
            <w:r>
              <w:rPr>
                <w:rFonts w:ascii="Arial" w:cs="Arial" w:eastAsia="Arial" w:hAnsi="Arial"/>
                <w:sz w:val="18"/>
                <w:szCs w:val="18"/>
                <w:b w:val="1"/>
                <w:bCs w:val="1"/>
                <w:color w:val="auto"/>
              </w:rPr>
              <w:t>October 30, 2021</w:t>
            </w: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2020</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Q1 new stores</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Q2 new stores</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Q3 new stores</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Ending stores</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4"/>
        </w:trPr>
        <w:tc>
          <w:tcPr>
            <w:tcW w:w="7540" w:type="dxa"/>
            <w:vAlign w:val="bottom"/>
          </w:tcPr>
          <w:p>
            <w:pPr>
              <w:ind w:left="20"/>
              <w:spacing w:after="0"/>
              <w:rPr>
                <w:sz w:val="20"/>
                <w:szCs w:val="20"/>
                <w:color w:val="auto"/>
              </w:rPr>
            </w:pPr>
            <w:r>
              <w:rPr>
                <w:rFonts w:ascii="Arial" w:cs="Arial" w:eastAsia="Arial" w:hAnsi="Arial"/>
                <w:sz w:val="18"/>
                <w:szCs w:val="18"/>
                <w:color w:val="auto"/>
              </w:rPr>
              <w:t>Relocated stores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All of our sales are generated within the United States, making our results of operations highly dependent on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the section of this Quarterly Report entitled "Impact of COVID-19 on Our Business."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 predict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Strategic Inventory Management. </w:t>
      </w:r>
      <w:r>
        <w:rPr>
          <w:rFonts w:ascii="Arial" w:cs="Arial" w:eastAsia="Arial" w:hAnsi="Arial"/>
          <w:sz w:val="17"/>
          <w:szCs w:val="17"/>
          <w:color w:val="auto"/>
        </w:rPr>
        <w:t>We must maintain sufficient inventory levels of merchandise that our customers desire to successfully operate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our average inventory turns from 3.55x to 3.84x in the twelve months ended October 31, 2020 and October 30, 2021, respectively.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2020 and through the 2021 first quarter, we experienced significant inventory reductions from high sell-through during the period. In the 2021 second and third quarters, we had increased inventory relative to the prior year. However, despite the improved inventory levels, we expect to continue to use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cash throughout the rest of the current fiscal year to build toward our optimal inventory position, which we believe will continue to impact our net cash provided by operating activities during the remainder of 2021.</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Value Strategy. </w:t>
      </w:r>
      <w:r>
        <w:rPr>
          <w:rFonts w:ascii="Arial" w:cs="Arial" w:eastAsia="Arial" w:hAnsi="Arial"/>
          <w:sz w:val="17"/>
          <w:szCs w:val="17"/>
          <w:color w:val="auto"/>
        </w:rPr>
        <w:t>We offer a broad assortment of products at competitive prices that offer extraordinary value. Our in-store experience includes 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We expect that the expansion and enhancement of our omnichannel capabilities will be a key driver of growth in our net sales and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We continue to invest in initiatives that will increase traffic to e-commerce and drive increased online sales conversion. Our improved website and mobile app, which launched in the second quarter of 2021, also support our stores with digital marketing and our buy-online-pickup-in-store ("BOPIS") and ship-to-store programs. Our e-commerce platform also allows us to reach customers outside of our current store footprint and introduces new customers to the Academy brand. In both the thirteen and thirty-nine weeks ended October 30, 2021, BOPIS accounted for approximately half of our e-commerce sales. Our e-commerce platform also serves as a medium for marketing and product education, allowing us to connect further with our customers. During the year-to-date 2021, stores facilitated approximately 95% of our total sales, including ship-from-store, BOPIS and in-store retail sales.</w:t>
      </w:r>
    </w:p>
    <w:p>
      <w:pPr>
        <w:spacing w:after="0" w:line="1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intend to continue working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2020. It is, however, difficult to ascertain with precision what portion of our e-commerce sales increase was attributable to the COVID-19 pandemic as compared to such recent enhancements. During the year-to-date 2021, e-commerce penetration was 8.0% compared to 9.8% in the year-to-date 2020 and 3.8% in the year-to-date 2019. Our e-commerce sales declined 1.5% in the year-to-date 2021 relative to the prior year-to-date which we believe was primarily driven by a demand shift from e-commerce to in-store as more and more customers are becoming comfortable shopping in our stores and the easing of COVID-19 restrictions. However, our e-commerce sales increased 203.9% when compared to year-to-date 2019. We expect to continue to expand and enhance our omnichannel capabilities, including BOPIS, ship-from-store and ship-to-store, which will continue to require significant investments by us.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U.S. sporting goods and outdoor recreation retail industries are highly competitive and fragmented. We compete with specialty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Sourcing and Supply Chain Management. </w:t>
      </w:r>
      <w:r>
        <w:rPr>
          <w:rFonts w:ascii="Arial" w:cs="Arial" w:eastAsia="Arial" w:hAnsi="Arial"/>
          <w:sz w:val="16"/>
          <w:szCs w:val="16"/>
          <w:color w:val="auto"/>
        </w:rPr>
        <w:t>For our business to be successful, our suppliers must provide us with quality products in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quantities, in compliance with regulatory requirements, at acceptable costs and on a timely basis.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can be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jc w:val="both"/>
        <w:ind w:firstLine="324"/>
        <w:spacing w:after="0" w:line="257" w:lineRule="auto"/>
        <w:rPr>
          <w:sz w:val="20"/>
          <w:szCs w:val="20"/>
          <w:color w:val="auto"/>
        </w:rPr>
      </w:pPr>
      <w:r>
        <w:rPr>
          <w:rFonts w:ascii="Arial" w:cs="Arial" w:eastAsia="Arial" w:hAnsi="Arial"/>
          <w:sz w:val="18"/>
          <w:szCs w:val="18"/>
          <w:color w:val="auto"/>
        </w:rPr>
        <w:t>In recent months, we have seen increased competition across the industry for resources throughout the supply chain, which has resulted in disruptions to the flow of products from our vendors, labor shortages, reduced shipping container availability, and longer delays at the port. These factors have negatively impacted transportation costs, as we continue to pay higher rates to maintain our inventory levels. To help mitigate these constraints and potential disruptions to our supply chain, we continue to work with our partners by ordering merchandise earlier, securing transportation capacity, and utilizing different ports of entry.</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These tariffs continue to remain in effect. As a result, we have experienced rising inventory costs on owned brand products we directly source from China, as well as national brand products from China that we source through our vendors.</w:t>
      </w:r>
    </w:p>
    <w:p>
      <w:pPr>
        <w:spacing w:after="0" w:line="13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We expect that new stores will be a key driver of growth in our net sales and gross margin in the future. Our results of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and will continue to be materially affected by the timing and number of new store openings. We are continually assessing the number of locations available that could accommodate our preferred size of stores in markets we would consider and we expect, subject to the impact of the COVID-19 pandemic,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Our business is subject to seasonal fluctuations. A significant portion of our net sales and profits is driven by summer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including in response to resurgence of COVID-19 cases. The scope and nature of these impacts continue to evolve on a daily basis.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response to COVID-19 related recommendations and requirements, and in order to serve our customers while also providing for the safety of our customers, team members and service providers, we have taken many actions, including cleaning each store professionally on a more frequent basis, equipping each store with hand sanitizer stations and signage illustrating how to socially distance within the store, requiring or suggesting that customers, team members and service providers wear face coverings, limiting the number of customers admitted at one time, and having protective shields installed at cash registers and other countertops. We have incurred increased costs related to the implementation of these measures, and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defined below) in March 2020 as a precautionary measure to ensure financial flexibility and maximize liquidity. All three of our distribution centers remained open during 2020 and through year-to-date 2021,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jc w:val="both"/>
        <w:ind w:firstLine="324"/>
        <w:spacing w:after="0" w:line="236" w:lineRule="auto"/>
        <w:rPr>
          <w:sz w:val="20"/>
          <w:szCs w:val="20"/>
          <w:color w:val="auto"/>
        </w:rPr>
      </w:pPr>
      <w:r>
        <w:rPr>
          <w:rFonts w:ascii="Arial" w:cs="Arial" w:eastAsia="Arial" w:hAnsi="Arial"/>
          <w:sz w:val="17"/>
          <w:szCs w:val="17"/>
          <w:color w:val="auto"/>
        </w:rPr>
        <w:t>The impact of the pandemic and actions taken in response to it had varying effects on our results of operations, as further discussed below, and our business has been especially unpredictable. However, as an essential retailer, we have been able to serve our customers as their needs evolved during the pandemic. Early in the pandemic, we saw the acceleration of sales in specific categories, such as outdoor cooking, camping, shooting sports and hunting. Later in the 2020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year-to-date 2020 we experienced decreased sales of certain of our offerings, primarily for apparel and footwear, and had to occasionally cancel certain of our purchase orders for these products. Despite the initial challenges in 2020 with sales declines in our footwear and apparel merchandise divisions, these categories ultimately experienced positive comparable sales growth for 2020. The outdoors and sports and recreation divisions had consistent positive store sales growth throughout 2020 and ultimately experienced significant positive comparable sales growth in 2020.</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year-to-date 2021, we experienced double digit comparable sales growth in all of our merchandise divisions. In-store traffic has increased recently and relative to the prior year. We believe the increase is attributable to the easing of COVID-19 restrictions and increased availability of vaccinations throughout our footprint, which has contributed to increased customer comfort with shopping in our stores. Additionally, we have seen recent demand increases from various factors, such as the U.S. government stimulus payments, enhanced unemployment benefits and the gradual return of team sports and in-person education.</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consumers feel comfortable visiting our stores due to the fact that we have big-box stores and curbside pick-up for online orders, making it easier to socially distance, and that we are not in, or tethered to, malls, as customers seek to avoid crowded spaces. We also saw a significant increase during 2020 of customers purchasing our products through omnichannel platforms, specifically as customers increasingly take advantage of our curbside pick-up service, which we launched during the 2020 first quarter and ship-to-store, which launched in the 2020 third quarter, which gives our customers more options on how to shop Academy. While the easing of most COVID-19 restrictions in the year-to-date 2021 has allowed for greater traffic in our stores, we believe it has also resulted in decreased e-commerce sales penetration when compared to the prior year.</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extent to which our operations and business trends will be impacted by, and any unforeseen costs will result from, the pandemic will depend largely on future developments, which remain highly uncertain and cannot be accurately predicted. These developments include, among other things, a resurgence of the pandemic, including the possible emergence of new strains of COVID-19, the development, availability, uptake and effectiveness of vaccines and other treatments to mitigate the risk of COVID-19, actions by government authorities to contain the outbreak or treat its impact (including OSHA's ETS described in Part II, Item 1A "Risk Factors" of this Quarterly Report), and changes in consumer behavior resulting from the outbreak and such government actions. We continue to monitor the evolving situation. See the section of the Annual Report entitled "Risk Factors—Risks Related to Our Business—The impact of COVID-19 may adversely affect our business and financial results."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 See "Non-GAAP Measures" below.</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Comparable Sales. </w:t>
      </w:r>
      <w:r>
        <w:rPr>
          <w:rFonts w:ascii="Arial" w:cs="Arial" w:eastAsia="Arial" w:hAnsi="Arial"/>
          <w:sz w:val="16"/>
          <w:szCs w:val="16"/>
          <w:color w:val="auto"/>
        </w:rPr>
        <w:t>We define comparable sales as the percentage of period-over-period net sales increase or decrease, in the aggregate, for stores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7"/>
          <w:szCs w:val="17"/>
          <w:color w:val="auto"/>
        </w:rPr>
        <w:t>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thirteen months.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Adjusted EBITDA, Adjusted EBIT, Adjusted Net Income, Pro Forma Adjusted Net Income, Pro Forma Adjusted Earnings per Share and Adjusted Free Cash Flow. </w:t>
      </w:r>
      <w:r>
        <w:rPr>
          <w:rFonts w:ascii="Arial" w:cs="Arial" w:eastAsia="Arial" w:hAnsi="Arial"/>
          <w:sz w:val="16"/>
          <w:szCs w:val="16"/>
          <w:color w:val="auto"/>
        </w:rPr>
        <w:t>Management uses Adjusted EBITDA, Adjusted EBIT, Adjusted Net Income, Pro Forma Adjusted Net Income, Pro Forma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merchandise sales.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These costs consist primarily of payroll and benefits,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include store and corporate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newly public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Income Tax (Benefit) Expense. </w:t>
      </w:r>
      <w:r>
        <w:rPr>
          <w:rFonts w:ascii="Arial" w:cs="Arial" w:eastAsia="Arial" w:hAnsi="Arial"/>
          <w:sz w:val="17"/>
          <w:szCs w:val="17"/>
          <w:color w:val="auto"/>
        </w:rPr>
        <w:t>Prior to October 1, 2020, New Academy Holding Company, LLC, our prior ultimate parent company, was treated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 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financial statements included in this Quarterly Report) completed on October 1, 2020,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October 30, 2021 Compared to Thirteen Weeks Ended October 31,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Thirteen Weeks Ended</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400"/>
              <w:spacing w:after="0"/>
              <w:rPr>
                <w:sz w:val="20"/>
                <w:szCs w:val="20"/>
                <w:color w:val="auto"/>
              </w:rPr>
            </w:pPr>
            <w:r>
              <w:rPr>
                <w:rFonts w:ascii="Arial" w:cs="Arial" w:eastAsia="Arial" w:hAnsi="Arial"/>
                <w:sz w:val="18"/>
                <w:szCs w:val="18"/>
                <w:b w:val="1"/>
                <w:bCs w:val="1"/>
                <w:color w:val="auto"/>
              </w:rPr>
              <w:t>October 30, 2021</w:t>
            </w:r>
          </w:p>
        </w:tc>
        <w:tc>
          <w:tcPr>
            <w:tcW w:w="220" w:type="dxa"/>
            <w:vAlign w:val="bottom"/>
          </w:tcPr>
          <w:p>
            <w:pPr>
              <w:spacing w:after="0"/>
              <w:rPr>
                <w:sz w:val="19"/>
                <w:szCs w:val="19"/>
                <w:color w:val="auto"/>
              </w:rPr>
            </w:pPr>
          </w:p>
        </w:tc>
        <w:tc>
          <w:tcPr>
            <w:tcW w:w="23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October 31, 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Dollars</w:t>
            </w:r>
          </w:p>
        </w:tc>
        <w:tc>
          <w:tcPr>
            <w:tcW w:w="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1,592,795</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1,349,076</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1,031,957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908,565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123,392</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13.6 %</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560,838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344,725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358,955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(14,230)</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216,113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165.0 %</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11,424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7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205,303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58,393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146,910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251.6 %</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43,998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161,305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170.7 %</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$243.7 million, or 18.1%, in the 2021 third quarter over the prior year third quarter due to an increase in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17.9% and strong sales performances across all of our merchandise divisions.</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2021 third quarter comparable sales increase of 17.9% was driven by increased sales across all merchandise divisions and almost every product category. The increase in comparable sales was led by strong performances in outdoor and apparel. The outdoor merchandise division increase was primarily driven by strong sales in ammunition and camping products, partially offset by a decrease in the fishing category, which had a significant increase in the prior year due to the increased popularity of isolated recreation. The apparel division experienced strong sales across all product categories with the highest sales increases in licensed, athletic and outdoor and seasonal apparel. The footwear division increased due to strong sales across every category, especially in athletic, team sports and casual and youth. The sports and recreation merchandise division comparable sales also increased especially in team sports such as basketball, baseball and football, which were adversely impacted by the pandemic during the prior year.</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E-commerce net sales increased $26.2 million, or 25.9%, in the 2021 third quarter compared to the prior year third quarter and represented 8.0% of merchandise sales for the 2021 third quarter compared to 7.5% for the prior year third quarter.</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$120.3 million, or 27.3%, to $560.8 million in the 2021 third quarter from $440.5 million in the 2020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As a percentage of net sales, gross margin increased 2.5% from 32.7% in the 2020 third quarter to 35.2% in the 2021 third quarter. The increase of 250 basis points in gross margin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219 basis points of favorability in merchandise margins due to a shift in higher margin goods driving the increased sales, higher average unit retails, and less promotional and clearance activity from the prior year;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 basis points of favorability in inventory overhead expenditures as a result of lower expense absorption rates from higher inventory turnover rates; partially offset by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46 basis points of unfavorability in import freight as a result of increased costs of ocean freight.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decreased $14.2 million to $344.7 million in the 2021 third quarter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$359.0 million in the 2020 third quarter. As a percentage of net sales, SG&amp;A expenses were down 5.0% to 21.6% in the 2021 third quarter compared to 26.6% in the 2020 third quarter. The decrease of 500 basis points in SG&amp;A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286 basis point decrease in employee costs from leveraging costs on increased sales and higher prior year quarter costs driven by incremental expenses resulting from the expensing of certain share-based awards in connection with the completion of the IPO;</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104 basis point decrease in property and facility fees as a result of leveraging costs on increased sales;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89 basis point decrease related to a 2020 third quarter expense for the termination of our Monitoring Agreement, which occurred upon completion of the IPO.</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$11.0 million, or 49.0%, in the 2021 third quarter when compared with the 2020 third quarter,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of a lower outstanding principal balance on the Term Loan (as defined below) in the current year compared to the prior year due to debt refinancing activities.</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increased to other income of $0.6 million in the 2021 third quarter when compared to other expense of $0.8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2020 third quarter. This increase was primarily driven by $1.3 million of expense in 2020 third quarter related to a portion of the underlying cash flows of swap notional principal amount which were no longer probable of occurring and resulted in immediate recognition of expense.</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Income Tax (Benefit) Expense. </w:t>
      </w:r>
      <w:r>
        <w:rPr>
          <w:rFonts w:ascii="Arial" w:cs="Arial" w:eastAsia="Arial" w:hAnsi="Arial"/>
          <w:sz w:val="18"/>
          <w:szCs w:val="18"/>
          <w:color w:val="auto"/>
        </w:rPr>
        <w:t>Income tax (benefit) expense increased to an expense of $44.0 million in the 2021 third quarter as compared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$1.2 million in the 2020 third quarter. As a result of the Reorganization Transactions, which occurred on October 1, 2020, ASO, Inc. became subject to U.S. federal income taxes and is being taxed at the prevailing corporate rates. ASO, Inc.’s effective tax rate for the 2021 third quarter was 21.4%. The effective tax rate was reduced by approximately 2.2% for the benefit of tax deductions related to the vesting or exercise of several equity compensation awards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Thirty-Nine Weeks Ended October 30, 2021 Compared to Thirty-Nine Weeks Ended October 31,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340"/>
              <w:spacing w:after="0"/>
              <w:rPr>
                <w:sz w:val="20"/>
                <w:szCs w:val="20"/>
                <w:color w:val="auto"/>
              </w:rPr>
            </w:pPr>
            <w:r>
              <w:rPr>
                <w:rFonts w:ascii="Arial" w:cs="Arial" w:eastAsia="Arial" w:hAnsi="Arial"/>
                <w:sz w:val="18"/>
                <w:szCs w:val="18"/>
                <w:b w:val="1"/>
                <w:bCs w:val="1"/>
                <w:color w:val="auto"/>
              </w:rPr>
              <w:t>Thirty-Nine Weeks Ended</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ind w:left="400"/>
              <w:spacing w:after="0"/>
              <w:rPr>
                <w:sz w:val="20"/>
                <w:szCs w:val="20"/>
                <w:color w:val="auto"/>
              </w:rPr>
            </w:pPr>
            <w:r>
              <w:rPr>
                <w:rFonts w:ascii="Arial" w:cs="Arial" w:eastAsia="Arial" w:hAnsi="Arial"/>
                <w:sz w:val="18"/>
                <w:szCs w:val="18"/>
                <w:b w:val="1"/>
                <w:bCs w:val="1"/>
                <w:color w:val="auto"/>
              </w:rPr>
              <w:t>October 30, 2021</w:t>
            </w:r>
          </w:p>
        </w:tc>
        <w:tc>
          <w:tcPr>
            <w:tcW w:w="240" w:type="dxa"/>
            <w:vAlign w:val="bottom"/>
          </w:tcPr>
          <w:p>
            <w:pPr>
              <w:spacing w:after="0"/>
              <w:rPr>
                <w:sz w:val="19"/>
                <w:szCs w:val="19"/>
                <w:color w:val="auto"/>
              </w:rPr>
            </w:pPr>
          </w:p>
        </w:tc>
        <w:tc>
          <w:tcPr>
            <w:tcW w:w="1700" w:type="dxa"/>
            <w:vAlign w:val="bottom"/>
            <w:gridSpan w:val="3"/>
          </w:tcPr>
          <w:p>
            <w:pPr>
              <w:ind w:left="400"/>
              <w:spacing w:after="0"/>
              <w:rPr>
                <w:sz w:val="20"/>
                <w:szCs w:val="20"/>
                <w:color w:val="auto"/>
              </w:rPr>
            </w:pPr>
            <w:r>
              <w:rPr>
                <w:rFonts w:ascii="Arial" w:cs="Arial" w:eastAsia="Arial" w:hAnsi="Arial"/>
                <w:sz w:val="18"/>
                <w:szCs w:val="18"/>
                <w:b w:val="1"/>
                <w:bCs w:val="1"/>
                <w:color w:val="auto"/>
                <w:w w:val="88"/>
              </w:rPr>
              <w:t>October 31, 2020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Dollars</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4,964,658</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4,091,797</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3,197,623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2,856,840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1,767,035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1,234,957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43.1 %</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1,057,290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955,591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709,745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279,366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154.1 %</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38,130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70,487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(Gain) loss on early retirement of debt,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103.7 %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671,122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208.5 %</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141,511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529,611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$872.9 million, or 21.3%, for the year-to-date 2021 compared to year-to-date 2020 as a result of increase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21.2% and strong sales performances across all of our merchandise divisions.</w:t>
      </w:r>
    </w:p>
    <w:p>
      <w:pPr>
        <w:spacing w:after="0" w:line="1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year-to-date comparable sales increase of 21.2% was driven by increased sales across all merchandise divisions and almost every product category. The increase in comparable sales was led by strong performances in apparel, footwear and sports and recreation. The apparel division experienced strong sales across all product categories with the highest sales increases in athletic and outdoor and seasonal. The footwear division increased due to strong sales across every category especially in athletic and casual. The sports and recreation merchandise division comparable sales increase was also driven by strong sales across every category, especially in team sports such as baseball, football, basketball and other sports and recreation activities, which were all adversely impacted by the pandemic during the year-to-date 2020. The outdoor merchandise division increase was led by an increase in the shooting sports category, driven by increased ammunition sales, and an increase in the camping category, partially offset by a decrease in the fishing category, which had a significant increase in the prior year due to the heightened popularity of isolated recreation.</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E-commerce net sales decreased $6.1 million, or 1.5%, in the year-to-date 2021 compared to the year-to-date 2020 and represented 8.0% of merchandise sales for the current year-to-date compared to 9.8% for the prior year-to-date. We believe the decline in e-commerce was generated by a demand shift, especially evident in the first quarter of 2021 as compared to the first quarter of 2020, from e-commerce to in-store sales caused by the easing of COVID-19 restrictions, as well as a greater comfort level amongst our customers for visiting our stores in person.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$532.1 million, or 43.1%, to $1,767.0 million for the year-to-date 2021 from $1,235.0 million for the year-to-date 2020. As a percentage of net sales, gross margin increased 5.4% from 30.2% in the prior year-to-date to 35.6% in the current year-to-date. The increase of 540 basis points in gross margin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405 basis points of favorability in merchandise margins due to a shift in higher margin goods driving the increased sales, higher average unit retails, and less clearance and promotional activity from the prior year;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120 basis points of favorability in inventory overhead expenditures as a result of lower expense absorption rates from higher inventory turnover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$101.7 million, or 10.6%, to $1,057.3 million for the year-to-date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$955.6 million for the year-to-date 2020. As a percentage of net sales, SG&amp;A expenses were down 2.1% to 21.3% in the current year-to-date compared to 23.4% in the prior year-to-date. The decrease of 210 basis points in SG&amp;A is primarily attributable to:</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121 basis point decrease in property and facility fees as a result of leveraging costs on increased sales;</w:t>
      </w:r>
    </w:p>
    <w:p>
      <w:pPr>
        <w:spacing w:after="0" w:line="63" w:lineRule="exact"/>
        <w:rPr>
          <w:rFonts w:ascii="Arial" w:cs="Arial" w:eastAsia="Arial" w:hAnsi="Arial"/>
          <w:sz w:val="18"/>
          <w:szCs w:val="18"/>
          <w:color w:val="auto"/>
        </w:rPr>
      </w:pPr>
    </w:p>
    <w:p>
      <w:pPr>
        <w:ind w:left="660" w:right="20" w:hanging="328"/>
        <w:spacing w:after="0" w:line="316"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70 basis point decrease in employee costs from leveraging costs on increased sales, partially offset by increased equity compensation expense resulting from a vesting event (the "2021 Vesting Event"; see Note 1 to the financial statements included in this Quarterly Report); and</w:t>
      </w:r>
    </w:p>
    <w:p>
      <w:pPr>
        <w:spacing w:after="0" w:line="1"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 basis point decrease related to a 2020 third quarter expense for the termination of our Monitoring Agreement, which occurred upon completion of the IPO.</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$32.4 million, or 45.9%, for the year-to-date 2021 when compared to the year-to-date 2020, primarily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a lower outstanding principal balance on the Term Loan in the current year compared to the prior year due to debt refinancing activities.</w:t>
      </w:r>
    </w:p>
    <w:p>
      <w:pPr>
        <w:spacing w:after="0" w:line="15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(Gain) Loss on Early Retirement of Debt, net. </w:t>
      </w:r>
      <w:r>
        <w:rPr>
          <w:rFonts w:ascii="Arial" w:cs="Arial" w:eastAsia="Arial" w:hAnsi="Arial"/>
          <w:sz w:val="17"/>
          <w:szCs w:val="17"/>
          <w:color w:val="auto"/>
        </w:rPr>
        <w:t>(Gain) loss on early retirement of debt, net decreased $10.1 million to a loss of $2.2 million in the year-to-date 2021 from a gain of $7.8 million in the year-to-date 2020. During the year-to-date 2021, we refinanced our Term Loan, which resulted in a loss on early retirement of debt of $2.2 million. During the year-to-date 2020, we repurchased $23.9 million in principal on the Term Loan, which was trading at a discount, in open market transactions for $16.0 million and recognized a net gain of $7.8 million.</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increased $0.9 million in the year-to-date 2021 when compared to the year-to-date 2020, primarily driven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 million of expense in the year-to-date 2020 related to a portion of the underlying cash flows of swap notional principal amount which were no longer probable of occurring and resulted in immediate recognition of expense.</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$141.2 million to $141.5 million for the year-to-date 2021 as compared to $0.3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year-to-date 2020. As a result of the Reorganization Transactions, which occurred on October 1, 2020, ASO, Inc. became subject to U.S. federal income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taxes and is being taxed at the prevailing corporate rates. ASO, Inc.’s effective tax rate for the year-to-date 2021 was 21.1%. The effective tax rate was reduced by approximately 3.4% for the benefit of tax deductions related to the vesting or exercise of several equity compensation awards during the year-to-date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Adjusted EBITDA, Adjusted EBIT, Adjusted Net Income, Pro Forma Adjusted Net Income, Pro Forma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Pro Forma Adjusted Net Income and Pro Forma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Adjusted EBITDA, Adjusted EBIT,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EBIT,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and Pro Forma Adjusted Earnings per Share should not be construed to imply that our future results will be unaffected by unusual or non-recurring items. In evaluating Adjusted EBITDA, Adjusted EBIT,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EBIT, Adjusted Net Income, Pro Forma Adjusted Net Income, Pro Forma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jc w:val="both"/>
        <w:ind w:firstLine="324"/>
        <w:spacing w:after="0" w:line="263" w:lineRule="auto"/>
        <w:rPr>
          <w:sz w:val="20"/>
          <w:szCs w:val="20"/>
          <w:color w:val="auto"/>
        </w:rPr>
      </w:pPr>
      <w:r>
        <w:rPr>
          <w:rFonts w:ascii="Arial" w:cs="Arial" w:eastAsia="Arial" w:hAnsi="Arial"/>
          <w:sz w:val="18"/>
          <w:szCs w:val="18"/>
          <w:color w:val="auto"/>
        </w:rPr>
        <w:t>Our Adjusted EBITDA, Adjusted EBIT,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period to period changes in taxes, income tax expense or the cash necessary to pay income taxes;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Pro Forma Adjusted Net Income and Pro Forma Adjusted Earnings per Share do not reflect the impact of earnings or charges resulting from matters we consider not to be indicative of our ongoing operations;</w:t>
      </w:r>
    </w:p>
    <w:p>
      <w:pPr>
        <w:ind w:left="660" w:hanging="328"/>
        <w:spacing w:after="0" w:line="29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these limitations, Adjusted EBITDA, Adjusted EBIT, Adjusted Net Income, Pro Forma Adjusted Net Income, Pro Forma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Pro Forma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reconciliations of net income to Adjusted EBITDA and to Adjusted EBIT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3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4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October 31, 2020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October 31, 2020</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529,611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11,424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38,130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70,487</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26,459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77,767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79,718</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14,793</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(Gain) loss on early retirement of debt, net</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(7,831)</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Payroll taxes associated with the 2021 Vesting Event (f)</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w:t>
            </w:r>
          </w:p>
        </w:tc>
      </w:tr>
      <w:tr>
        <w:trPr>
          <w:trHeight w:val="223"/>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246,702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428,640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Depreciation and amortization</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(79,718)</w:t>
            </w:r>
          </w:p>
        </w:tc>
      </w:tr>
      <w:tr>
        <w:trPr>
          <w:trHeight w:val="221"/>
        </w:trPr>
        <w:tc>
          <w:tcPr>
            <w:tcW w:w="416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Adjusted EBIT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220,243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120,171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764,344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348,922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540" w:hanging="51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540" w:hanging="514"/>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12 to the financial statements included in this Quarterly Report.</w:t>
      </w:r>
    </w:p>
    <w:p>
      <w:pPr>
        <w:spacing w:after="0" w:line="45" w:lineRule="exact"/>
        <w:rPr>
          <w:rFonts w:ascii="Arial" w:cs="Arial" w:eastAsia="Arial" w:hAnsi="Arial"/>
          <w:sz w:val="16"/>
          <w:szCs w:val="16"/>
          <w:color w:val="auto"/>
        </w:rPr>
      </w:pPr>
    </w:p>
    <w:p>
      <w:pPr>
        <w:jc w:val="both"/>
        <w:ind w:left="540" w:right="20" w:hanging="514"/>
        <w:spacing w:after="0" w:line="22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the 2021 Vesting Event (see Note 1 to the financial statements included in this Quarterly Report), timing and valuation of awards, achievement of performance targets and equity award forfeitures.</w:t>
      </w:r>
    </w:p>
    <w:p>
      <w:pPr>
        <w:ind w:left="540" w:hanging="51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540" w:right="20" w:hanging="514"/>
        <w:spacing w:after="0" w:line="232"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costs incurred during the thirty-nine weeks ended October 31,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ind w:left="20"/>
        <w:spacing w:after="0" w:line="205" w:lineRule="auto"/>
        <w:rPr>
          <w:sz w:val="20"/>
          <w:szCs w:val="20"/>
          <w:color w:val="auto"/>
        </w:rPr>
      </w:pPr>
      <w:r>
        <w:rPr>
          <w:rFonts w:ascii="Arial" w:cs="Arial" w:eastAsia="Arial" w:hAnsi="Arial"/>
          <w:sz w:val="18"/>
          <w:szCs w:val="18"/>
          <w:color w:val="auto"/>
        </w:rPr>
        <w:t>(f)</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Represents cash expenses related to taxes on equity-based compensation resulting from the 2021 Vesting Event.</w:t>
      </w:r>
    </w:p>
    <w:p>
      <w:pPr>
        <w:spacing w:after="0" w:line="7" w:lineRule="exact"/>
        <w:rPr>
          <w:sz w:val="20"/>
          <w:szCs w:val="20"/>
          <w:color w:val="auto"/>
        </w:rPr>
      </w:pPr>
    </w:p>
    <w:p>
      <w:pPr>
        <w:jc w:val="both"/>
        <w:ind w:left="540" w:right="20" w:hanging="514"/>
        <w:spacing w:after="0" w:line="21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5"/>
          </w:tcPr>
          <w:p>
            <w:pPr>
              <w:ind w:left="700"/>
              <w:spacing w:after="0"/>
              <w:rPr>
                <w:sz w:val="20"/>
                <w:szCs w:val="20"/>
                <w:color w:val="auto"/>
              </w:rPr>
            </w:pPr>
            <w:r>
              <w:rPr>
                <w:rFonts w:ascii="Arial" w:cs="Arial" w:eastAsia="Arial" w:hAnsi="Arial"/>
                <w:sz w:val="16"/>
                <w:szCs w:val="16"/>
                <w:b w:val="1"/>
                <w:bCs w:val="1"/>
                <w:color w:val="auto"/>
              </w:rPr>
              <w:t>Thirteen Weeks Ended</w:t>
            </w:r>
          </w:p>
        </w:tc>
        <w:tc>
          <w:tcPr>
            <w:tcW w:w="160" w:type="dxa"/>
            <w:vAlign w:val="bottom"/>
          </w:tcPr>
          <w:p>
            <w:pPr>
              <w:spacing w:after="0"/>
              <w:rPr>
                <w:sz w:val="18"/>
                <w:szCs w:val="18"/>
                <w:color w:val="auto"/>
              </w:rPr>
            </w:pPr>
          </w:p>
        </w:tc>
        <w:tc>
          <w:tcPr>
            <w:tcW w:w="31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Thirty-Nine Weeks Ended</w:t>
            </w:r>
          </w:p>
        </w:tc>
      </w:tr>
      <w:tr>
        <w:trPr>
          <w:trHeight w:val="210"/>
        </w:trPr>
        <w:tc>
          <w:tcPr>
            <w:tcW w:w="4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30, 2021</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October 31,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October 31, 2020</w:t>
            </w: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161,305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529,611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217,242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36,126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27,049</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4,137</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(h)</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12"/>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571,216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Estimated tax effect of change to C-Corporation status (i)</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(69,410)</w:t>
            </w:r>
          </w:p>
        </w:tc>
      </w:tr>
      <w:tr>
        <w:trPr>
          <w:trHeight w:val="237"/>
        </w:trPr>
        <w:tc>
          <w:tcPr>
            <w:tcW w:w="4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 Forma Adjusted 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571,216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208,591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Adjusted Earnings per Share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6.21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91,951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73,908</w:t>
            </w:r>
          </w:p>
        </w:tc>
      </w:tr>
      <w:tr>
        <w:trPr>
          <w:trHeight w:val="210"/>
        </w:trPr>
        <w:tc>
          <w:tcPr>
            <w:tcW w:w="458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93,844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95,504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77,171</w:t>
            </w:r>
          </w:p>
        </w:tc>
      </w:tr>
    </w:tbl>
    <w:p>
      <w:pPr>
        <w:spacing w:after="0" w:line="266" w:lineRule="exact"/>
        <w:rPr>
          <w:sz w:val="20"/>
          <w:szCs w:val="20"/>
          <w:color w:val="auto"/>
        </w:rPr>
      </w:pPr>
    </w:p>
    <w:p>
      <w:pPr>
        <w:ind w:left="520" w:hanging="494"/>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32" w:lineRule="exact"/>
        <w:rPr>
          <w:rFonts w:ascii="Arial" w:cs="Arial" w:eastAsia="Arial" w:hAnsi="Arial"/>
          <w:sz w:val="16"/>
          <w:szCs w:val="16"/>
          <w:color w:val="auto"/>
        </w:rPr>
      </w:pPr>
    </w:p>
    <w:p>
      <w:pPr>
        <w:ind w:left="520" w:hanging="494"/>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12 to the financial statements included in this Quarterly Report.</w:t>
      </w:r>
    </w:p>
    <w:p>
      <w:pPr>
        <w:spacing w:after="0" w:line="32" w:lineRule="exact"/>
        <w:rPr>
          <w:rFonts w:ascii="Arial" w:cs="Arial" w:eastAsia="Arial" w:hAnsi="Arial"/>
          <w:sz w:val="16"/>
          <w:szCs w:val="16"/>
          <w:color w:val="auto"/>
        </w:rPr>
      </w:pPr>
    </w:p>
    <w:p>
      <w:pPr>
        <w:ind w:left="520" w:right="20" w:hanging="494"/>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10" w:lineRule="exact"/>
        <w:rPr>
          <w:rFonts w:ascii="Arial" w:cs="Arial" w:eastAsia="Arial" w:hAnsi="Arial"/>
          <w:sz w:val="16"/>
          <w:szCs w:val="16"/>
          <w:color w:val="auto"/>
        </w:rPr>
      </w:pPr>
    </w:p>
    <w:p>
      <w:pPr>
        <w:ind w:left="520" w:hanging="494"/>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32" w:lineRule="exact"/>
        <w:rPr>
          <w:rFonts w:ascii="Arial" w:cs="Arial" w:eastAsia="Arial" w:hAnsi="Arial"/>
          <w:sz w:val="16"/>
          <w:szCs w:val="16"/>
          <w:color w:val="auto"/>
        </w:rPr>
      </w:pPr>
    </w:p>
    <w:p>
      <w:pPr>
        <w:jc w:val="both"/>
        <w:ind w:left="520" w:right="20" w:hanging="494"/>
        <w:spacing w:after="0" w:line="225"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costs incurred during the thirty-nine weeks ended October 31,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w:t>
      </w:r>
    </w:p>
    <w:p>
      <w:pPr>
        <w:ind w:left="520"/>
        <w:spacing w:after="0"/>
        <w:rPr>
          <w:sz w:val="20"/>
          <w:szCs w:val="20"/>
          <w:color w:val="auto"/>
        </w:rPr>
      </w:pPr>
      <w:r>
        <w:rPr>
          <w:rFonts w:ascii="Arial" w:cs="Arial" w:eastAsia="Arial" w:hAnsi="Arial"/>
          <w:sz w:val="16"/>
          <w:szCs w:val="16"/>
          <w:color w:val="auto"/>
        </w:rPr>
        <w:t>Represents cash expenses related to taxes on equity-based compensation resulting from the 2021 Vesting Event.</w:t>
      </w:r>
    </w:p>
    <w:p>
      <w:pPr>
        <w:spacing w:after="0" w:line="18" w:lineRule="exact"/>
        <w:rPr>
          <w:sz w:val="20"/>
          <w:szCs w:val="20"/>
          <w:color w:val="auto"/>
        </w:rPr>
      </w:pPr>
    </w:p>
    <w:p>
      <w:pPr>
        <w:jc w:val="both"/>
        <w:ind w:left="520" w:right="20" w:hanging="494"/>
        <w:spacing w:after="0" w:line="268"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jc w:val="both"/>
        <w:ind w:left="520" w:right="20" w:hanging="494"/>
        <w:spacing w:after="0" w:line="230"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the thirteen and thirty-nine weeks ended October 30, 2021, this represents the tax effect of the total adjustments made to arrive at Adjusted Net Income at the estimated effective tax rate for the fiscal year ended January 31, 2022. For thirteen and thirty-nine weeks ended October 31, 2020, this represents the tax effect of the total adjustments made to arrive at Adjusted Net Income at our historical tax rate.</w:t>
      </w:r>
    </w:p>
    <w:p>
      <w:pPr>
        <w:spacing w:after="0" w:line="11" w:lineRule="exact"/>
        <w:rPr>
          <w:rFonts w:ascii="Arial" w:cs="Arial" w:eastAsia="Arial" w:hAnsi="Arial"/>
          <w:sz w:val="16"/>
          <w:szCs w:val="16"/>
          <w:color w:val="auto"/>
        </w:rPr>
      </w:pPr>
    </w:p>
    <w:p>
      <w:pPr>
        <w:ind w:left="520" w:right="20" w:hanging="494"/>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gridSpan w:val="5"/>
          </w:tcPr>
          <w:p>
            <w:pPr>
              <w:ind w:left="72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360" w:type="dxa"/>
            <w:vAlign w:val="bottom"/>
            <w:gridSpan w:val="4"/>
          </w:tcPr>
          <w:p>
            <w:pPr>
              <w:ind w:left="60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4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October 31, 2020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30, 2021</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October 31, 2020</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515,063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8"/>
              </w:rPr>
              <w:t>857,218</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2"/>
              </w:rPr>
              <w:t>(13,790)</w:t>
            </w:r>
          </w:p>
        </w:tc>
      </w:tr>
      <w:tr>
        <w:trPr>
          <w:trHeight w:val="248"/>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456,352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8"/>
              </w:rPr>
              <w:t>843,428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issuances of the debt securities, including the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borrowings under our Term Loan and ABL Facility.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71" w:lineRule="exact"/>
        <w:rPr>
          <w:sz w:val="20"/>
          <w:szCs w:val="20"/>
          <w:color w:val="auto"/>
        </w:rPr>
      </w:pPr>
    </w:p>
    <w:p>
      <w:pPr>
        <w:ind w:left="660" w:right="1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used for operating activities such as the purchase and growth of inventory, expansion of our sales and marketing activities and other working capital needs;</w:t>
      </w:r>
    </w:p>
    <w:p>
      <w:pPr>
        <w:spacing w:after="0" w:line="8"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used for capital improvements and support of expansion plans, as well as various investments in store renovations, store fixtures and on-going infrastructure improvements;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used to pay our debt obligations and related interest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used to pay partnership distributions to our members;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used to pay for the repurchase of common stock;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October 30, 2021, our cash and cash equivalents totaled $401.3 million.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2020, we focused on navigating the challenges presented by COVID-19 through the preservation of our long-term liquidity and management of cash flow through preemptive actions to enhance our ability to meet our short-term liquidity needs. We took various cost cutting measures to maximize operational cash flows (see "Impact of COVID-19 on Our Business" in the MD&amp;A). Such actions included, but were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NAHC's members. Related cash payments of $32.2 million to vested share-based award holders were paid in-full as of July 31, 2021 and no further payments are required relative to this distribution.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6"/>
          <w:szCs w:val="16"/>
          <w:color w:val="auto"/>
        </w:rPr>
        <w:t>On October 6, 2020, we completed our IPO in which we issued and sold 15,625,000 shares of common stock, $0.01 par value, to the IPO underwriters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such as legal and accounting fees (see "Initial Public Offering and Reorganization Transactions" in Note 1 to the financial statements included in this Quarterly Report). The shares sold in the offering were registered under the Securities Act of 1933, as amended, pursuant to our registration statement on Form S-1 (File No. 333-248683, which was declared effective by the Securities and Exchange Commission on October 1, 2020).</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(see "IPO Over-Allotment Exercise" in Note 1 to the financial statements included in this Quarterly Report), which included $0.3 million paid to KCM, for underwriting services, pursuant to the partial exercise by the underwriters of their option to purchase up to 2,343,750 additional shares to cover over-allotments in connection with our IPO. The option has expired with respect to the remaining shares.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6, 2020, the Company (1) issued $400.0 million of 6.00% senior secured notes (the "Notes"), which are due November 15, 2027, (2) entered into a $400.0 million first lien term loan facility (the "2020 Term Loan" and, together with the 2015 Term Loan (as defined in the notes to the financial statements included in the Annual Report), the "Term Loan"), which is due November 6, 2027 and (3) extended the maturity of Academy, Ltd.’s asset-based revolving credit facility thereunder to November 6, 2025 (as extended, the "2020 ABL Facility" and, together with the 2015 ABL Facility (as defined in the notes to the financial statements included in the Annual Report), the "ABL Facility"). We used the net proceeds from the Notes and the net proceeds from the 2020 Term Loan, together with cash on hand, to repay in full the 2015 Term Loan, in the amount of $1,431.4 million (see Note 4 to the financial statements included in the Annual Report).</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10, 2021, the Company completed a repurchase and simultaneous retirement of 3,229,974 shares from the May 2021 Underwriters for cash consideration of $30.96 per share, resulting in a payment of approximately $100.0 million to the May 2021 Underwriters (see "May 2021 Secondary Offering and Stock Repurchase" in Note 1 to the financial statements included in this Quarterly Report). The May 2021 Secondary Offering reduced KKR's ownership interest in the Company and resulted in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25, 2021, the Company entered into an Amendment No. 4 (the "Amendment") to the Second Amended and Restated Credit Agreement (as previously amended, the "Existing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4 to the financial statements included in this Quarterly Report).</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September 2, 2021, the Board of Directors of the Company authorized a share repurchase program (the "Share Repurchase Program") under which the Company may purchase up to $500 million of its outstanding shares during the three-year period ending September 2, 2024. 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are determined by the Company in its discretion and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jc w:val="both"/>
        <w:ind w:firstLine="324"/>
        <w:spacing w:after="0" w:line="296" w:lineRule="auto"/>
        <w:rPr>
          <w:sz w:val="20"/>
          <w:szCs w:val="20"/>
          <w:color w:val="auto"/>
        </w:rPr>
      </w:pPr>
      <w:r>
        <w:rPr>
          <w:rFonts w:ascii="Arial" w:cs="Arial" w:eastAsia="Arial" w:hAnsi="Arial"/>
          <w:sz w:val="16"/>
          <w:szCs w:val="16"/>
          <w:color w:val="auto"/>
        </w:rPr>
        <w:t>On September 17, 2021 the Company completed a repurchase and simultaneous retirement of 4,500,000 shares from the September 2021 Underwriters for cash consideration of approximately $43.52 per share, resulting in a payment of approximately $195.8 million to the September 2021 Underwriters (see "September 2021 Secondary Offering and Stock Repurchase" in Note 1 to the financial statements included in this Quarterly Report). Additionally, during October 2021, the Company completed several open market share repurchases totaling 1,222,892 shares, which were simultaneously retired, for cash consideration of approximately $40.87 per share (see "Equity" in Note 9 to the financial statements included in this Quarterly Report).</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was ample to support our operations and service our requirements. To date in 2021, we have had no borrowings under the ABL Facility.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30, 2021</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October 31, 2020</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funds drawn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168,864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Number of days with outstanding balance</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daily amount outstanding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4"/>
        </w:trPr>
        <w:tc>
          <w:tcPr>
            <w:tcW w:w="7560" w:type="dxa"/>
            <w:vAlign w:val="bottom"/>
          </w:tcPr>
          <w:p>
            <w:pPr>
              <w:ind w:left="20"/>
              <w:spacing w:after="0"/>
              <w:rPr>
                <w:sz w:val="20"/>
                <w:szCs w:val="20"/>
                <w:color w:val="auto"/>
              </w:rPr>
            </w:pPr>
            <w:r>
              <w:rPr>
                <w:rFonts w:ascii="Arial" w:cs="Arial" w:eastAsia="Arial" w:hAnsi="Arial"/>
                <w:sz w:val="18"/>
                <w:szCs w:val="18"/>
                <w:color w:val="auto"/>
              </w:rPr>
              <w:t>Minimum available borrowing capacity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780,945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161,089</w:t>
            </w: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4"/>
          </w:tcPr>
          <w:p>
            <w:pPr>
              <w:ind w:left="340"/>
              <w:spacing w:after="0"/>
              <w:rPr>
                <w:sz w:val="20"/>
                <w:szCs w:val="20"/>
                <w:color w:val="auto"/>
              </w:rPr>
            </w:pPr>
            <w:r>
              <w:rPr>
                <w:rFonts w:ascii="Arial" w:cs="Arial" w:eastAsia="Arial" w:hAnsi="Arial"/>
                <w:sz w:val="18"/>
                <w:szCs w:val="18"/>
                <w:color w:val="auto"/>
              </w:rPr>
              <w:t>Liquidity information related to the ABL facility (amounts in thousands) as of:</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00"/>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30, 2021</w:t>
            </w: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200" w:type="dxa"/>
            <w:vAlign w:val="bottom"/>
          </w:tcPr>
          <w:p>
            <w:pPr>
              <w:spacing w:after="0"/>
              <w:rPr>
                <w:sz w:val="24"/>
                <w:szCs w:val="24"/>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October 31, 2020</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Issued letters of credit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17,828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21,112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 capacity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844,712</w:t>
            </w:r>
          </w:p>
        </w:tc>
      </w:tr>
    </w:tbl>
    <w:p>
      <w:pPr>
        <w:spacing w:after="0" w:line="3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We expect capital expenditures for fiscal year 2021 to be approximately $90.0 million. Approximately 50% of our planned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outflow relate to investments in our corporate, e-commerce and information technology programs. Investments in existing stores and distribution centers is expected to account for approximately 40% of the planned cash outflow and the remaining 10% is expected to be utilized through investments in new stores and relocations. We review forecasted capital expenditures throughout the year and will adjust or modify projects based on business conditions at that time.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i w:val="1"/>
                <w:iCs w:val="1"/>
                <w:color w:val="auto"/>
                <w:w w:val="92"/>
              </w:rPr>
              <w:t>Cash Flows for the Thirty-Nine Weeks Ended October 30, 2021 and October 31, 2020</w:t>
            </w: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6640" w:type="dxa"/>
            <w:vAlign w:val="bottom"/>
          </w:tcPr>
          <w:p>
            <w:pPr>
              <w:ind w:left="340"/>
              <w:spacing w:after="0"/>
              <w:rPr>
                <w:sz w:val="20"/>
                <w:szCs w:val="20"/>
                <w:color w:val="auto"/>
              </w:rPr>
            </w:pPr>
            <w:r>
              <w:rPr>
                <w:rFonts w:ascii="Arial" w:cs="Arial" w:eastAsia="Arial" w:hAnsi="Arial"/>
                <w:sz w:val="18"/>
                <w:szCs w:val="18"/>
                <w:color w:val="auto"/>
                <w:w w:val="95"/>
              </w:rPr>
              <w:t>Our unaudited statements of cash flows are summarized as follows (in thousands):</w:t>
            </w: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6"/>
        </w:trPr>
        <w:tc>
          <w:tcPr>
            <w:tcW w:w="66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6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30, 2021</w:t>
            </w:r>
          </w:p>
        </w:tc>
        <w:tc>
          <w:tcPr>
            <w:tcW w:w="520" w:type="dxa"/>
            <w:vAlign w:val="bottom"/>
          </w:tcPr>
          <w:p>
            <w:pPr>
              <w:spacing w:after="0"/>
              <w:rPr>
                <w:sz w:val="19"/>
                <w:szCs w:val="19"/>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October 31, 2020</w:t>
            </w:r>
          </w:p>
        </w:tc>
      </w:tr>
      <w:tr>
        <w:trPr>
          <w:trHeight w:val="223"/>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515,063</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857,218</w:t>
            </w: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(58,711)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(13,790)</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(432,659)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(123,088)</w:t>
            </w:r>
          </w:p>
        </w:tc>
      </w:tr>
      <w:tr>
        <w:trPr>
          <w:trHeight w:val="223"/>
        </w:trPr>
        <w:tc>
          <w:tcPr>
            <w:tcW w:w="6640" w:type="dxa"/>
            <w:vAlign w:val="bottom"/>
          </w:tcPr>
          <w:p>
            <w:pPr>
              <w:ind w:left="560"/>
              <w:spacing w:after="0"/>
              <w:rPr>
                <w:sz w:val="20"/>
                <w:szCs w:val="20"/>
                <w:color w:val="auto"/>
              </w:rPr>
            </w:pPr>
            <w:r>
              <w:rPr>
                <w:rFonts w:ascii="Arial" w:cs="Arial" w:eastAsia="Arial" w:hAnsi="Arial"/>
                <w:sz w:val="18"/>
                <w:szCs w:val="18"/>
                <w:color w:val="auto"/>
              </w:rPr>
              <w:t>Net increase in cash and cash equivalents</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720,340</w:t>
            </w: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flows from operating activities are seasonal in our business. Typically, cash flows from operations are used to build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in advance of peak selling seasons, with the fourth quarter pre-holiday season inventory increase being the most significant.</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45" w:name="page46"/>
    <w:bookmarkEnd w:id="45"/>
    <w:p>
      <w:pPr>
        <w:ind w:right="80" w:firstLine="324"/>
        <w:spacing w:after="0" w:line="277" w:lineRule="auto"/>
        <w:rPr>
          <w:sz w:val="20"/>
          <w:szCs w:val="20"/>
          <w:color w:val="auto"/>
        </w:rPr>
      </w:pPr>
      <w:r>
        <w:rPr>
          <w:rFonts w:ascii="Arial" w:cs="Arial" w:eastAsia="Arial" w:hAnsi="Arial"/>
          <w:sz w:val="18"/>
          <w:szCs w:val="18"/>
          <w:color w:val="auto"/>
        </w:rPr>
        <w:t>Cash provided by operating activities in the year-to-date 2021 decreased $342.2 million, compared to the year-to-date 2020. This decrease in cash was attributable to:</w:t>
      </w:r>
    </w:p>
    <w:p>
      <w:pPr>
        <w:spacing w:after="0" w:line="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$718.9 million net decrease in cash flows provided by operating assets and liabilities;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$312.4 million increase in net income;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$64.4 million net increase in non-cash charges.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from operating assets and liabilities was primarily attributable to:</w:t>
      </w:r>
    </w:p>
    <w:p>
      <w:pPr>
        <w:spacing w:after="0" w:line="63" w:lineRule="exact"/>
        <w:rPr>
          <w:sz w:val="20"/>
          <w:szCs w:val="20"/>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$352.7 million decrease in cash flows from merchandise inventories, net related to an increase in inventory receipts during the thirty-nine weeks ended October 30, 2021 coupled with a prior year reduction of inventory from higher inventory turnover and supply chain constraints resulting from the COVID-19 pandemic; and</w:t>
      </w:r>
    </w:p>
    <w:p>
      <w:pPr>
        <w:spacing w:after="0" w:line="2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$310.9 million decrease in cash flows from accounts payable related to the prior year extension of vendor payment terms intended to help mitigate the impact of COVID-19 on our business.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from non-cash charges was primarily caused by:</w:t>
      </w:r>
    </w:p>
    <w:p>
      <w:pPr>
        <w:spacing w:after="0" w:line="63" w:lineRule="exact"/>
        <w:rPr>
          <w:sz w:val="20"/>
          <w:szCs w:val="20"/>
          <w:color w:val="auto"/>
        </w:rPr>
      </w:pPr>
    </w:p>
    <w:p>
      <w:pPr>
        <w:ind w:left="660" w:right="2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$60.7 million increase in deferred income taxes as a result of ASO, Inc. becoming subject to U.S. federal income taxes after the Reorganization Transactions in October 2020.</w:t>
      </w:r>
    </w:p>
    <w:p>
      <w:pPr>
        <w:spacing w:after="0" w:line="193"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increased $44.9 million in the current year-to-date compared to the same period last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cash used in investing activities is primarily due to:</w:t>
      </w:r>
    </w:p>
    <w:p>
      <w:pPr>
        <w:spacing w:after="0" w:line="112" w:lineRule="exact"/>
        <w:rPr>
          <w:sz w:val="20"/>
          <w:szCs w:val="20"/>
          <w:color w:val="auto"/>
        </w:rPr>
      </w:pPr>
    </w:p>
    <w:p>
      <w:pPr>
        <w:ind w:left="660" w:right="20" w:hanging="328"/>
        <w:spacing w:after="0" w:line="29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$36.7 million higher capital expenditures on updates in the stores and distribution centers, various digital projects, and other improvements coupled with the strategic reduction of capital expenditures in the prior year in response to the COVID-19 pandemic; and</w:t>
      </w: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$8.1 million decrease from cash proceeds for repayment of notes receivable from one NAHC member which occurred during the year-to-date 2020.</w:t>
      </w:r>
    </w:p>
    <w:p>
      <w:pPr>
        <w:spacing w:after="0" w:line="193"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financing activities increased $309.6 million in the year-to-date 2021, compared to the same period last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drivers of the increase were:</w:t>
      </w:r>
    </w:p>
    <w:p>
      <w:pPr>
        <w:spacing w:after="0" w:line="11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$345.8 million increase in cash outflows related to Company's repurchase and simultaneous retirement of common stock in the current year;</w:t>
      </w:r>
    </w:p>
    <w:p>
      <w:pPr>
        <w:spacing w:after="0" w:line="74"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$184.9 million increase in cash used related to net proceeds from the issuance of common stock during the third quarter of 2020, net of offering costs;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$71.8 million increase in cash outflows related to higher current year-to-date principal repurchases of our Term Loan; partially offset by</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$257.0 million decrease in cash used from a distribution to NAHC's members in the prior year;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$41.3 million decrease in cash used from net proceeds from the exercise of stock options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 More information on all of our significant accounting policies can be found in Note 2, "Summary of Significant Critical Accounting Policies and Estimates" to our audited consolidated financial statements included in the Annual Report and the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set forth in Note 12 to our unaudited consolidated financial statements under Part I, Item 1 under the heading of this Quarterly Report entitled "Related Party Transactions"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October 30, 2021, our off-balance sheet contractual obligations and commercial commitments relate to future minimum guaranteed contractual payments and letters of credit. There have been no other material changes in our off-balance sheet arrangements as discussed in the section of the Annual Report entitled "Management's Discussion and Analysis of Financial Condition and Results of Operations" or our audited financial statements for the fiscal year ended January 30, 2021 included in the "Off-Balance Sheet Arrangements" section of the Annual Report.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contractual obligations and commercial commitments primarily relate to our debt facilities and senior secured notes, operating leases for stores, distribution centers, and office buildings, technology related commitments, and sponsorship and intellectual property agreements. Other than fluctuations from transactions in the ordinary course of business, there were no material changes during the quarter ended October 30, 2021 to the contractual obligations and commercial commitments disclosed in "Contractual Obligations and Commercial Commitments" in the sections of the Annual Report, our Quarterly Report on Form 10-Q for the quarter ended May 1, 2021 and our Quarterly Report on Form 10-Q for the quarter ended July 31, 2021 entitled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firstLine="324"/>
        <w:spacing w:after="0" w:line="324" w:lineRule="auto"/>
        <w:rPr>
          <w:sz w:val="20"/>
          <w:szCs w:val="20"/>
          <w:color w:val="auto"/>
        </w:rPr>
      </w:pPr>
      <w:r>
        <w:rPr>
          <w:rFonts w:ascii="Arial" w:cs="Arial" w:eastAsia="Arial" w:hAnsi="Arial"/>
          <w:sz w:val="16"/>
          <w:szCs w:val="16"/>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previously disclosed, the Company is a defendant in nine lawsuits filed against us between December 2017 and November 2019 in Texas state judicial courts located in Bexar County, Texas, by 79 plaintiffs on behalf of certain victims and family of victims of a November 2017 shooting in Sutherland Springs, Texas. The plaintiffs seek monetary relief ranging from $1 million to over $150 million and, in some cases, injunctive relief to prohibit us from selling certain firearms in Texas to residents of states where such a sale would violate their home state’s applicable firearm laws. These cases, which present substantially similar issues of law and fact, relate to the April 2016 sale by one of our stores of a firearm and magazine that were alleged to have been used in the Sutherland Springs incident. The Supreme Court of Texas heard oral arguments relating to our motion for summary judgment to dismiss certain of these cases in October 2020 (the “Texas Supreme Court Cases”), with the remainder of these cases stayed pending the Supreme Court of Texas’s decision. On June 25, 2021, the Supreme Court of Texas issued an opinion directing the trial court to grant the Company’s motion for summary judgment and held that the Texas Supreme Court Cases are statutorily barred and the Company is protected from continued participation in the Texas Supreme Court cases. Given the Supreme Court of Texas’s opinion and the substantial similarity of all these cases, we expect that any remaining claims and/or</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cases not included in the Texas Supreme Court Cases should also be dismissed by the trial court. However, the ultimate outcome of those claims and/or cases cannot be determined at this time.</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You should carefully consider the risk factors discussed in the section of the Annual Report entitled "Risk Factors", as updated by the section entitled "Risk Factors" in each of our Quarterly Report on Form 10-Q for the quarter ended May 1, 2021 and our Quarterly Report on Form 10-Q for the quarter ended July 31, 2021,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In addition to the effects of the COVID-19 pandemic and resulting global disruptions on our business and operations discussed in the MD&amp;A in this Quarterly Report and in the Risk Factors section of the Annual Report, additional or unforeseen effects from the COVID-19 pandemic and the global economic climate may give rise to or amplify many of these risks. Except as set forth below and as reported in our Quarterly Report on Form 10-Q for the quarter ended May 1, 2021 and our Quarterly Report on Form 10-Q for the quarter ended July 31, 2021, there have been no material changes to the risk factors discussed in the section of the Annual Report entitled "Risk Factors".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significantly on our ability to hire and retain quality team members, including store managers, Enthusiasts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Recent or potential future legislative initiatives may seek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jc w:val="both"/>
        <w:ind w:firstLine="324"/>
        <w:spacing w:after="0" w:line="286" w:lineRule="auto"/>
        <w:rPr>
          <w:sz w:val="20"/>
          <w:szCs w:val="20"/>
          <w:color w:val="auto"/>
        </w:rPr>
      </w:pPr>
      <w:r>
        <w:rPr>
          <w:rFonts w:ascii="Arial" w:cs="Arial" w:eastAsia="Arial" w:hAnsi="Arial"/>
          <w:sz w:val="16"/>
          <w:szCs w:val="16"/>
          <w:color w:val="auto"/>
        </w:rPr>
        <w:t>Additionally, on November 5, 2021, the U.S. Department of Labor’s Occupational Safety and Health Administration (“OSHA”) issued an Emergency Temporary Standard on Vaccination and Testing (the “ETS”) regarding workplace safety relating to COVID-19, which generally requires employers with more than 100 employees, like Academy, to mandate either regular testing and face covering-wearing or COVID-19 vaccinations for unvaccinated employees beginning on January 4, 2022. On November 12, 2021, the U.S. Court of Appeals for the Fifth Circuit issued an order staying enforcement and implementation of the ETS pending further judicial review. Since then, the various federal circuit courts lawsuits challenging the ETS have been consolidated in Multi-District Litigation and the U.S. Court of Appeals for the Sixth Circuit was chosen on November 16, 2021 to consider the merits of the cases and decide whether to dissolve or uphold the Fifth Circuit’s injunction. The case remains under review by the Sixth Circuit. Meanwhile, OSHA said that, while it is confident in its authority to protect workers in emergencies, it has suspended activities related to the implementation and enforcement of the ETS pending future developments in the litigation. If the ETS is enforced, we may experience adverse impacts on our workforce, across all functional areas, at our stores and distribution centers in particular, and the workforce of our vendors to the extent that any of these workers are unavailable to work because they either fail the weekly testing requirement or fail to vaccinate in compliance with the ETS, which could require us to adapt our operations. We may also experience increased expenses relating to any ETS-required support pay we must make in compliance with the ETS to employees who need time to get vaccinated and recover from vaccination during work hours. The requirements of the ETS and the potential adverse impact on our workforce, and that of our vendors, could have a material adverse effect on our financial position, results of operations or cash flows.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repurchases and cancellations of our common stock during the third quarter of 2021:</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w w:val="98"/>
              </w:rPr>
              <w:t>Total Number of</w:t>
            </w:r>
          </w:p>
        </w:tc>
        <w:tc>
          <w:tcPr>
            <w:tcW w:w="400" w:type="dxa"/>
            <w:vAlign w:val="bottom"/>
          </w:tcPr>
          <w:p>
            <w:pPr>
              <w:spacing w:after="0"/>
              <w:rPr>
                <w:sz w:val="17"/>
                <w:szCs w:val="17"/>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5"/>
              </w:rPr>
              <w:t>Dollar Value of</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w w:val="98"/>
              </w:rPr>
              <w:t>Total Number of</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Share Purchased as</w:t>
            </w:r>
          </w:p>
        </w:tc>
        <w:tc>
          <w:tcPr>
            <w:tcW w:w="4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6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w w:val="95"/>
              </w:rPr>
              <w:t>Average Price Paid</w:t>
            </w:r>
          </w:p>
        </w:tc>
        <w:tc>
          <w:tcPr>
            <w:tcW w:w="16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176"/>
        </w:trPr>
        <w:tc>
          <w:tcPr>
            <w:tcW w:w="3960" w:type="dxa"/>
            <w:vAlign w:val="bottom"/>
            <w:gridSpan w:val="2"/>
            <w:vMerge w:val="restart"/>
          </w:tcPr>
          <w:p>
            <w:pPr>
              <w:ind w:left="1800"/>
              <w:spacing w:after="0"/>
              <w:rPr>
                <w:sz w:val="20"/>
                <w:szCs w:val="20"/>
                <w:color w:val="auto"/>
              </w:rPr>
            </w:pPr>
            <w:r>
              <w:rPr>
                <w:rFonts w:ascii="Arial" w:cs="Arial" w:eastAsia="Arial" w:hAnsi="Arial"/>
                <w:sz w:val="18"/>
                <w:szCs w:val="18"/>
                <w:b w:val="1"/>
                <w:bCs w:val="1"/>
                <w:color w:val="auto"/>
              </w:rPr>
              <w:t>Period</w:t>
            </w:r>
          </w:p>
        </w:tc>
        <w:tc>
          <w:tcPr>
            <w:tcW w:w="16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6"/>
              </w:rPr>
              <w:t>Shares Purchased</w:t>
            </w:r>
          </w:p>
        </w:tc>
        <w:tc>
          <w:tcPr>
            <w:tcW w:w="1860" w:type="dxa"/>
            <w:vAlign w:val="bottom"/>
            <w:gridSpan w:val="3"/>
            <w:vMerge w:val="continue"/>
          </w:tcPr>
          <w:p>
            <w:pPr>
              <w:spacing w:after="0"/>
              <w:rPr>
                <w:sz w:val="15"/>
                <w:szCs w:val="15"/>
                <w:color w:val="auto"/>
              </w:rPr>
            </w:pPr>
          </w:p>
        </w:tc>
        <w:tc>
          <w:tcPr>
            <w:tcW w:w="16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29"/>
        </w:trPr>
        <w:tc>
          <w:tcPr>
            <w:tcW w:w="3960" w:type="dxa"/>
            <w:vAlign w:val="bottom"/>
            <w:gridSpan w:val="2"/>
            <w:vMerge w:val="continue"/>
          </w:tcPr>
          <w:p>
            <w:pPr>
              <w:spacing w:after="0"/>
              <w:rPr>
                <w:sz w:val="19"/>
                <w:szCs w:val="19"/>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w:t>
            </w:r>
          </w:p>
        </w:tc>
        <w:tc>
          <w:tcPr>
            <w:tcW w:w="44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Share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Programs (b)</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Plans or Programs (b)</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August 1, 2021 to August 28, 2021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60"/>
              <w:spacing w:after="0"/>
              <w:rPr>
                <w:sz w:val="20"/>
                <w:szCs w:val="20"/>
                <w:color w:val="auto"/>
              </w:rPr>
            </w:pPr>
            <w:r>
              <w:rPr>
                <w:rFonts w:ascii="Arial" w:cs="Arial" w:eastAsia="Arial" w:hAnsi="Arial"/>
                <w:sz w:val="18"/>
                <w:szCs w:val="18"/>
                <w:color w:val="auto"/>
              </w:rPr>
              <w:t>August 29, 2021 to October 2, 2021</w:t>
            </w:r>
          </w:p>
        </w:tc>
        <w:tc>
          <w:tcPr>
            <w:tcW w:w="1560" w:type="dxa"/>
            <w:vAlign w:val="bottom"/>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43.52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304,162,813</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October 3, 2021 to October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1,222,892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254,187,272</w:t>
            </w:r>
          </w:p>
        </w:tc>
        <w:tc>
          <w:tcPr>
            <w:tcW w:w="0" w:type="dxa"/>
            <w:vAlign w:val="bottom"/>
          </w:tcPr>
          <w:p>
            <w:pPr>
              <w:spacing w:after="0"/>
              <w:rPr>
                <w:sz w:val="1"/>
                <w:szCs w:val="1"/>
                <w:color w:val="auto"/>
              </w:rPr>
            </w:pPr>
          </w:p>
        </w:tc>
      </w:tr>
      <w:tr>
        <w:trPr>
          <w:trHeight w:val="223"/>
        </w:trPr>
        <w:tc>
          <w:tcPr>
            <w:tcW w:w="39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5,722,892</w:t>
            </w:r>
          </w:p>
        </w:tc>
        <w:tc>
          <w:tcPr>
            <w:tcW w:w="80" w:type="dxa"/>
            <w:vAlign w:val="bottom"/>
          </w:tcPr>
          <w:p>
            <w:pPr>
              <w:spacing w:after="0"/>
              <w:rPr>
                <w:sz w:val="19"/>
                <w:szCs w:val="19"/>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5,722,892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254,187,272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right="20" w:hanging="249"/>
        <w:spacing w:after="0" w:line="244"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number of shares purchased excludes shares which were net-settled, and therefore not issued, to cover employee tax withholding related to the vesting of certain restricted stock awards.</w:t>
      </w:r>
    </w:p>
    <w:p>
      <w:pPr>
        <w:ind w:left="500" w:hanging="249"/>
        <w:spacing w:after="0" w:line="243"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2, 2021, our Board of Directors authorized a share repurchase program under which the Company may purchase up to $500 million of its outstanding shares during the three-year period ending September 2, 2024.</w:t>
      </w:r>
    </w:p>
    <w:p>
      <w:pPr>
        <w:spacing w:after="0" w:line="21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9"/>
              </w:rPr>
              <w:t>Exhibit Number</w:t>
            </w:r>
          </w:p>
        </w:tc>
        <w:tc>
          <w:tcPr>
            <w:tcW w:w="974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w w:val="94"/>
              </w:rPr>
              <w:t>Amended and Restated Certificate of Incorporation of the Registrant (incorporated by reference to Exhibit 3.1 to the Registrant’s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Current Report on Form 8-K filed on October 6, 2020).</w:t>
            </w:r>
          </w:p>
        </w:tc>
      </w:tr>
      <w:tr>
        <w:trPr>
          <w:trHeight w:val="189"/>
        </w:trPr>
        <w:tc>
          <w:tcPr>
            <w:tcW w:w="440" w:type="dxa"/>
            <w:vAlign w:val="bottom"/>
            <w:gridSpan w:val="3"/>
          </w:tcPr>
          <w:p>
            <w:pPr>
              <w:ind w:left="20"/>
              <w:spacing w:after="0" w:line="189" w:lineRule="exact"/>
              <w:rPr>
                <w:rFonts w:ascii="Arial" w:cs="Arial" w:eastAsia="Arial" w:hAnsi="Arial"/>
                <w:sz w:val="18"/>
                <w:szCs w:val="18"/>
                <w:color w:val="0000FF"/>
              </w:rPr>
            </w:pPr>
            <w:hyperlink r:id="rId6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w w:val="90"/>
              </w:rPr>
              <w:t>Amended and Restated Bylaws of the Registrant (incorporated by reference to Exhibit 3.2 to the Registrant’s Current Report on Form</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80"/>
              <w:spacing w:after="0" w:line="196" w:lineRule="exact"/>
              <w:rPr>
                <w:sz w:val="20"/>
                <w:szCs w:val="20"/>
                <w:color w:val="auto"/>
              </w:rPr>
            </w:pPr>
            <w:r>
              <w:rPr>
                <w:rFonts w:ascii="Arial" w:cs="Arial" w:eastAsia="Arial" w:hAnsi="Arial"/>
                <w:sz w:val="18"/>
                <w:szCs w:val="18"/>
                <w:color w:val="auto"/>
              </w:rPr>
              <w:t>8-K filed on October 6, 2020).</w:t>
            </w:r>
          </w:p>
        </w:tc>
      </w:tr>
      <w:tr>
        <w:trPr>
          <w:trHeight w:val="209"/>
        </w:trPr>
        <w:tc>
          <w:tcPr>
            <w:tcW w:w="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10.</w:t>
              </w:r>
              <w:r>
                <w:rPr>
                  <w:rFonts w:ascii="Arial" w:cs="Arial" w:eastAsia="Arial" w:hAnsi="Arial"/>
                  <w:sz w:val="18"/>
                  <w:szCs w:val="18"/>
                  <w:u w:val="single" w:color="auto"/>
                  <w:color w:val="0000FF"/>
                </w:rPr>
                <w:t>01*</w:t>
              </w:r>
            </w:hyperlink>
          </w:p>
        </w:tc>
        <w:tc>
          <w:tcPr>
            <w:tcW w:w="97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Form of 2021 RSU Executive Retention Award Agreement</w:t>
            </w: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80" w:type="dxa"/>
            <w:vAlign w:val="bottom"/>
            <w:tcBorders>
              <w:top w:val="single" w:sz="8" w:color="CCEEFF"/>
            </w:tcBorders>
          </w:tcPr>
          <w:p>
            <w:pPr>
              <w:spacing w:after="0"/>
              <w:rPr>
                <w:sz w:val="16"/>
                <w:szCs w:val="16"/>
                <w:color w:val="auto"/>
              </w:rPr>
            </w:pPr>
          </w:p>
        </w:tc>
        <w:tc>
          <w:tcPr>
            <w:tcW w:w="9740" w:type="dxa"/>
            <w:vAlign w:val="bottom"/>
            <w:tcBorders>
              <w:top w:val="single" w:sz="8" w:color="CCEEFF"/>
            </w:tcBorders>
          </w:tcPr>
          <w:p>
            <w:pPr>
              <w:ind w:left="80"/>
              <w:spacing w:after="0" w:line="189"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95"/>
              </w:rPr>
            </w:pPr>
            <w:hyperlink w:anchor="page62">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80"/>
              <w:spacing w:after="0" w:line="196" w:lineRule="exact"/>
              <w:rPr>
                <w:sz w:val="20"/>
                <w:szCs w:val="20"/>
                <w:color w:val="auto"/>
              </w:rPr>
            </w:pPr>
            <w:r>
              <w:rPr>
                <w:rFonts w:ascii="Arial" w:cs="Arial" w:eastAsia="Arial" w:hAnsi="Arial"/>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97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 Sarbanes-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Calculation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29"/>
        </w:trPr>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Furnished herewith</w:t>
            </w:r>
          </w:p>
        </w:tc>
      </w:tr>
    </w:tbl>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December 10, 2021 on its behalf by the undersigned, thereto duly authorized.</w:t>
      </w:r>
    </w:p>
    <w:p>
      <w:pPr>
        <w:spacing w:after="0" w:line="23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Ken C. Hicks</w:t>
            </w:r>
          </w:p>
        </w:tc>
      </w:tr>
      <w:tr>
        <w:trPr>
          <w:trHeight w:val="230"/>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Michael P. Mullican</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093"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RESTRICTED STOCK UNIT GRANT NOTICE</w:t>
      </w:r>
    </w:p>
    <w:p>
      <w:pPr>
        <w:jc w:val="center"/>
        <w:spacing w:after="0" w:line="197" w:lineRule="auto"/>
        <w:rPr>
          <w:sz w:val="20"/>
          <w:szCs w:val="20"/>
          <w:color w:val="auto"/>
        </w:rPr>
      </w:pPr>
      <w:r>
        <w:rPr>
          <w:rFonts w:ascii="Arial" w:cs="Arial" w:eastAsia="Arial" w:hAnsi="Arial"/>
          <w:sz w:val="20"/>
          <w:szCs w:val="20"/>
          <w:b w:val="1"/>
          <w:bCs w:val="1"/>
          <w:color w:val="auto"/>
        </w:rPr>
        <w:t>UNDER THE</w:t>
      </w:r>
    </w:p>
    <w:p>
      <w:pPr>
        <w:ind w:left="3600"/>
        <w:spacing w:after="0" w:line="197" w:lineRule="auto"/>
        <w:rPr>
          <w:sz w:val="20"/>
          <w:szCs w:val="20"/>
          <w:color w:val="auto"/>
        </w:rPr>
      </w:pPr>
      <w:r>
        <w:rPr>
          <w:rFonts w:ascii="Arial" w:cs="Arial" w:eastAsia="Arial" w:hAnsi="Arial"/>
          <w:sz w:val="20"/>
          <w:szCs w:val="20"/>
          <w:b w:val="1"/>
          <w:bCs w:val="1"/>
          <w:color w:val="auto"/>
        </w:rPr>
        <w:t>ACADEMY SPORTS AND OUTDOORS, INC.</w:t>
      </w:r>
    </w:p>
    <w:p>
      <w:pPr>
        <w:ind w:left="4040"/>
        <w:spacing w:after="0"/>
        <w:rPr>
          <w:sz w:val="20"/>
          <w:szCs w:val="20"/>
          <w:color w:val="auto"/>
        </w:rPr>
      </w:pPr>
      <w:r>
        <w:rPr>
          <w:rFonts w:ascii="Arial" w:cs="Arial" w:eastAsia="Arial" w:hAnsi="Arial"/>
          <w:sz w:val="20"/>
          <w:szCs w:val="20"/>
          <w:b w:val="1"/>
          <w:bCs w:val="1"/>
          <w:color w:val="auto"/>
        </w:rPr>
        <w:t>2020 OMNIBUS INCENTIVE PLAN</w:t>
      </w:r>
    </w:p>
    <w:p>
      <w:pPr>
        <w:spacing w:after="0" w:line="159"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Academy Sports and Outdoors,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2020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First Name</w:t>
      </w:r>
      <w:r>
        <w:rPr>
          <w:rFonts w:ascii="Arial" w:cs="Arial" w:eastAsia="Arial" w:hAnsi="Arial"/>
          <w:sz w:val="20"/>
          <w:szCs w:val="20"/>
          <w:color w:val="auto"/>
        </w:rPr>
        <w:t>] [</w:t>
      </w:r>
      <w:r>
        <w:rPr>
          <w:rFonts w:ascii="Arial" w:cs="Arial" w:eastAsia="Arial" w:hAnsi="Arial"/>
          <w:sz w:val="20"/>
          <w:szCs w:val="20"/>
          <w:i w:val="1"/>
          <w:iCs w:val="1"/>
          <w:color w:val="auto"/>
        </w:rPr>
        <w:t>Last Name</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p>
    <w:p>
      <w:pPr>
        <w:ind w:left="3260"/>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Date of Grant</w:t>
      </w:r>
      <w:r>
        <w:rPr>
          <w:rFonts w:ascii="Arial" w:cs="Arial" w:eastAsia="Arial" w:hAnsi="Arial"/>
          <w:sz w:val="20"/>
          <w:szCs w:val="20"/>
          <w:color w:val="auto"/>
        </w:rPr>
        <w:t>]</w:t>
      </w:r>
    </w:p>
    <w:p>
      <w:pPr>
        <w:spacing w:after="0" w:line="197" w:lineRule="auto"/>
        <w:rPr>
          <w:sz w:val="20"/>
          <w:szCs w:val="20"/>
          <w:color w:val="auto"/>
        </w:rPr>
      </w:pPr>
      <w:r>
        <w:rPr>
          <w:rFonts w:ascii="Arial" w:cs="Arial" w:eastAsia="Arial" w:hAnsi="Arial"/>
          <w:sz w:val="20"/>
          <w:szCs w:val="20"/>
          <w:b w:val="1"/>
          <w:bCs w:val="1"/>
          <w:color w:val="auto"/>
        </w:rPr>
        <w:t>Number of</w:t>
      </w:r>
    </w:p>
    <w:p>
      <w:pPr>
        <w:spacing w:after="0" w:line="197" w:lineRule="auto"/>
        <w:rPr>
          <w:sz w:val="20"/>
          <w:szCs w:val="20"/>
          <w:color w:val="auto"/>
        </w:rPr>
      </w:pPr>
      <w:r>
        <w:rPr>
          <w:rFonts w:ascii="Arial" w:cs="Arial" w:eastAsia="Arial" w:hAnsi="Arial"/>
          <w:sz w:val="20"/>
          <w:szCs w:val="20"/>
          <w:b w:val="1"/>
          <w:bCs w:val="1"/>
          <w:color w:val="auto"/>
        </w:rPr>
        <w:t>Restricted Stock Units</w:t>
      </w:r>
      <w:r>
        <w:rPr>
          <w:rFonts w:ascii="Arial" w:cs="Arial" w:eastAsia="Arial" w:hAnsi="Arial"/>
          <w:sz w:val="20"/>
          <w:szCs w:val="20"/>
          <w:color w:val="auto"/>
        </w:rPr>
        <w:t>:</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i w:val="1"/>
          <w:iCs w:val="1"/>
          <w:color w:val="auto"/>
        </w:rPr>
        <w:t>[Insert Number of Restricted Stock Units Granted]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p>
      <w:pPr>
        <w:jc w:val="both"/>
        <w:ind w:left="3240"/>
        <w:spacing w:after="0" w:line="224" w:lineRule="auto"/>
        <w:rPr>
          <w:sz w:val="20"/>
          <w:szCs w:val="20"/>
          <w:color w:val="auto"/>
        </w:rPr>
      </w:pPr>
      <w:r>
        <w:rPr>
          <w:rFonts w:ascii="Arial" w:cs="Arial" w:eastAsia="Arial" w:hAnsi="Arial"/>
          <w:sz w:val="19"/>
          <w:szCs w:val="19"/>
          <w:color w:val="auto"/>
        </w:rPr>
        <w:t>Subject to the Participant’s continued service with the Company and its Subsidiaries on each applicable vesting date, the Restricted Stock Units shall vest as follows: 50% of the Restricted Stock Units shall vest on each of the second and third anniversaries of the Date of Grant.</w:t>
      </w:r>
    </w:p>
    <w:p>
      <w:pPr>
        <w:spacing w:after="0" w:line="182" w:lineRule="exact"/>
        <w:rPr>
          <w:sz w:val="20"/>
          <w:szCs w:val="20"/>
          <w:color w:val="auto"/>
        </w:rPr>
      </w:pPr>
    </w:p>
    <w:p>
      <w:pPr>
        <w:jc w:val="both"/>
        <w:ind w:left="3240"/>
        <w:spacing w:after="0" w:line="210" w:lineRule="auto"/>
        <w:rPr>
          <w:sz w:val="20"/>
          <w:szCs w:val="20"/>
          <w:color w:val="auto"/>
        </w:rPr>
      </w:pPr>
      <w:r>
        <w:rPr>
          <w:rFonts w:ascii="Arial" w:cs="Arial" w:eastAsia="Arial" w:hAnsi="Arial"/>
          <w:sz w:val="20"/>
          <w:szCs w:val="20"/>
          <w:color w:val="auto"/>
        </w:rPr>
        <w:t>Notwithstanding any of the foregoing, upon a Termination at any time by reason of death or Disability, any unvested Restricted Stock Units that would have vested on the vesting date immediately following the date of such Termination, had the Participant remained in service with the Company and its Subsidiaries through such vesting date, shall vest as of the Participant’s Termination.</w:t>
      </w:r>
    </w:p>
    <w:p>
      <w:pPr>
        <w:spacing w:after="0" w:line="182" w:lineRule="exact"/>
        <w:rPr>
          <w:sz w:val="20"/>
          <w:szCs w:val="20"/>
          <w:color w:val="auto"/>
        </w:rPr>
      </w:pPr>
    </w:p>
    <w:p>
      <w:pPr>
        <w:jc w:val="both"/>
        <w:ind w:left="3240"/>
        <w:spacing w:after="0" w:line="212" w:lineRule="auto"/>
        <w:rPr>
          <w:sz w:val="20"/>
          <w:szCs w:val="20"/>
          <w:color w:val="auto"/>
        </w:rPr>
      </w:pPr>
      <w:r>
        <w:rPr>
          <w:rFonts w:ascii="Arial" w:cs="Arial" w:eastAsia="Arial" w:hAnsi="Arial"/>
          <w:sz w:val="19"/>
          <w:szCs w:val="19"/>
          <w:color w:val="auto"/>
        </w:rPr>
        <w:t>If a Change in Control occurs and during the 24 month period following such Change in Control, the Participant’s service is terminated by the Service Recipient without Cause or due to the Participant’s resignation for Good Reason (as defined below), all unvested Restricted Stock Units shall become fully vested upon the date of the Participant’s Termination.</w:t>
      </w:r>
    </w:p>
    <w:p>
      <w:pPr>
        <w:spacing w:after="0" w:line="197" w:lineRule="auto"/>
        <w:rPr>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jc w:val="both"/>
        <w:ind w:left="324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any material breach by the Company or the Service Recipient of this Restricted Stock Unit Agreement or the Participant’s employment agreement with the Service Recipient without the express written consent of the Participant, but only if the Participant notifies the Service Recipient in writing of the breach within 60 days following the occurrence of the breach, the breach remains uncured after the expiration of 30 days from receipt of such notice, and the Participant resigns effective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437245 v2</w:t>
      </w:r>
    </w:p>
    <w:p>
      <w:pPr>
        <w:sectPr>
          <w:pgSz w:w="11900" w:h="16838" w:orient="portrait"/>
          <w:cols w:equalWidth="0" w:num="1">
            <w:col w:w="11240"/>
          </w:cols>
          <w:pgMar w:left="320" w:top="1380"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later than 30 days following the Service Recipient’s failure to cure the breach.</w:t>
      </w:r>
    </w:p>
    <w:p>
      <w:pPr>
        <w:spacing w:after="0" w:line="175" w:lineRule="exact"/>
        <w:rPr>
          <w:sz w:val="20"/>
          <w:szCs w:val="20"/>
          <w:color w:val="auto"/>
        </w:rPr>
      </w:pPr>
    </w:p>
    <w:p>
      <w:pPr>
        <w:jc w:val="both"/>
        <w:ind w:left="2800"/>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as to the Participant, (i) “Cause,” as defined in any employment or consulting agreement between the Participant and the Service Recipient in effect at the time of the Participant’s Termination (except that any provision of such “Cause” definition relating to Participant’s unsatisfactory performance shall not apply for purposes of this Restricted Stock Unit Agreement); or</w:t>
      </w:r>
    </w:p>
    <w:p>
      <w:pPr>
        <w:spacing w:after="0" w:line="3" w:lineRule="exact"/>
        <w:rPr>
          <w:sz w:val="20"/>
          <w:szCs w:val="20"/>
          <w:color w:val="auto"/>
        </w:rPr>
      </w:pPr>
    </w:p>
    <w:p>
      <w:pPr>
        <w:jc w:val="both"/>
        <w:ind w:left="2800" w:firstLine="8"/>
        <w:spacing w:after="0" w:line="222" w:lineRule="auto"/>
        <w:tabs>
          <w:tab w:leader="none" w:pos="30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4840"/>
        <w:spacing w:after="0"/>
        <w:rPr>
          <w:rFonts w:ascii="Arial" w:cs="Arial" w:eastAsia="Arial" w:hAnsi="Arial"/>
          <w:sz w:val="18"/>
          <w:szCs w:val="18"/>
          <w:color w:val="auto"/>
        </w:rPr>
      </w:pPr>
      <w:r>
        <w:rPr>
          <w:rFonts w:ascii="Arial" w:cs="Arial" w:eastAsia="Arial" w:hAnsi="Arial"/>
          <w:sz w:val="20"/>
          <w:szCs w:val="20"/>
          <w:color w:val="auto"/>
        </w:rPr>
        <w:t>*  *  *</w:t>
      </w:r>
    </w:p>
    <w:p>
      <w:pPr>
        <w:sectPr>
          <w:pgSz w:w="11900" w:h="16838" w:orient="portrait"/>
          <w:cols w:equalWidth="0" w:num="1">
            <w:col w:w="10800"/>
          </w:cols>
          <w:pgMar w:left="760" w:top="1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405" w:right="1440" w:bottom="1440" w:gutter="0" w:footer="0" w:header="0"/>
        </w:sectPr>
      </w:pPr>
    </w:p>
    <w:bookmarkStart w:id="55" w:name="page56"/>
    <w:bookmarkEnd w:id="55"/>
    <w:p>
      <w:pPr>
        <w:jc w:val="both"/>
        <w:spacing w:after="0" w:line="214" w:lineRule="auto"/>
        <w:rPr>
          <w:sz w:val="20"/>
          <w:szCs w:val="20"/>
          <w:color w:val="auto"/>
        </w:rPr>
      </w:pPr>
      <w:r>
        <w:rPr>
          <w:rFonts w:ascii="Arial" w:cs="Arial" w:eastAsia="Arial" w:hAnsi="Arial"/>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714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652"/>
        <w:spacing w:after="0" w:line="206" w:lineRule="auto"/>
        <w:tabs>
          <w:tab w:leader="none" w:pos="27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399" w:right="339" w:bottom="1440" w:gutter="0" w:footer="0" w:header="0"/>
        </w:sectPr>
      </w:pPr>
    </w:p>
    <w:bookmarkStart w:id="56" w:name="page57"/>
    <w:bookmarkEnd w:id="56"/>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line="197" w:lineRule="auto"/>
        <w:rPr>
          <w:sz w:val="20"/>
          <w:szCs w:val="20"/>
          <w:color w:val="auto"/>
        </w:rPr>
      </w:pPr>
      <w:r>
        <w:rPr>
          <w:rFonts w:ascii="Arial" w:cs="Arial" w:eastAsia="Arial" w:hAnsi="Arial"/>
          <w:sz w:val="20"/>
          <w:szCs w:val="20"/>
          <w:b w:val="1"/>
          <w:bCs w:val="1"/>
          <w:color w:val="auto"/>
        </w:rPr>
        <w:t>UNDER THE</w:t>
      </w:r>
    </w:p>
    <w:p>
      <w:pPr>
        <w:jc w:val="center"/>
        <w:spacing w:after="0" w:line="197" w:lineRule="auto"/>
        <w:rPr>
          <w:sz w:val="20"/>
          <w:szCs w:val="20"/>
          <w:color w:val="auto"/>
        </w:rPr>
      </w:pPr>
      <w:r>
        <w:rPr>
          <w:rFonts w:ascii="Arial" w:cs="Arial" w:eastAsia="Arial" w:hAnsi="Arial"/>
          <w:sz w:val="20"/>
          <w:szCs w:val="20"/>
          <w:b w:val="1"/>
          <w:bCs w:val="1"/>
          <w:color w:val="auto"/>
        </w:rPr>
        <w:t>ACADEMY SPORTS AND OUTDOORS, INC.</w:t>
      </w:r>
    </w:p>
    <w:p>
      <w:pPr>
        <w:jc w:val="center"/>
        <w:spacing w:after="0"/>
        <w:rPr>
          <w:sz w:val="20"/>
          <w:szCs w:val="20"/>
          <w:color w:val="auto"/>
        </w:rPr>
      </w:pPr>
      <w:r>
        <w:rPr>
          <w:rFonts w:ascii="Arial" w:cs="Arial" w:eastAsia="Arial" w:hAnsi="Arial"/>
          <w:sz w:val="20"/>
          <w:szCs w:val="20"/>
          <w:b w:val="1"/>
          <w:bCs w:val="1"/>
          <w:color w:val="auto"/>
        </w:rPr>
        <w:t>2020 OMNIBUS INCENTIVE PLAN</w:t>
      </w:r>
    </w:p>
    <w:p>
      <w:pPr>
        <w:spacing w:after="0" w:line="159"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Restricted Stock Unit Agreement (this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the Academy Sports and Outdoors, Inc. 2020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Academy Sports and Outdoors,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149" w:lineRule="exact"/>
        <w:rPr>
          <w:sz w:val="20"/>
          <w:szCs w:val="20"/>
          <w:color w:val="auto"/>
        </w:rPr>
      </w:pPr>
    </w:p>
    <w:p>
      <w:pPr>
        <w:jc w:val="both"/>
        <w:ind w:firstLine="1304"/>
        <w:spacing w:after="0" w:line="207" w:lineRule="auto"/>
        <w:tabs>
          <w:tab w:leader="none" w:pos="1521" w:val="left"/>
        </w:tabs>
        <w:numPr>
          <w:ilvl w:val="1"/>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0" w:lineRule="exact"/>
        <w:rPr>
          <w:rFonts w:ascii="Arial" w:cs="Arial" w:eastAsia="Arial" w:hAnsi="Arial"/>
          <w:sz w:val="20"/>
          <w:szCs w:val="20"/>
          <w:color w:val="auto"/>
        </w:rPr>
      </w:pPr>
    </w:p>
    <w:p>
      <w:pPr>
        <w:ind w:left="1500" w:hanging="196"/>
        <w:spacing w:after="0"/>
        <w:tabs>
          <w:tab w:leader="none" w:pos="1500" w:val="left"/>
        </w:tabs>
        <w:numPr>
          <w:ilvl w:val="1"/>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the conditions contained herein and in the Plan, the Restricted Stock Units shall vest as provided in the</w:t>
      </w:r>
    </w:p>
    <w:p>
      <w:pPr>
        <w:spacing w:after="0" w:line="2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Grant Notice.</w:t>
      </w:r>
    </w:p>
    <w:p>
      <w:pPr>
        <w:spacing w:after="0" w:line="153" w:lineRule="exact"/>
        <w:rPr>
          <w:rFonts w:ascii="Arial" w:cs="Arial" w:eastAsia="Arial" w:hAnsi="Arial"/>
          <w:sz w:val="16"/>
          <w:szCs w:val="16"/>
          <w:color w:val="auto"/>
        </w:rPr>
      </w:pPr>
    </w:p>
    <w:p>
      <w:pPr>
        <w:jc w:val="both"/>
        <w:ind w:firstLine="1304"/>
        <w:spacing w:after="0" w:line="224" w:lineRule="auto"/>
        <w:tabs>
          <w:tab w:leader="none" w:pos="1494"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r>
        <w:rPr>
          <w:rFonts w:ascii="Arial" w:cs="Arial" w:eastAsia="Arial" w:hAnsi="Arial"/>
          <w:sz w:val="18"/>
          <w:szCs w:val="18"/>
          <w:color w:val="auto"/>
        </w:rPr>
        <w:t>. Subject to any election by the Committee pursuant to Section 9(d)(ii)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w:t>
      </w:r>
    </w:p>
    <w:p>
      <w:pPr>
        <w:spacing w:after="0" w:line="1" w:lineRule="exact"/>
        <w:rPr>
          <w:rFonts w:ascii="Arial" w:cs="Arial" w:eastAsia="Arial" w:hAnsi="Arial"/>
          <w:sz w:val="18"/>
          <w:szCs w:val="18"/>
          <w:color w:val="auto"/>
        </w:rPr>
      </w:pPr>
    </w:p>
    <w:p>
      <w:pPr>
        <w:jc w:val="both"/>
        <w:ind w:firstLine="8"/>
        <w:spacing w:after="0" w:line="268" w:lineRule="auto"/>
        <w:tabs>
          <w:tab w:leader="none" w:pos="3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28" w:lineRule="exact"/>
        <w:rPr>
          <w:rFonts w:ascii="Arial" w:cs="Arial" w:eastAsia="Arial" w:hAnsi="Arial"/>
          <w:sz w:val="16"/>
          <w:szCs w:val="16"/>
          <w:color w:val="auto"/>
        </w:rPr>
      </w:pPr>
    </w:p>
    <w:p>
      <w:pPr>
        <w:jc w:val="both"/>
        <w:ind w:firstLine="1304"/>
        <w:spacing w:after="0" w:line="238" w:lineRule="auto"/>
        <w:tabs>
          <w:tab w:leader="none" w:pos="1521" w:val="left"/>
        </w:tabs>
        <w:numPr>
          <w:ilvl w:val="1"/>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color w:val="auto"/>
        </w:rPr>
        <w:t>. Except as otherwise provided in the Grant Notice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50" w:lineRule="exact"/>
        <w:rPr>
          <w:rFonts w:ascii="Arial" w:cs="Arial" w:eastAsia="Arial" w:hAnsi="Arial"/>
          <w:sz w:val="18"/>
          <w:szCs w:val="18"/>
          <w:color w:val="auto"/>
        </w:rPr>
      </w:pPr>
    </w:p>
    <w:p>
      <w:pPr>
        <w:jc w:val="both"/>
        <w:ind w:firstLine="1304"/>
        <w:spacing w:after="0" w:line="207" w:lineRule="auto"/>
        <w:tabs>
          <w:tab w:leader="none" w:pos="1534" w:val="left"/>
        </w:tabs>
        <w:numPr>
          <w:ilvl w:val="1"/>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Issuance of Common Stock</w:t>
      </w:r>
      <w:r>
        <w:rPr>
          <w:rFonts w:ascii="Arial" w:cs="Arial" w:eastAsia="Arial" w:hAnsi="Arial"/>
          <w:sz w:val="20"/>
          <w:szCs w:val="20"/>
          <w:color w:val="auto"/>
        </w:rPr>
        <w:t>. The Company shall not be required to record the ownership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437245 v2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68" w:lineRule="exact"/>
        <w:rPr>
          <w:sz w:val="20"/>
          <w:szCs w:val="20"/>
          <w:color w:val="auto"/>
        </w:rPr>
      </w:pPr>
    </w:p>
    <w:p>
      <w:pPr>
        <w:jc w:val="both"/>
        <w:ind w:left="-1120" w:firstLine="1304"/>
        <w:spacing w:after="0" w:line="214" w:lineRule="auto"/>
        <w:tabs>
          <w:tab w:leader="none" w:pos="387"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Whenever the word “Participant” is used in any provision of this Restricted Stock Unit Agreement under</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151" w:lineRule="exact"/>
        <w:rPr>
          <w:rFonts w:ascii="Arial" w:cs="Arial" w:eastAsia="Arial" w:hAnsi="Arial"/>
          <w:sz w:val="20"/>
          <w:szCs w:val="20"/>
          <w:color w:val="auto"/>
        </w:rPr>
      </w:pPr>
    </w:p>
    <w:p>
      <w:pPr>
        <w:jc w:val="both"/>
        <w:ind w:left="-1120" w:firstLine="1304"/>
        <w:spacing w:after="0" w:line="211" w:lineRule="auto"/>
        <w:tabs>
          <w:tab w:leader="none" w:pos="374"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Restricted Stock Units are not transferable by the Participant except to Permitted Transferees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50" w:lineRule="exact"/>
        <w:rPr>
          <w:rFonts w:ascii="Arial" w:cs="Arial" w:eastAsia="Arial" w:hAnsi="Arial"/>
          <w:sz w:val="20"/>
          <w:szCs w:val="20"/>
          <w:color w:val="auto"/>
        </w:rPr>
      </w:pPr>
    </w:p>
    <w:p>
      <w:pPr>
        <w:jc w:val="both"/>
        <w:ind w:left="-1120" w:firstLine="1304"/>
        <w:spacing w:after="0" w:line="211" w:lineRule="auto"/>
        <w:tabs>
          <w:tab w:leader="none" w:pos="374"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Restricted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0" w:lineRule="exact"/>
        <w:rPr>
          <w:rFonts w:ascii="Arial" w:cs="Arial" w:eastAsia="Arial" w:hAnsi="Arial"/>
          <w:sz w:val="20"/>
          <w:szCs w:val="20"/>
          <w:color w:val="auto"/>
        </w:rPr>
      </w:pPr>
    </w:p>
    <w:p>
      <w:pPr>
        <w:jc w:val="both"/>
        <w:ind w:left="-1120" w:firstLine="1304"/>
        <w:spacing w:after="0" w:line="232" w:lineRule="auto"/>
        <w:tabs>
          <w:tab w:leader="none" w:pos="387"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Participant may be required to pay to the Company and the Company shall have the right and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authorized to 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149" w:lineRule="exact"/>
        <w:rPr>
          <w:rFonts w:ascii="Arial" w:cs="Arial" w:eastAsia="Arial" w:hAnsi="Arial"/>
          <w:sz w:val="18"/>
          <w:szCs w:val="18"/>
          <w:color w:val="auto"/>
        </w:rPr>
      </w:pPr>
    </w:p>
    <w:p>
      <w:pPr>
        <w:jc w:val="both"/>
        <w:ind w:left="-1120" w:firstLine="1304"/>
        <w:spacing w:after="0" w:line="227" w:lineRule="auto"/>
        <w:tabs>
          <w:tab w:leader="none" w:pos="473"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Restricted Stock Unit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55" w:lineRule="exact"/>
        <w:rPr>
          <w:rFonts w:ascii="Arial" w:cs="Arial" w:eastAsia="Arial" w:hAnsi="Arial"/>
          <w:sz w:val="18"/>
          <w:szCs w:val="18"/>
          <w:color w:val="auto"/>
        </w:rPr>
      </w:pPr>
    </w:p>
    <w:p>
      <w:pPr>
        <w:ind w:left="-1120" w:firstLine="1304"/>
        <w:spacing w:after="0" w:line="232" w:lineRule="auto"/>
        <w:tabs>
          <w:tab w:leader="none" w:pos="465"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Restricted Stock Unit Agreement does not confer upon the Participant any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as an employee or other service provider to the Company or any of its Subsidiaries.</w:t>
      </w:r>
    </w:p>
    <w:p>
      <w:pPr>
        <w:spacing w:after="0" w:line="149" w:lineRule="exact"/>
        <w:rPr>
          <w:rFonts w:ascii="Arial" w:cs="Arial" w:eastAsia="Arial" w:hAnsi="Arial"/>
          <w:sz w:val="20"/>
          <w:szCs w:val="20"/>
          <w:color w:val="auto"/>
        </w:rPr>
      </w:pPr>
    </w:p>
    <w:p>
      <w:pPr>
        <w:ind w:left="-1120" w:firstLine="1304"/>
        <w:spacing w:after="0" w:line="232" w:lineRule="auto"/>
        <w:tabs>
          <w:tab w:leader="none" w:pos="486"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Restricted Stock Unit Agreement shall be binding upon the heirs, executors, administrators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of the parties hereto.</w:t>
      </w:r>
    </w:p>
    <w:p>
      <w:pPr>
        <w:spacing w:after="0" w:line="149" w:lineRule="exact"/>
        <w:rPr>
          <w:rFonts w:ascii="Arial" w:cs="Arial" w:eastAsia="Arial" w:hAnsi="Arial"/>
          <w:sz w:val="20"/>
          <w:szCs w:val="20"/>
          <w:color w:val="auto"/>
        </w:rPr>
      </w:pPr>
    </w:p>
    <w:p>
      <w:pPr>
        <w:jc w:val="both"/>
        <w:ind w:left="-1120" w:firstLine="1304"/>
        <w:spacing w:after="0" w:line="234" w:lineRule="auto"/>
        <w:tabs>
          <w:tab w:leader="none" w:pos="473"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13 of the Plan, any waiver, alteration,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modification of any of the 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ectPr>
          <w:pgSz w:w="11900" w:h="16838" w:orient="portrait"/>
          <w:cols w:equalWidth="0" w:num="1">
            <w:col w:w="10120"/>
          </w:cols>
          <w:pgMar w:left="1440" w:top="1440" w:right="339" w:bottom="1440" w:gutter="0" w:footer="0" w:header="0"/>
        </w:sectPr>
      </w:pPr>
    </w:p>
    <w:bookmarkStart w:id="58" w:name="page59"/>
    <w:bookmarkEnd w:id="58"/>
    <w:p>
      <w:pPr>
        <w:spacing w:after="0" w:line="68" w:lineRule="exact"/>
        <w:rPr>
          <w:sz w:val="20"/>
          <w:szCs w:val="20"/>
          <w:color w:val="auto"/>
        </w:rPr>
      </w:pPr>
    </w:p>
    <w:p>
      <w:pPr>
        <w:jc w:val="both"/>
        <w:ind w:left="-1120" w:firstLine="1304"/>
        <w:spacing w:after="0" w:line="225" w:lineRule="auto"/>
        <w:tabs>
          <w:tab w:leader="none" w:pos="486"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 Forfeiture</w:t>
      </w:r>
      <w:r>
        <w:rPr>
          <w:rFonts w:ascii="Arial" w:cs="Arial" w:eastAsia="Arial" w:hAnsi="Arial"/>
          <w:sz w:val="18"/>
          <w:szCs w:val="18"/>
          <w:color w:val="auto"/>
        </w:rPr>
        <w:t>. Notwithstanding anything to the contrary contained herein or in the Plan, if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offset of the following: (i) unauthorized disclosure of any confidential or proprietary information of any member of the Company Group; (ii) any activity that would be grounds to terminate the Participant’s employment or service with the Company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150" w:lineRule="exact"/>
        <w:rPr>
          <w:rFonts w:ascii="Arial" w:cs="Arial" w:eastAsia="Arial" w:hAnsi="Arial"/>
          <w:sz w:val="18"/>
          <w:szCs w:val="18"/>
          <w:color w:val="auto"/>
        </w:rPr>
      </w:pPr>
    </w:p>
    <w:p>
      <w:pPr>
        <w:jc w:val="both"/>
        <w:ind w:left="-1120" w:firstLine="1304"/>
        <w:spacing w:after="0" w:line="211" w:lineRule="auto"/>
        <w:tabs>
          <w:tab w:leader="none" w:pos="486"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Venue</w:t>
      </w:r>
      <w:r>
        <w:rPr>
          <w:rFonts w:ascii="Arial" w:cs="Arial" w:eastAsia="Arial" w:hAnsi="Arial"/>
          <w:sz w:val="20"/>
          <w:szCs w:val="20"/>
          <w:color w:val="auto"/>
        </w:rPr>
        <w:t>. This Restricted Stock Unit Agreement shall be construed and interpreted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50" w:lineRule="exact"/>
        <w:rPr>
          <w:rFonts w:ascii="Arial" w:cs="Arial" w:eastAsia="Arial" w:hAnsi="Arial"/>
          <w:sz w:val="20"/>
          <w:szCs w:val="20"/>
          <w:color w:val="auto"/>
        </w:rPr>
      </w:pPr>
    </w:p>
    <w:p>
      <w:pPr>
        <w:jc w:val="both"/>
        <w:ind w:left="-1120" w:firstLine="1304"/>
        <w:spacing w:after="0" w:line="216" w:lineRule="auto"/>
        <w:tabs>
          <w:tab w:leader="none" w:pos="486"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Subject to Plan</w:t>
      </w:r>
      <w:r>
        <w:rPr>
          <w:rFonts w:ascii="Arial" w:cs="Arial" w:eastAsia="Arial" w:hAnsi="Arial"/>
          <w:sz w:val="19"/>
          <w:szCs w:val="19"/>
          <w:color w:val="auto"/>
        </w:rPr>
        <w:t>. The Restricted Stock Units granted hereunder, and the shares of Common Stock issued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154" w:lineRule="exact"/>
        <w:rPr>
          <w:rFonts w:ascii="Arial" w:cs="Arial" w:eastAsia="Arial" w:hAnsi="Arial"/>
          <w:sz w:val="19"/>
          <w:szCs w:val="19"/>
          <w:color w:val="auto"/>
        </w:rPr>
      </w:pPr>
    </w:p>
    <w:p>
      <w:pPr>
        <w:jc w:val="both"/>
        <w:ind w:left="-1120" w:firstLine="1304"/>
        <w:spacing w:after="0" w:line="220" w:lineRule="auto"/>
        <w:tabs>
          <w:tab w:leader="none" w:pos="473"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It is intended that the Restricted Stock Units granted hereunder shall be exempt from Section 409A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pursuant to the “short-term deferral” rule applicable to such section, as set forth in the regulations or other guidance published by the Internal Revenue Service thereunder.</w:t>
      </w:r>
    </w:p>
    <w:p>
      <w:pPr>
        <w:spacing w:after="0" w:line="150" w:lineRule="exact"/>
        <w:rPr>
          <w:rFonts w:ascii="Arial" w:cs="Arial" w:eastAsia="Arial" w:hAnsi="Arial"/>
          <w:sz w:val="20"/>
          <w:szCs w:val="20"/>
          <w:color w:val="auto"/>
        </w:rPr>
      </w:pPr>
    </w:p>
    <w:p>
      <w:pPr>
        <w:jc w:val="both"/>
        <w:ind w:left="-1120" w:firstLine="1304"/>
        <w:spacing w:after="0" w:line="214" w:lineRule="auto"/>
        <w:tabs>
          <w:tab w:leader="none" w:pos="473"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1" w:lineRule="exact"/>
        <w:rPr>
          <w:rFonts w:ascii="Arial" w:cs="Arial" w:eastAsia="Arial" w:hAnsi="Arial"/>
          <w:sz w:val="20"/>
          <w:szCs w:val="20"/>
          <w:color w:val="auto"/>
        </w:rPr>
      </w:pPr>
    </w:p>
    <w:p>
      <w:pPr>
        <w:jc w:val="both"/>
        <w:ind w:left="-1120" w:firstLine="1304"/>
        <w:spacing w:after="0" w:line="226" w:lineRule="auto"/>
        <w:tabs>
          <w:tab w:leader="none" w:pos="513"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Transmission Acknowledgement</w:t>
      </w:r>
      <w:r>
        <w:rPr>
          <w:rFonts w:ascii="Arial" w:cs="Arial" w:eastAsia="Arial" w:hAnsi="Arial"/>
          <w:sz w:val="19"/>
          <w:szCs w:val="19"/>
          <w:color w:val="auto"/>
        </w:rPr>
        <w:t>. To the extent necessary, the Participant authorizes, agrees and unambiguously</w:t>
      </w:r>
      <w:r>
        <w:rPr>
          <w:rFonts w:ascii="Arial" w:cs="Arial" w:eastAsia="Arial" w:hAnsi="Arial"/>
          <w:sz w:val="19"/>
          <w:szCs w:val="19"/>
          <w:b w:val="1"/>
          <w:bCs w:val="1"/>
          <w:color w:val="auto"/>
        </w:rPr>
        <w:t xml:space="preserve"> </w:t>
      </w:r>
      <w:r>
        <w:rPr>
          <w:rFonts w:ascii="Arial" w:cs="Arial" w:eastAsia="Arial" w:hAnsi="Arial"/>
          <w:sz w:val="19"/>
          <w:szCs w:val="19"/>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49" w:lineRule="exact"/>
        <w:rPr>
          <w:rFonts w:ascii="Arial" w:cs="Arial" w:eastAsia="Arial" w:hAnsi="Arial"/>
          <w:sz w:val="19"/>
          <w:szCs w:val="19"/>
          <w:color w:val="auto"/>
        </w:rPr>
      </w:pPr>
    </w:p>
    <w:p>
      <w:pPr>
        <w:jc w:val="both"/>
        <w:ind w:left="-1120" w:firstLine="1304"/>
        <w:spacing w:after="0" w:line="220" w:lineRule="auto"/>
        <w:tabs>
          <w:tab w:leader="none" w:pos="473"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The Participant hereby consents to receive such documents by electronic delivery and agrees to</w:t>
      </w:r>
    </w:p>
    <w:p>
      <w:pPr>
        <w:sectPr>
          <w:pgSz w:w="11900" w:h="16838" w:orient="portrait"/>
          <w:cols w:equalWidth="0" w:num="1">
            <w:col w:w="10120"/>
          </w:cols>
          <w:pgMar w:left="1440" w:top="1440" w:right="339" w:bottom="1440" w:gutter="0" w:footer="0" w:header="0"/>
        </w:sectPr>
      </w:pPr>
    </w:p>
    <w:bookmarkStart w:id="59" w:name="page60"/>
    <w:bookmarkEnd w:id="59"/>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Arial" w:cs="Arial" w:eastAsia="Arial" w:hAnsi="Arial"/>
          <w:sz w:val="18"/>
          <w:szCs w:val="18"/>
          <w:u w:val="single" w:color="auto"/>
          <w:color w:val="auto"/>
        </w:rPr>
        <w:t>Restricted Stock Unit Governing Documents</w:t>
      </w:r>
      <w:r>
        <w:rPr>
          <w:rFonts w:ascii="Arial" w:cs="Arial" w:eastAsia="Arial" w:hAnsi="Arial"/>
          <w:sz w:val="18"/>
          <w:szCs w:val="18"/>
          <w:color w:val="auto"/>
        </w:rPr>
        <w:t>”), the Restricted Stock Unit Governing Documents shall control.</w:t>
      </w:r>
    </w:p>
    <w:p>
      <w:pPr>
        <w:spacing w:after="0" w:line="179" w:lineRule="exact"/>
        <w:rPr>
          <w:sz w:val="20"/>
          <w:szCs w:val="20"/>
          <w:color w:val="auto"/>
        </w:rPr>
      </w:pPr>
    </w:p>
    <w:p>
      <w:pPr>
        <w:jc w:val="both"/>
        <w:ind w:firstLine="1304"/>
        <w:spacing w:after="0" w:line="220" w:lineRule="auto"/>
        <w:tabs>
          <w:tab w:leader="none" w:pos="1593"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Restricted Stock Unit Governing Documents constitute the entire agreement of the parties hereto</w:t>
      </w:r>
      <w:r>
        <w:rPr>
          <w:rFonts w:ascii="Arial" w:cs="Arial" w:eastAsia="Arial" w:hAnsi="Arial"/>
          <w:sz w:val="20"/>
          <w:szCs w:val="20"/>
          <w:b w:val="1"/>
          <w:bCs w:val="1"/>
          <w:color w:val="auto"/>
        </w:rPr>
        <w:t xml:space="preserve"> </w:t>
      </w:r>
      <w:r>
        <w:rPr>
          <w:rFonts w:ascii="Arial" w:cs="Arial" w:eastAsia="Arial" w:hAnsi="Arial"/>
          <w:sz w:val="20"/>
          <w:szCs w:val="20"/>
          <w:color w:val="auto"/>
        </w:rPr>
        <w:t>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October 30,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020" w:type="dxa"/>
            <w:vAlign w:val="bottom"/>
          </w:tcPr>
          <w:p>
            <w:pPr>
              <w:ind w:left="4400"/>
              <w:spacing w:after="0"/>
              <w:rPr>
                <w:sz w:val="20"/>
                <w:szCs w:val="20"/>
                <w:color w:val="auto"/>
              </w:rPr>
            </w:pPr>
            <w:r>
              <w:rPr>
                <w:rFonts w:ascii="Arial" w:cs="Arial" w:eastAsia="Arial" w:hAnsi="Arial"/>
                <w:sz w:val="18"/>
                <w:szCs w:val="18"/>
                <w:color w:val="auto"/>
              </w:rPr>
              <w:t>Date:</w:t>
            </w:r>
          </w:p>
        </w:tc>
        <w:tc>
          <w:tcPr>
            <w:tcW w:w="1640" w:type="dxa"/>
            <w:vAlign w:val="bottom"/>
          </w:tcPr>
          <w:p>
            <w:pPr>
              <w:ind w:left="220"/>
              <w:spacing w:after="0"/>
              <w:rPr>
                <w:sz w:val="20"/>
                <w:szCs w:val="20"/>
                <w:color w:val="auto"/>
              </w:rPr>
            </w:pPr>
            <w:r>
              <w:rPr>
                <w:rFonts w:ascii="Arial" w:cs="Arial" w:eastAsia="Arial" w:hAnsi="Arial"/>
                <w:sz w:val="18"/>
                <w:szCs w:val="18"/>
                <w:color w:val="auto"/>
                <w:w w:val="88"/>
              </w:rPr>
              <w:t>December 10,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October 30,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020" w:type="dxa"/>
            <w:vAlign w:val="bottom"/>
          </w:tcPr>
          <w:p>
            <w:pPr>
              <w:ind w:left="4400"/>
              <w:spacing w:after="0"/>
              <w:rPr>
                <w:sz w:val="20"/>
                <w:szCs w:val="20"/>
                <w:color w:val="auto"/>
              </w:rPr>
            </w:pPr>
            <w:r>
              <w:rPr>
                <w:rFonts w:ascii="Arial" w:cs="Arial" w:eastAsia="Arial" w:hAnsi="Arial"/>
                <w:sz w:val="18"/>
                <w:szCs w:val="18"/>
                <w:color w:val="auto"/>
              </w:rPr>
              <w:t>Date:</w:t>
            </w:r>
          </w:p>
        </w:tc>
        <w:tc>
          <w:tcPr>
            <w:tcW w:w="1640" w:type="dxa"/>
            <w:vAlign w:val="bottom"/>
          </w:tcPr>
          <w:p>
            <w:pPr>
              <w:ind w:left="220"/>
              <w:spacing w:after="0"/>
              <w:rPr>
                <w:sz w:val="20"/>
                <w:szCs w:val="20"/>
                <w:color w:val="auto"/>
              </w:rPr>
            </w:pPr>
            <w:r>
              <w:rPr>
                <w:rFonts w:ascii="Arial" w:cs="Arial" w:eastAsia="Arial" w:hAnsi="Arial"/>
                <w:sz w:val="18"/>
                <w:szCs w:val="18"/>
                <w:color w:val="auto"/>
                <w:w w:val="88"/>
              </w:rPr>
              <w:t>December 10,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Academy Sports and Outdoors, Inc. (the “Company”) for the quarterly period ended October 30, 2021,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  KEN C. HICKS</w:t>
            </w:r>
          </w:p>
        </w:tc>
        <w:tc>
          <w:tcPr>
            <w:tcW w:w="4540" w:type="dxa"/>
            <w:vAlign w:val="bottom"/>
            <w:gridSpan w:val="2"/>
          </w:tcPr>
          <w:p>
            <w:pPr>
              <w:ind w:left="2700"/>
              <w:spacing w:after="0"/>
              <w:rPr>
                <w:sz w:val="20"/>
                <w:szCs w:val="20"/>
                <w:color w:val="auto"/>
              </w:rPr>
            </w:pPr>
            <w:r>
              <w:rPr>
                <w:rFonts w:ascii="Arial" w:cs="Arial" w:eastAsia="Arial" w:hAnsi="Arial"/>
                <w:sz w:val="18"/>
                <w:szCs w:val="18"/>
                <w:color w:val="auto"/>
                <w:w w:val="88"/>
              </w:rPr>
              <w:t>Date: December 10, 2021</w:t>
            </w:r>
          </w:p>
        </w:tc>
      </w:tr>
      <w:tr>
        <w:trPr>
          <w:trHeight w:val="222"/>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Ken C. Hicks</w:t>
            </w:r>
          </w:p>
        </w:tc>
        <w:tc>
          <w:tcPr>
            <w:tcW w:w="310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3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Academy Sports and Outdoors, Inc. (the “Company”) for the quarterly period ended October 30, 2021,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  MICHAEL P. MULLICAN</w:t>
            </w:r>
          </w:p>
        </w:tc>
        <w:tc>
          <w:tcPr>
            <w:tcW w:w="4400" w:type="dxa"/>
            <w:vAlign w:val="bottom"/>
            <w:gridSpan w:val="2"/>
          </w:tcPr>
          <w:p>
            <w:pPr>
              <w:ind w:left="2560"/>
              <w:spacing w:after="0"/>
              <w:rPr>
                <w:sz w:val="20"/>
                <w:szCs w:val="20"/>
                <w:color w:val="auto"/>
              </w:rPr>
            </w:pPr>
            <w:r>
              <w:rPr>
                <w:rFonts w:ascii="Arial" w:cs="Arial" w:eastAsia="Arial" w:hAnsi="Arial"/>
                <w:sz w:val="18"/>
                <w:szCs w:val="18"/>
                <w:color w:val="auto"/>
                <w:w w:val="88"/>
              </w:rPr>
              <w:t>Date: December 10, 2021</w:t>
            </w:r>
          </w:p>
        </w:tc>
      </w:tr>
      <w:tr>
        <w:trPr>
          <w:trHeight w:val="222"/>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Mullican</w:t>
            </w:r>
          </w:p>
        </w:tc>
        <w:tc>
          <w:tcPr>
            <w:tcW w:w="296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9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amp;"/>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7"/>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7"/>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Roman"/>
      <w:start w:val="2"/>
    </w:lvl>
    <w:lvl w:ilvl="1">
      <w:lvlJc w:val="left"/>
      <w:lvlText w:val="*"/>
      <w:numFmt w:val="bullet"/>
      <w:start w:val="1"/>
    </w:lvl>
  </w:abstractNum>
  <w:abstractNum w:abstractNumId="29">
    <w:nsid w:val="419AC241"/>
    <w:multiLevelType w:val="hybridMultilevel"/>
    <w:lvl w:ilvl="0">
      <w:lvlJc w:val="left"/>
      <w:lvlText w:val="1"/>
      <w:numFmt w:val="bullet"/>
      <w:start w:val="1"/>
    </w:lvl>
  </w:abstractNum>
  <w:abstractNum w:abstractNumId="30">
    <w:nsid w:val="5577F8E1"/>
    <w:multiLevelType w:val="hybridMultilevel"/>
    <w:lvl w:ilvl="0">
      <w:lvlJc w:val="left"/>
      <w:lvlText w:val="%1"/>
      <w:numFmt w:val="lowerLetter"/>
      <w:start w:val="1"/>
    </w:lvl>
    <w:lvl w:ilvl="1">
      <w:lvlJc w:val="left"/>
      <w:lvlText w:val="%2."/>
      <w:numFmt w:val="decimal"/>
      <w:start w:val="1"/>
    </w:lvl>
  </w:abstractNum>
  <w:abstractNum w:abstractNumId="31">
    <w:nsid w:val="440BADFC"/>
    <w:multiLevelType w:val="hybridMultilevel"/>
    <w:lvl w:ilvl="0">
      <w:lvlJc w:val="left"/>
      <w:lvlText w:val="(%1)"/>
      <w:numFmt w:val="lowerLetter"/>
      <w:start w:val="2"/>
    </w:lvl>
    <w:lvl w:ilvl="1">
      <w:lvlJc w:val="left"/>
      <w:lvlText w:val="%2."/>
      <w:numFmt w:val="decimal"/>
      <w:start w:val="4"/>
    </w:lvl>
  </w:abstractNum>
  <w:abstractNum w:abstractNumId="32">
    <w:nsid w:val="5072367"/>
    <w:multiLevelType w:val="hybridMultilevel"/>
    <w:lvl w:ilvl="0">
      <w:lvlJc w:val="left"/>
      <w:lvlText w:val="%1."/>
      <w:numFmt w:val="decimal"/>
      <w:start w:val="6"/>
    </w:lvl>
  </w:abstractNum>
  <w:abstractNum w:abstractNumId="33">
    <w:nsid w:val="3804823E"/>
    <w:multiLevelType w:val="hybridMultilevel"/>
    <w:lvl w:ilvl="0">
      <w:lvlJc w:val="left"/>
      <w:lvlText w:val="%1."/>
      <w:numFmt w:val="decimal"/>
      <w:start w:val="14"/>
    </w:lvl>
  </w:abstractNum>
  <w:abstractNum w:abstractNumId="34">
    <w:nsid w:val="77465F01"/>
    <w:multiLevelType w:val="hybridMultilevel"/>
    <w:lvl w:ilvl="0">
      <w:lvlJc w:val="left"/>
      <w:lvlText w:val="%1."/>
      <w:numFmt w:val="decimal"/>
      <w:start w:val="2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1" Type="http://schemas.openxmlformats.org/officeDocument/2006/relationships/hyperlink" Target="http://www.sec.gov/Archives/edgar/data/0001817358/000119312520264744/d910645dex31.htm" TargetMode="External"/><Relationship Id="rId62" Type="http://schemas.openxmlformats.org/officeDocument/2006/relationships/hyperlink" Target="http://www.sec.gov/Archives/edgar/data/0001817358/000119312520264744/d91064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2021-12-10T15:09:13Z</dcterms:created>
  <dcterms:modified xsi:type="dcterms:W3CDTF">2021-12-10T15:09:13Z</dcterms:modified>
</cp:coreProperties>
</file>