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As confidentially submitted with the Securities and Exchange Commission on September 1, 2020</w:t>
      </w:r>
    </w:p>
    <w:p>
      <w:pPr>
        <w:spacing w:after="0" w:line="2" w:lineRule="exact"/>
        <w:rPr>
          <w:sz w:val="24"/>
          <w:szCs w:val="24"/>
          <w:color w:val="auto"/>
        </w:rPr>
      </w:pPr>
    </w:p>
    <w:p>
      <w:pPr>
        <w:ind w:left="962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27940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CONFIDENTIAL DRAFT SUBMISSION NO. 3</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2 TO</w:t>
      </w:r>
    </w:p>
    <w:p>
      <w:pPr>
        <w:jc w:val="center"/>
        <w:ind w:right="-99"/>
        <w:spacing w:after="0" w:line="230" w:lineRule="auto"/>
        <w:rPr>
          <w:sz w:val="20"/>
          <w:szCs w:val="20"/>
          <w:color w:val="auto"/>
        </w:rPr>
      </w:pPr>
      <w:r>
        <w:rPr>
          <w:rFonts w:ascii="Times New Roman" w:cs="Times New Roman" w:eastAsia="Times New Roman" w:hAnsi="Times New Roman"/>
          <w:sz w:val="22"/>
          <w:szCs w:val="22"/>
          <w:b w:val="1"/>
          <w:bCs w:val="1"/>
          <w:color w:val="auto"/>
        </w:rPr>
        <w:t>FORM S-1</w:t>
      </w:r>
    </w:p>
    <w:p>
      <w:pPr>
        <w:jc w:val="center"/>
        <w:ind w:right="-99"/>
        <w:spacing w:after="0" w:line="227"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tbl>
      <w:tblPr>
        <w:tblLayout w:type="fixed"/>
        <w:tblInd w:w="1280" w:type="dxa"/>
        <w:tblCellMar>
          <w:top w:w="0" w:type="dxa"/>
          <w:left w:w="0" w:type="dxa"/>
          <w:bottom w:w="0" w:type="dxa"/>
          <w:right w:w="0" w:type="dxa"/>
        </w:tblCellMar>
      </w:tblPr>
      <w:tr>
        <w:trPr>
          <w:trHeight w:val="149"/>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8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5940</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3"/>
                <w:szCs w:val="13"/>
                <w:b w:val="1"/>
                <w:bCs w:val="1"/>
                <w:color w:val="auto"/>
                <w:w w:val="98"/>
              </w:rPr>
              <w:t>85-1800912</w:t>
            </w:r>
          </w:p>
        </w:tc>
      </w:tr>
      <w:tr>
        <w:trPr>
          <w:trHeight w:val="122"/>
        </w:trPr>
        <w:tc>
          <w:tcPr>
            <w:tcW w:w="2600" w:type="dxa"/>
            <w:vAlign w:val="bottom"/>
          </w:tcPr>
          <w:p>
            <w:pPr>
              <w:jc w:val="center"/>
              <w:ind w:right="11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3800" w:type="dxa"/>
            <w:vAlign w:val="bottom"/>
          </w:tcPr>
          <w:p>
            <w:pPr>
              <w:jc w:val="center"/>
              <w:ind w:right="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(Primary Standard Industrial</w:t>
            </w:r>
          </w:p>
        </w:tc>
        <w:tc>
          <w:tcPr>
            <w:tcW w:w="2120" w:type="dxa"/>
            <w:vAlign w:val="bottom"/>
          </w:tcPr>
          <w:p>
            <w:pPr>
              <w:jc w:val="center"/>
              <w:ind w:left="1203"/>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8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Rene G. Casares, Esq.</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and General Counsel</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tbl>
      <w:tblPr>
        <w:tblLayout w:type="fixed"/>
        <w:tblInd w:w="198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7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tc>
      </w:tr>
      <w:tr>
        <w:trPr>
          <w:trHeight w:val="138"/>
        </w:trPr>
        <w:tc>
          <w:tcPr>
            <w:tcW w:w="2500" w:type="dxa"/>
            <w:vAlign w:val="bottom"/>
          </w:tcPr>
          <w:p>
            <w:pPr>
              <w:jc w:val="center"/>
              <w:ind w:right="637"/>
              <w:spacing w:after="0" w:line="138" w:lineRule="exact"/>
              <w:rPr>
                <w:sz w:val="20"/>
                <w:szCs w:val="20"/>
                <w:color w:val="auto"/>
              </w:rPr>
            </w:pPr>
            <w:r>
              <w:rPr>
                <w:rFonts w:ascii="Times New Roman" w:cs="Times New Roman" w:eastAsia="Times New Roman" w:hAnsi="Times New Roman"/>
                <w:sz w:val="13"/>
                <w:szCs w:val="13"/>
                <w:b w:val="1"/>
                <w:bCs w:val="1"/>
                <w:color w:val="auto"/>
                <w:w w:val="96"/>
              </w:rPr>
              <w:t>Joseph H. Kaufman, Esq.</w:t>
            </w:r>
          </w:p>
        </w:tc>
        <w:tc>
          <w:tcPr>
            <w:tcW w:w="4700" w:type="dxa"/>
            <w:vAlign w:val="bottom"/>
          </w:tcPr>
          <w:p>
            <w:pPr>
              <w:jc w:val="center"/>
              <w:ind w:left="3156"/>
              <w:spacing w:after="0" w:line="138" w:lineRule="exact"/>
              <w:rPr>
                <w:sz w:val="20"/>
                <w:szCs w:val="20"/>
                <w:color w:val="auto"/>
              </w:rPr>
            </w:pPr>
            <w:r>
              <w:rPr>
                <w:rFonts w:ascii="Times New Roman" w:cs="Times New Roman" w:eastAsia="Times New Roman" w:hAnsi="Times New Roman"/>
                <w:sz w:val="13"/>
                <w:szCs w:val="13"/>
                <w:b w:val="1"/>
                <w:bCs w:val="1"/>
                <w:color w:val="auto"/>
                <w:w w:val="96"/>
              </w:rPr>
              <w:t>Marc D. Jaffe,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Sunny Cheong, Esq.</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Ian D. Schuman,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Simpson Thacher &amp; Bartlett LLP</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425 Lexington Avenue</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885 Third Avenue</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10017</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10022</w:t>
            </w:r>
          </w:p>
        </w:tc>
      </w:tr>
      <w:tr>
        <w:trPr>
          <w:trHeight w:val="166"/>
        </w:trPr>
        <w:tc>
          <w:tcPr>
            <w:tcW w:w="2500" w:type="dxa"/>
            <w:vAlign w:val="bottom"/>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8"/>
              </w:rPr>
              <w:t>(212) 455-2000</w:t>
            </w:r>
          </w:p>
        </w:tc>
        <w:tc>
          <w:tcPr>
            <w:tcW w:w="4700" w:type="dxa"/>
            <w:vAlign w:val="bottom"/>
          </w:tcPr>
          <w:p>
            <w:pPr>
              <w:jc w:val="center"/>
              <w:ind w:left="3156"/>
              <w:spacing w:after="0"/>
              <w:rPr>
                <w:sz w:val="20"/>
                <w:szCs w:val="20"/>
                <w:color w:val="auto"/>
              </w:rPr>
            </w:pPr>
            <w:r>
              <w:rPr>
                <w:rFonts w:ascii="Times New Roman" w:cs="Times New Roman" w:eastAsia="Times New Roman" w:hAnsi="Times New Roman"/>
                <w:sz w:val="13"/>
                <w:szCs w:val="13"/>
                <w:b w:val="1"/>
                <w:bCs w:val="1"/>
                <w:color w:val="auto"/>
                <w:w w:val="98"/>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As soon as practicable after this Registration Statement is declared effective.</w:t>
      </w:r>
    </w:p>
    <w:p>
      <w:pPr>
        <w:spacing w:after="0" w:line="21"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20" w:right="6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60"/>
        <w:spacing w:after="0" w:line="15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40"/>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560"/>
        <w:spacing w:after="0" w:line="23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4"/>
        </w:trPr>
        <w:tc>
          <w:tcPr>
            <w:tcW w:w="14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left="120" w:right="100"/>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CALCULATION OF REGISTRATION FEE</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1000" w:type="dxa"/>
            <w:vAlign w:val="bottom"/>
            <w:tcBorders>
              <w:top w:val="single" w:sz="8" w:color="auto"/>
              <w:bottom w:val="single" w:sz="8" w:color="auto"/>
            </w:tcBorders>
          </w:tcPr>
          <w:p>
            <w:pPr>
              <w:spacing w:after="0"/>
              <w:rPr>
                <w:sz w:val="3"/>
                <w:szCs w:val="3"/>
                <w:color w:val="auto"/>
              </w:rPr>
            </w:pPr>
          </w:p>
        </w:tc>
        <w:tc>
          <w:tcPr>
            <w:tcW w:w="6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95"/>
        </w:trPr>
        <w:tc>
          <w:tcPr>
            <w:tcW w:w="1000" w:type="dxa"/>
            <w:vAlign w:val="bottom"/>
          </w:tcPr>
          <w:p>
            <w:pPr>
              <w:spacing w:after="0"/>
              <w:rPr>
                <w:sz w:val="8"/>
                <w:szCs w:val="8"/>
                <w:color w:val="auto"/>
              </w:rPr>
            </w:pPr>
          </w:p>
        </w:tc>
        <w:tc>
          <w:tcPr>
            <w:tcW w:w="630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ind w:left="19"/>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860" w:type="dxa"/>
            <w:vAlign w:val="bottom"/>
          </w:tcPr>
          <w:p>
            <w:pPr>
              <w:spacing w:after="0"/>
              <w:rPr>
                <w:sz w:val="8"/>
                <w:szCs w:val="8"/>
                <w:color w:val="auto"/>
              </w:rPr>
            </w:pPr>
          </w:p>
        </w:tc>
      </w:tr>
      <w:tr>
        <w:trPr>
          <w:trHeight w:val="135"/>
        </w:trPr>
        <w:tc>
          <w:tcPr>
            <w:tcW w:w="1000" w:type="dxa"/>
            <w:vAlign w:val="bottom"/>
          </w:tcPr>
          <w:p>
            <w:pPr>
              <w:spacing w:after="0"/>
              <w:rPr>
                <w:sz w:val="11"/>
                <w:szCs w:val="11"/>
                <w:color w:val="auto"/>
              </w:rPr>
            </w:pPr>
          </w:p>
        </w:tc>
        <w:tc>
          <w:tcPr>
            <w:tcW w:w="63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860" w:type="dxa"/>
            <w:vAlign w:val="bottom"/>
          </w:tcPr>
          <w:p>
            <w:pPr>
              <w:spacing w:after="0"/>
              <w:rPr>
                <w:sz w:val="11"/>
                <w:szCs w:val="11"/>
                <w:color w:val="auto"/>
              </w:rPr>
            </w:pPr>
          </w:p>
        </w:tc>
      </w:tr>
      <w:tr>
        <w:trPr>
          <w:trHeight w:val="142"/>
        </w:trPr>
        <w:tc>
          <w:tcPr>
            <w:tcW w:w="1000" w:type="dxa"/>
            <w:vAlign w:val="bottom"/>
          </w:tcPr>
          <w:p>
            <w:pPr>
              <w:spacing w:after="0"/>
              <w:rPr>
                <w:sz w:val="12"/>
                <w:szCs w:val="12"/>
                <w:color w:val="auto"/>
              </w:rPr>
            </w:pPr>
          </w:p>
        </w:tc>
        <w:tc>
          <w:tcPr>
            <w:tcW w:w="6300" w:type="dxa"/>
            <w:vAlign w:val="bottom"/>
            <w:tcBorders>
              <w:right w:val="single" w:sz="8" w:color="auto"/>
            </w:tcBorders>
          </w:tcPr>
          <w:p>
            <w:pPr>
              <w:jc w:val="center"/>
              <w:ind w:right="977"/>
              <w:spacing w:after="0" w:line="142"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860" w:type="dxa"/>
            <w:vAlign w:val="bottom"/>
            <w:tcBorders>
              <w:right w:val="single" w:sz="8" w:color="auto"/>
            </w:tcBorders>
          </w:tcPr>
          <w:p>
            <w:pPr>
              <w:jc w:val="center"/>
              <w:ind w:left="19"/>
              <w:spacing w:after="0" w:line="142"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860" w:type="dxa"/>
            <w:vAlign w:val="bottom"/>
          </w:tcPr>
          <w:p>
            <w:pPr>
              <w:ind w:left="680"/>
              <w:spacing w:after="0" w:line="142" w:lineRule="exact"/>
              <w:rPr>
                <w:sz w:val="20"/>
                <w:szCs w:val="20"/>
                <w:color w:val="auto"/>
              </w:rPr>
            </w:pPr>
            <w:r>
              <w:rPr>
                <w:rFonts w:ascii="Times New Roman" w:cs="Times New Roman" w:eastAsia="Times New Roman" w:hAnsi="Times New Roman"/>
                <w:sz w:val="13"/>
                <w:szCs w:val="13"/>
                <w:b w:val="1"/>
                <w:bCs w:val="1"/>
                <w:color w:val="auto"/>
              </w:rPr>
              <w:t>Amount of</w:t>
            </w:r>
          </w:p>
        </w:tc>
      </w:tr>
      <w:tr>
        <w:trPr>
          <w:trHeight w:val="162"/>
        </w:trPr>
        <w:tc>
          <w:tcPr>
            <w:tcW w:w="1000" w:type="dxa"/>
            <w:vAlign w:val="bottom"/>
            <w:tcBorders>
              <w:bottom w:val="single" w:sz="8" w:color="auto"/>
            </w:tcBorders>
          </w:tcPr>
          <w:p>
            <w:pPr>
              <w:spacing w:after="0"/>
              <w:rPr>
                <w:sz w:val="14"/>
                <w:szCs w:val="14"/>
                <w:color w:val="auto"/>
              </w:rPr>
            </w:pPr>
          </w:p>
        </w:tc>
        <w:tc>
          <w:tcPr>
            <w:tcW w:w="6300" w:type="dxa"/>
            <w:vAlign w:val="bottom"/>
            <w:tcBorders>
              <w:bottom w:val="single" w:sz="8" w:color="auto"/>
              <w:right w:val="single" w:sz="8" w:color="auto"/>
            </w:tcBorders>
          </w:tcPr>
          <w:p>
            <w:pPr>
              <w:jc w:val="center"/>
              <w:ind w:right="977"/>
              <w:spacing w:after="0"/>
              <w:rPr>
                <w:sz w:val="20"/>
                <w:szCs w:val="20"/>
                <w:color w:val="auto"/>
              </w:rPr>
            </w:pPr>
            <w:r>
              <w:rPr>
                <w:rFonts w:ascii="Times New Roman" w:cs="Times New Roman" w:eastAsia="Times New Roman" w:hAnsi="Times New Roman"/>
                <w:sz w:val="13"/>
                <w:szCs w:val="13"/>
                <w:b w:val="1"/>
                <w:bCs w:val="1"/>
                <w:color w:val="auto"/>
                <w:w w:val="96"/>
              </w:rPr>
              <w:t>Securities to be Registered</w:t>
            </w:r>
          </w:p>
        </w:tc>
        <w:tc>
          <w:tcPr>
            <w:tcW w:w="186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8"/>
              </w:rPr>
              <w:t>Offering Price</w:t>
            </w:r>
            <w:r>
              <w:rPr>
                <w:rFonts w:ascii="Times New Roman" w:cs="Times New Roman" w:eastAsia="Times New Roman" w:hAnsi="Times New Roman"/>
                <w:sz w:val="10"/>
                <w:szCs w:val="10"/>
                <w:b w:val="1"/>
                <w:bCs w:val="1"/>
                <w:color w:val="auto"/>
                <w:w w:val="98"/>
              </w:rPr>
              <w:t>(1)(2)</w:t>
            </w:r>
          </w:p>
        </w:tc>
        <w:tc>
          <w:tcPr>
            <w:tcW w:w="1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Registration Fee</w:t>
            </w:r>
            <w:r>
              <w:rPr>
                <w:rFonts w:ascii="Times New Roman" w:cs="Times New Roman" w:eastAsia="Times New Roman" w:hAnsi="Times New Roman"/>
                <w:sz w:val="10"/>
                <w:szCs w:val="10"/>
                <w:b w:val="1"/>
                <w:bCs w:val="1"/>
                <w:color w:val="auto"/>
              </w:rPr>
              <w:t>(3)</w:t>
            </w:r>
          </w:p>
        </w:tc>
      </w:tr>
      <w:tr>
        <w:trPr>
          <w:trHeight w:val="129"/>
        </w:trPr>
        <w:tc>
          <w:tcPr>
            <w:tcW w:w="7300" w:type="dxa"/>
            <w:vAlign w:val="bottom"/>
            <w:tcBorders>
              <w:bottom w:val="single" w:sz="8" w:color="auto"/>
              <w:right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Common Stock, $0.01 par value per share</w:t>
            </w:r>
          </w:p>
        </w:tc>
        <w:tc>
          <w:tcPr>
            <w:tcW w:w="1860" w:type="dxa"/>
            <w:vAlign w:val="bottom"/>
            <w:tcBorders>
              <w:bottom w:val="single" w:sz="8" w:color="auto"/>
              <w:right w:val="single" w:sz="8" w:color="auto"/>
            </w:tcBorders>
          </w:tcPr>
          <w:p>
            <w:pPr>
              <w:jc w:val="right"/>
              <w:ind w:right="1039"/>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bottom w:val="single" w:sz="8" w:color="auto"/>
            </w:tcBorders>
          </w:tcPr>
          <w:p>
            <w:pPr>
              <w:ind w:left="700"/>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25"/>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(1)   Includes</w:t>
            </w:r>
          </w:p>
        </w:tc>
        <w:tc>
          <w:tcPr>
            <w:tcW w:w="6300" w:type="dxa"/>
            <w:vAlign w:val="bottom"/>
          </w:tcPr>
          <w:p>
            <w:pPr>
              <w:ind w:left="260"/>
              <w:spacing w:after="0" w:line="125" w:lineRule="exact"/>
              <w:rPr>
                <w:sz w:val="20"/>
                <w:szCs w:val="20"/>
                <w:color w:val="auto"/>
              </w:rPr>
            </w:pPr>
            <w:r>
              <w:rPr>
                <w:rFonts w:ascii="Times New Roman" w:cs="Times New Roman" w:eastAsia="Times New Roman" w:hAnsi="Times New Roman"/>
                <w:sz w:val="13"/>
                <w:szCs w:val="13"/>
                <w:color w:val="auto"/>
                <w:w w:val="97"/>
              </w:rPr>
              <w:t>shares of common stock that the underwriters have the option to purchase. See “Underwriting (Conflicts of Interest).”</w:t>
            </w:r>
          </w:p>
        </w:tc>
        <w:tc>
          <w:tcPr>
            <w:tcW w:w="1860" w:type="dxa"/>
            <w:vAlign w:val="bottom"/>
          </w:tcPr>
          <w:p>
            <w:pPr>
              <w:spacing w:after="0"/>
              <w:rPr>
                <w:sz w:val="10"/>
                <w:szCs w:val="10"/>
                <w:color w:val="auto"/>
              </w:rPr>
            </w:pPr>
          </w:p>
        </w:tc>
        <w:tc>
          <w:tcPr>
            <w:tcW w:w="1860" w:type="dxa"/>
            <w:vAlign w:val="bottom"/>
          </w:tcPr>
          <w:p>
            <w:pPr>
              <w:spacing w:after="0"/>
              <w:rPr>
                <w:sz w:val="10"/>
                <w:szCs w:val="10"/>
                <w:color w:val="auto"/>
              </w:rPr>
            </w:pPr>
          </w:p>
        </w:tc>
      </w:tr>
    </w:tbl>
    <w:p>
      <w:pPr>
        <w:ind w:left="440" w:hanging="324"/>
        <w:spacing w:after="0" w:line="216"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in accordance with Rule 457(o) promulgated under the Securities Act of 1933, as amended.</w:t>
      </w:r>
    </w:p>
    <w:p>
      <w:pPr>
        <w:ind w:left="440" w:hanging="324"/>
        <w:spacing w:after="0"/>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ind w:left="120" w:right="180"/>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Registration Statement on Form S-1, or the Registration Statement, is being filed by Academy Sports and Outdoors, Inc., a newly formed Delaware corporation, or the Registrant, in connection with a proposed registered public offering of shares of its common stock. Prior to the consummation of this offering, we intend to undertake a series of reorganization transactions, which we refer to as the Reorganization Transactions, that will result in, among other things, New Academy Holding Company, LLC, the current holding company for the business described in this prospectus that is part of the Registration Statement, being contributed to the Registrant by its unitholders and becoming a wholly owned subsidiary of the Registrant. Following the Reorganization Transactions, the Registrant will be the holding company of the business described in this prospectus.</w:t>
      </w:r>
    </w:p>
    <w:p>
      <w:pPr>
        <w:sectPr>
          <w:pgSz w:w="11900" w:h="16838" w:orient="portrait"/>
          <w:cols w:equalWidth="0" w:num="1">
            <w:col w:w="11060"/>
          </w:cols>
          <w:pgMar w:left="320" w:top="455" w:right="51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107" w:lineRule="exact"/>
        <w:rPr>
          <w:sz w:val="20"/>
          <w:szCs w:val="20"/>
          <w:color w:val="auto"/>
        </w:rPr>
      </w:pPr>
    </w:p>
    <w:tbl>
      <w:tblPr>
        <w:tblLayout w:type="fixed"/>
        <w:tblInd w:w="40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FF4338"/>
              </w:rPr>
              <w:t>Subject to completion,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FF4338"/>
              </w:rPr>
              <w:t>, 2020</w:t>
            </w:r>
          </w:p>
        </w:tc>
      </w:tr>
    </w:tbl>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1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wp:posOffset>
            </wp:positionV>
            <wp:extent cx="148272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Academy Sports and Outdoors, Inc.</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5" w:lineRule="exact"/>
        <w:rPr>
          <w:sz w:val="20"/>
          <w:szCs w:val="20"/>
          <w:color w:val="auto"/>
        </w:rPr>
      </w:pPr>
    </w:p>
    <w:p>
      <w:pPr>
        <w:ind w:left="1100"/>
        <w:spacing w:after="0"/>
        <w:tabs>
          <w:tab w:leader="none" w:pos="9500" w:val="left"/>
        </w:tabs>
        <w:rPr>
          <w:sz w:val="20"/>
          <w:szCs w:val="20"/>
          <w:color w:val="auto"/>
        </w:rPr>
      </w:pPr>
      <w:r>
        <w:rPr>
          <w:rFonts w:ascii="Times New Roman" w:cs="Times New Roman" w:eastAsia="Times New Roman" w:hAnsi="Times New Roman"/>
          <w:sz w:val="18"/>
          <w:szCs w:val="18"/>
          <w:color w:val="auto"/>
        </w:rPr>
        <w:t>This is the initial public offering of common stock of Academy Sports and Outdoors, Inc. We are offering</w:t>
      </w:r>
      <w:r>
        <w:rPr>
          <w:sz w:val="20"/>
          <w:szCs w:val="20"/>
          <w:color w:val="auto"/>
        </w:rPr>
        <w:tab/>
      </w:r>
      <w:r>
        <w:rPr>
          <w:rFonts w:ascii="Times New Roman" w:cs="Times New Roman" w:eastAsia="Times New Roman" w:hAnsi="Times New Roman"/>
          <w:sz w:val="18"/>
          <w:szCs w:val="18"/>
          <w:color w:val="auto"/>
        </w:rPr>
        <w:t>shares of our common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We expect that the initial public offering price of our</w:t>
      </w:r>
    </w:p>
    <w:p>
      <w:pPr>
        <w:spacing w:after="0" w:line="27"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common stock will be between $ and $ per share. We intend to apply to list our common stock on Nasdaq Global Select Market, or Nasdaq, under the symbol “ASO.”</w:t>
      </w:r>
    </w:p>
    <w:p>
      <w:pPr>
        <w:spacing w:after="0" w:line="181" w:lineRule="exact"/>
        <w:rPr>
          <w:sz w:val="20"/>
          <w:szCs w:val="20"/>
          <w:color w:val="auto"/>
        </w:rPr>
      </w:pPr>
    </w:p>
    <w:p>
      <w:pPr>
        <w:jc w:val="both"/>
        <w:ind w:left="120" w:right="360" w:firstLine="991"/>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investment entities owned by investment funds and other entities affiliated with Kohlberg Kravis Roberts &amp; Co. L.P. will beneficially own % of the voting power of our common stock. As a result, we will be a “controlled company” within the meaning of the corporate governance standards of Nasdaq. See “Management—Controlled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7" w:lineRule="exact"/>
        <w:rPr>
          <w:sz w:val="20"/>
          <w:szCs w:val="20"/>
          <w:color w:val="auto"/>
        </w:rPr>
      </w:pPr>
    </w:p>
    <w:p>
      <w:pPr>
        <w:ind w:left="120" w:right="140" w:firstLine="99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common stock involves risks. See “</w:t>
      </w:r>
      <w:hyperlink w:anchor="page33">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22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5"/>
                <w:szCs w:val="15"/>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15"/>
                <w:szCs w:val="15"/>
                <w:color w:val="auto"/>
              </w:rPr>
              <w:t>(1)</w:t>
            </w: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(Conflicts of Interest)” for additional information regarding underwriting compensation.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0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 purchase up to</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 shares of our</w:t>
            </w:r>
          </w:p>
        </w:tc>
      </w:tr>
      <w:tr>
        <w:trPr>
          <w:trHeight w:val="234"/>
        </w:trPr>
        <w:tc>
          <w:tcPr>
            <w:tcW w:w="10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at the initial public offering price, less underwriting discounts and commissions, to cover over-allotments, if any.</w:t>
            </w:r>
          </w:p>
        </w:tc>
      </w:tr>
      <w:tr>
        <w:trPr>
          <w:trHeight w:val="432"/>
        </w:trPr>
        <w:tc>
          <w:tcPr>
            <w:tcW w:w="840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in New York, New York on or about</w:t>
            </w:r>
          </w:p>
        </w:tc>
        <w:tc>
          <w:tcPr>
            <w:tcW w:w="228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 2020.</w:t>
            </w:r>
          </w:p>
        </w:tc>
      </w:tr>
      <w:tr>
        <w:trPr>
          <w:trHeight w:val="230"/>
        </w:trPr>
        <w:tc>
          <w:tcPr>
            <w:tcW w:w="4340" w:type="dxa"/>
            <w:vAlign w:val="bottom"/>
          </w:tcPr>
          <w:p>
            <w:pPr>
              <w:spacing w:after="0"/>
              <w:rPr>
                <w:sz w:val="19"/>
                <w:szCs w:val="19"/>
                <w:color w:val="auto"/>
              </w:rPr>
            </w:pPr>
          </w:p>
        </w:tc>
        <w:tc>
          <w:tcPr>
            <w:tcW w:w="2320" w:type="dxa"/>
            <w:vAlign w:val="bottom"/>
            <w:tcBorders>
              <w:bottom w:val="single" w:sz="8" w:color="auto"/>
            </w:tcBorders>
            <w:gridSpan w:val="2"/>
          </w:tcPr>
          <w:p>
            <w:pPr>
              <w:spacing w:after="0"/>
              <w:rPr>
                <w:sz w:val="19"/>
                <w:szCs w:val="19"/>
                <w:color w:val="auto"/>
              </w:rPr>
            </w:pPr>
          </w:p>
        </w:tc>
        <w:tc>
          <w:tcPr>
            <w:tcW w:w="17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7"/>
        </w:trPr>
        <w:tc>
          <w:tcPr>
            <w:tcW w:w="434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2280" w:type="dxa"/>
            <w:vAlign w:val="bottom"/>
          </w:tcPr>
          <w:p>
            <w:pPr>
              <w:spacing w:after="0"/>
              <w:rPr>
                <w:sz w:val="24"/>
                <w:szCs w:val="24"/>
                <w:color w:val="auto"/>
              </w:rPr>
            </w:pPr>
          </w:p>
        </w:tc>
      </w:tr>
      <w:tr>
        <w:trPr>
          <w:trHeight w:val="588"/>
        </w:trPr>
        <w:tc>
          <w:tcPr>
            <w:tcW w:w="4340" w:type="dxa"/>
            <w:vAlign w:val="bottom"/>
          </w:tcPr>
          <w:p>
            <w:pPr>
              <w:ind w:left="1000"/>
              <w:spacing w:after="0"/>
              <w:rPr>
                <w:sz w:val="20"/>
                <w:szCs w:val="20"/>
                <w:color w:val="auto"/>
              </w:rPr>
            </w:pPr>
            <w:r>
              <w:rPr>
                <w:rFonts w:ascii="Times New Roman" w:cs="Times New Roman" w:eastAsia="Times New Roman" w:hAnsi="Times New Roman"/>
                <w:sz w:val="29"/>
                <w:szCs w:val="29"/>
                <w:b w:val="1"/>
                <w:bCs w:val="1"/>
                <w:color w:val="auto"/>
              </w:rPr>
              <w:t>Credit Suisse</w:t>
            </w:r>
          </w:p>
        </w:tc>
        <w:tc>
          <w:tcPr>
            <w:tcW w:w="4060" w:type="dxa"/>
            <w:vAlign w:val="bottom"/>
            <w:gridSpan w:val="3"/>
          </w:tcPr>
          <w:p>
            <w:pPr>
              <w:ind w:left="480"/>
              <w:spacing w:after="0"/>
              <w:rPr>
                <w:sz w:val="20"/>
                <w:szCs w:val="20"/>
                <w:color w:val="auto"/>
              </w:rPr>
            </w:pPr>
            <w:r>
              <w:rPr>
                <w:rFonts w:ascii="Times New Roman" w:cs="Times New Roman" w:eastAsia="Times New Roman" w:hAnsi="Times New Roman"/>
                <w:sz w:val="29"/>
                <w:szCs w:val="29"/>
                <w:b w:val="1"/>
                <w:bCs w:val="1"/>
                <w:color w:val="auto"/>
              </w:rPr>
              <w:t>J.P. Morgan</w:t>
            </w:r>
          </w:p>
        </w:tc>
        <w:tc>
          <w:tcPr>
            <w:tcW w:w="2280" w:type="dxa"/>
            <w:vAlign w:val="bottom"/>
          </w:tcPr>
          <w:p>
            <w:pPr>
              <w:jc w:val="right"/>
              <w:ind w:right="1272"/>
              <w:spacing w:after="0"/>
              <w:rPr>
                <w:sz w:val="20"/>
                <w:szCs w:val="20"/>
                <w:color w:val="auto"/>
              </w:rPr>
            </w:pPr>
            <w:r>
              <w:rPr>
                <w:rFonts w:ascii="Times New Roman" w:cs="Times New Roman" w:eastAsia="Times New Roman" w:hAnsi="Times New Roman"/>
                <w:sz w:val="29"/>
                <w:szCs w:val="29"/>
                <w:b w:val="1"/>
                <w:bCs w:val="1"/>
                <w:color w:val="auto"/>
              </w:rPr>
              <w:t>KKR</w:t>
            </w:r>
          </w:p>
        </w:tc>
      </w:tr>
      <w:tr>
        <w:trPr>
          <w:trHeight w:val="533"/>
        </w:trPr>
        <w:tc>
          <w:tcPr>
            <w:tcW w:w="4340" w:type="dxa"/>
            <w:vAlign w:val="bottom"/>
          </w:tcPr>
          <w:p>
            <w:pPr>
              <w:spacing w:after="0"/>
              <w:rPr>
                <w:sz w:val="24"/>
                <w:szCs w:val="2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Prospectus dated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2020</w:t>
            </w:r>
          </w:p>
        </w:tc>
        <w:tc>
          <w:tcPr>
            <w:tcW w:w="17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69850</wp:posOffset>
            </wp:positionV>
            <wp:extent cx="6035040" cy="7543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5040" cy="7543800"/>
                    </a:xfrm>
                    <a:prstGeom prst="rect">
                      <a:avLst/>
                    </a:prstGeom>
                    <a:noFill/>
                  </pic:spPr>
                </pic:pic>
              </a:graphicData>
            </a:graphic>
          </wp:anchor>
        </w:drawing>
      </w:r>
    </w:p>
    <w:p>
      <w:pPr>
        <w:sectPr>
          <w:pgSz w:w="11900" w:h="16838" w:orient="portrait"/>
          <w:cols w:equalWidth="0" w:num="1">
            <w:col w:w="10760"/>
          </w:cols>
          <w:pgMar w:left="320" w:top="455" w:right="8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Industry and Market Data</w:t>
              </w:r>
            </w:hyperlink>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Trademarks, Tradenames and Service Marks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Basis of Presentation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Non-GAAP Financial Measures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Letter From Our Chairman, President and Chief Executive Officer</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vi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Selected Historical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5">
              <w:r>
                <w:rPr>
                  <w:rFonts w:ascii="Times New Roman" w:cs="Times New Roman" w:eastAsia="Times New Roman" w:hAnsi="Times New Roman"/>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Material U.S. Federal Income and Estate Tax Consequences to Non-U.S. 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Underwriting (Conflicts of Interest)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9">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the 25th day after the date of this prospectus, all dealers that effect transactions in these shares of our common stock,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17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of our common stock.</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own and license a number of registered and common law trademarks and pending applications for trademark registrations in the United States, primarily through our subsidiaries, including, for example: Academy Sports + Outdoors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Magellan Outdoors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BCG</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O’rageous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Outdoor Gourmet</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Unless otherwise indicated, all trademarks appearing in this prospectus are proprietary to us, our affiliates and/or licensors. This prospectus also contains trademarks, tradenames and service marks of other companies, which are the property of their respective owners. Solely for convenience, the trademarks, tradenames and service marks referred to in this prospectus may appear without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means our senior secured asset-based revolving credit facility, as described under “Description of Certain Indebtedness;”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“Academy Sports + Outdoors,” the “Company,” “we,” “us” and “our” refer to, (1) prior to the consummation of this offering, New Academy Holding Company, LLC, a Delaware limited liability company and the current holding company for our operations, and its consolidated subsidiaries; and (2) following the consummation of this offering, Academy Sports and Outdoors, Inc. and its consolidated subsidiaries;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has the meaning set forth under “Certain Relationships and Related Party Transactions—Monitoring Agreement;”</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Managers” means Allstar Managers, LLC, an entity owned by certain current and former executives and directors of the Company;</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order value” means in-store and e-commerce merchandise sales divided by the number of sales transactions, which indicates the average amount of a sales receipt;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“BOPIS” means our buy-online-pickup-in-store program;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There may be variations in the way in which some of our competitors and other retailers calculate comparable sales. As a result, data in this prospectus regarding our comparable sales may not be comparable to similar data made available by other retailers;</w:t>
      </w:r>
    </w:p>
    <w:p>
      <w:pPr>
        <w:spacing w:after="0" w:line="88"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5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2019 is the second highest;</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“Gochman Investors” means, collectively, certain investors who are family descendants of our founder, Max Gochman;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means, collectively, investment funds and other entities affiliated with Kohlberg Kravis Roberts &amp; Co. L.P.;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means, collectively, investment entities owned by KKR;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stores” means stores that have been in operation for longer than four years;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sales transactions” means total quantity of sales transactions generated, whether in-store or online;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brands” means our private label brands, which include both our own brands, as well as brands we license under exclusive license contracts;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means the series of reorganization transactions that will take place prior to the consummation of this offering and will result in, among other things, New Academy Holding Company, LLC, the current holding company for the business described in this prospectus, being contributed to Academy Sports and Outdoors, Inc. by its unitholders and becoming a wholly owned subsidiary of Academy Sports and Outdoors, Inc.;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Facility” means our senior secured term loan facility, as described under “Description of Certain Indebtedness.”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Financial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New Academy Holding Company, LLC conducts (and after the consummation of this offering, Academy Sports and Outdoors, Inc. will conduct) its operations through its subsidiaries, including its indirect subsidiary, Academy, Ltd., an operating company which is doing business as “Academy Sports + Outdoors.”</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6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and “Adjusted Free Cash Flow.”</w:t>
      </w:r>
    </w:p>
    <w:p>
      <w:pPr>
        <w:spacing w:after="0" w:line="180"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6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also present adjusted comparable sales, which is a non-GAAP measure, in this prospectus. For a discussion of adjusted comparable sales and a reconciliation to comparable sales, see “Management’s Discussion and Analysis of Financial Condition and Results of Operations—Non-GAAP Measures—Adjusted comparable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LETTER FROM OUR CHAIRMAN, PRESIDENT AND CHIEF EXECUTIVE OFFICER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Stakeholders and Future Stakeholders: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 am proud to introduce those of you who are not very familiar with, and further inform those of you who know us, to Academy Sports + Outdoors. I am excited to be part of this company and share all the great things we are accomplishing. Academy began over 80 years ago in San Antonio, Texas focusing on its customers with a powerful assortment and great value. It has evolved into a truly remarkable Sports + Outdoors emporium with the same strong focus on customers, assortment, and value.</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Having known Academy since I was growing up in Houston, I was excited to join its Board of Managers three years ago. During that time, I learned more about Academy’s opportunities. When the opportunity to become CEO was presented two years ago, I enthusiastically took the position for three major reasons:</w:t>
      </w:r>
    </w:p>
    <w:p>
      <w:pPr>
        <w:spacing w:after="0" w:line="8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unparalleled opportunity to grow its existing stores within its current footprint, new markets, and through omnichannel penetration;</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chance to improve its operational efficiencies and effectiveness across all elements of the company with an accomplished, experienced leadership team;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lead a company that has tremendous brand position and customer loyalty with an emphasis on fun, family and community.</w:t>
      </w:r>
    </w:p>
    <w:p>
      <w:pPr>
        <w:spacing w:after="0" w:line="22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Leading Academy is a dream job that allows me to fill my passion for retail and connecting with customers. I have been fortunate to be part of bringing growth and improved performance to retailers in the role of President, CEO, Chairman, or Director. My current role with our strong leadership team creates a significant opportunity to enhance the culture, operations, and customer connections at Academy. We have a deep bench of excellent executives working with me, which has allowed us to achieve improving comparable sales, profitability and cash flow, thus helping to drive significant long-term shareholder value.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I began leading Academy, we have been working on several key initiatives including:</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People</w:t>
      </w:r>
    </w:p>
    <w:p>
      <w:pPr>
        <w:spacing w:after="0" w:line="117"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focused strategy with a clear vision to be the best with a strong positive culture. We have a dedicated staff of over 20,000 team members that are focused on serving our customers and building our company. We have put together an outstanding leadership team from within and outside the company that has transformed the company over the past two years.</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Merchandising</w:t>
      </w:r>
    </w:p>
    <w:p>
      <w:pPr>
        <w:spacing w:after="0" w:line="117"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significant actions to improve our merchandise offering, beginning with strengthening our sports and outdoors assortment quality and selection and exiting or reducing categories that were low profit or did not fit, such as toys, electronics and luggage. We developed and improved our pricing and clearance programs to ensure our value and keep our inventory fresh. In stores, we enhanced our merchandise presentation and signage to make the shopping experience more exciting. We also upgraded our planning and allocation systems to improve our in-stocks and inventory turns and allow us to target markets and stores with the right merchandise.</w:t>
      </w:r>
    </w:p>
    <w:p>
      <w:pPr>
        <w:spacing w:after="0" w:line="2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Omnichannel</w:t>
      </w:r>
    </w:p>
    <w:p>
      <w:pPr>
        <w:spacing w:after="0" w:line="117"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had been underdeveloped in omnichannel capabilities, but we have been making major improvements to our capabilities that have shown substantial progress and effects over the past year. We have made numerous website improvements, including increased speed, simplified checkout, expanded payment options, content and product information, and search capabilities. We have increased the connection between our website and our stores through our marketing, inventory, and BOPIS.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p>
    <w:p>
      <w:pPr>
        <w:spacing w:after="0" w:line="117" w:lineRule="exact"/>
        <w:rPr>
          <w:rFonts w:ascii="Times New Roman" w:cs="Times New Roman" w:eastAsia="Times New Roman" w:hAnsi="Times New Roman"/>
          <w:sz w:val="18"/>
          <w:szCs w:val="18"/>
          <w:color w:val="auto"/>
        </w:rPr>
      </w:pPr>
    </w:p>
    <w:p>
      <w:pPr>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substantial enhancements in our stores, including upgrading our service levels by using new technology to hire better team members, scheduling team members to maximize their service level effectiveness, and training team members to improve selling skills and product knowledge. We have improved our supply chain operations by using a new freight system and improved freight handling processes. We have also developed and implemented a work productivity pay program that allows our distribution team members to earn more as they increase their productivity.</w:t>
      </w:r>
    </w:p>
    <w:p>
      <w:pPr>
        <w:spacing w:after="0" w:line="183"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As you can see, we have been busy working on these and other high-value programs to improve our long-term performance. Beginning last year, we started to see improvements resulting from these initiatives. In addition, the improvements to our omnichannel capabilities have positioned us well to benefit from changing consumer preferences in response to the COVID-19 pandemic and resulted in substantial increases of our e-commerce sales and, in turn, our comparable sales. We have achieved four consecutive quarters with positive comparable sales, which is an improvement over our negative comparable sales for the past three fiscal years. In addition, second quarter of 2020 was our fourth consecutive quarter of profitability growth and our fifth consecutive quarter of cash flow growth. These results have allowed us to make significant progress on our long-term goals. While we still have a great deal of work and opportunity ahead of us, we are committed to work and focus on achieving our long-range vision and objectives.</w:t>
      </w:r>
    </w:p>
    <w:p>
      <w:pPr>
        <w:spacing w:after="0" w:line="18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Through the years, we have concentrated on serving our customers and communities, in both good and bad times. I am proud of how our company has continued this commitment during the COVID-19 crisis, through our stores that remained open after being designated as an essential retailer and through our website and omnichannel capabilities, all proving valuable to our customers. Our 20,000+ team members have been nothing short of inspiring during this challenging time, which shows not only their dedication, but their ability to adapt and succeed in any environment, be it a hurricane, recession, or pandemic. We will continue to serve our customers by offering a broad, differentiated, value assortment with the service they expect from Academy that satisfies them, regardless of the situation.</w:t>
      </w:r>
    </w:p>
    <w:p>
      <w:pPr>
        <w:spacing w:after="0" w:line="187"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Today and going forward, we will maintain focus on our priorities and the execution necessary to achieve excellence. We believe that we have a best-in-class value offering with localized merchandising and marketing, and a new store opening and growth strategy that sets us apart from our competitors. We have proven that we are much more than a sporting goods store, as we are sought out for our extensive assortment and value by our customers, in all seasons and situations. Our customers return to our stores knowing they can count on us, time after time.</w:t>
      </w:r>
    </w:p>
    <w:p>
      <w:pPr>
        <w:spacing w:after="0" w:line="180"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We are at the beginning of an incredible journey and still have much to accomplish. I know that we can and will be the best. I look forward to connecting with you and hope that you will join us as a public stakeholder in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791335" cy="625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913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Ken C. Hicks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253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metropolitan statistical areas, or MSAs.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116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60" w:lineRule="exact"/>
        <w:rPr>
          <w:sz w:val="20"/>
          <w:szCs w:val="20"/>
          <w:color w:val="auto"/>
        </w:rPr>
      </w:pPr>
    </w:p>
    <w:p>
      <w:pPr>
        <w:ind w:left="300" w:right="400"/>
        <w:spacing w:after="0" w:line="266" w:lineRule="auto"/>
        <w:rPr>
          <w:sz w:val="20"/>
          <w:szCs w:val="20"/>
          <w:color w:val="auto"/>
        </w:rPr>
      </w:pPr>
      <w:r>
        <w:rPr>
          <w:rFonts w:ascii="Times New Roman" w:cs="Times New Roman" w:eastAsia="Times New Roman" w:hAnsi="Times New Roman"/>
          <w:sz w:val="18"/>
          <w:szCs w:val="18"/>
          <w:color w:val="auto"/>
        </w:rPr>
        <w:t>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03" w:lineRule="exact"/>
        <w:rPr>
          <w:sz w:val="20"/>
          <w:szCs w:val="20"/>
          <w:color w:val="auto"/>
        </w:rPr>
      </w:pPr>
    </w:p>
    <w:p>
      <w:pPr>
        <w:ind w:left="300" w:right="432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21" w:lineRule="exact"/>
        <w:rPr>
          <w:sz w:val="20"/>
          <w:szCs w:val="20"/>
          <w:color w:val="auto"/>
        </w:rPr>
      </w:pPr>
    </w:p>
    <w:p>
      <w:pPr>
        <w:ind w:left="300" w:right="426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7"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emerging, profitable e-commerce platform that leverages our strong BOPIS and shipping fulfillment capabilities has achieved year-over-year sales growth of 8% and 284% during 2019 and the first half 2020,</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304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60"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respectively. Our e-commerce sales represented 5% and 11% of our merchandise sales in 2019 and the first half 2020, respectively. We are deepening our customer relationships, further integrating our e-commerce platform with our stores and driving operating efficiencies by developing our omnichannel capabilities. Our BOPIS program, launched in 2019, accounted for approximately 24% and 50% of our e-commerce sales during 2019 and the first half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25% of our e-commerce sales during first half 2020 coming from new households.</w:t>
      </w:r>
    </w:p>
    <w:p>
      <w:pPr>
        <w:spacing w:after="0" w:line="18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August 1, 2020 with approximately $5.3 billion in sales, $204 million of net income and $449 million in Adjusted EBITDA. Although comparable sales have been negative for the past three fiscal years, we have seen four consecutive quarters of positive comparable sales as of second quarter 2020. In addition, second quarter 2020 reflected our fourth consecutive quarter of Adjusted EBITDA growth and our fifth consecutive quarter of Adjusted Free Cash Flow growth. We earned net income of $21 million, $120 million and $204 million and Pro Forma Adjusted Net Income of $43 million, $76 million and $178 million in 2018, 2019 and the twelve months ended August 1, 2020, respectively, which included $158 million of net income and $135 million of Pro Forma Adjusted Net Income for first half 2020. See “— 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11" w:lineRule="exact"/>
        <w:rPr>
          <w:sz w:val="20"/>
          <w:szCs w:val="20"/>
          <w:color w:val="auto"/>
        </w:rPr>
      </w:pPr>
    </w:p>
    <w:p>
      <w:pPr>
        <w:ind w:left="1360"/>
        <w:spacing w:after="0"/>
        <w:tabs>
          <w:tab w:leader="none" w:pos="5100" w:val="left"/>
          <w:tab w:leader="none" w:pos="848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four consecutive quarters ended August 1, 2020, and created a foundation for our future growth. These key initiatives include:</w:t>
      </w:r>
    </w:p>
    <w:p>
      <w:pPr>
        <w:spacing w:after="0" w:line="79" w:lineRule="exact"/>
        <w:rPr>
          <w:sz w:val="20"/>
          <w:szCs w:val="20"/>
          <w:color w:val="auto"/>
        </w:rPr>
      </w:pPr>
    </w:p>
    <w:p>
      <w:pPr>
        <w:ind w:left="1240" w:right="200" w:hanging="415"/>
        <w:spacing w:after="0" w:line="25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80" w:right="1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901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58" w:lineRule="exact"/>
        <w:rPr>
          <w:sz w:val="20"/>
          <w:szCs w:val="20"/>
          <w:color w:val="auto"/>
        </w:rPr>
      </w:pPr>
    </w:p>
    <w:p>
      <w:pPr>
        <w:ind w:left="12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240" w:right="420" w:hanging="415"/>
        <w:spacing w:after="0" w:line="28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 resulted in an improved customer shopping experience and increased sales.</w:t>
      </w:r>
    </w:p>
    <w:p>
      <w:pPr>
        <w:spacing w:after="0" w:line="63" w:lineRule="exact"/>
        <w:rPr>
          <w:rFonts w:ascii="Times New Roman" w:cs="Times New Roman" w:eastAsia="Times New Roman" w:hAnsi="Times New Roman"/>
          <w:sz w:val="18"/>
          <w:szCs w:val="18"/>
          <w:color w:val="auto"/>
        </w:rPr>
      </w:pPr>
    </w:p>
    <w:p>
      <w:pPr>
        <w:ind w:left="1240" w:right="18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240" w:right="60" w:hanging="415"/>
        <w:spacing w:after="0" w:line="28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240" w:right="16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jc w:val="both"/>
        <w:ind w:left="1240" w:right="12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half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3.36x in first half 2020.</w:t>
      </w:r>
    </w:p>
    <w:p>
      <w:pPr>
        <w:spacing w:after="0" w:line="85" w:lineRule="exact"/>
        <w:rPr>
          <w:rFonts w:ascii="Times New Roman" w:cs="Times New Roman" w:eastAsia="Times New Roman" w:hAnsi="Times New Roman"/>
          <w:sz w:val="18"/>
          <w:szCs w:val="18"/>
          <w:color w:val="auto"/>
        </w:rPr>
      </w:pPr>
    </w:p>
    <w:p>
      <w:pPr>
        <w:ind w:left="1240" w:right="14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(approximately 40,000 square feet) in Dallas, Texas in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5"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71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&amp; Internet retailers</w:t>
      </w:r>
    </w:p>
    <w:p>
      <w:pPr>
        <w:spacing w:after="0" w:line="225"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with 2019 net sales of $4.8 billion. We believe our stores are well positioned geographically, with a strong and</w:t>
      </w:r>
    </w:p>
    <w:p>
      <w:pPr>
        <w:spacing w:after="0" w:line="200" w:lineRule="exact"/>
        <w:rPr>
          <w:sz w:val="20"/>
          <w:szCs w:val="20"/>
          <w:color w:val="auto"/>
        </w:rPr>
      </w:pPr>
    </w:p>
    <w:p>
      <w:pPr>
        <w:spacing w:after="0" w:line="3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636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60"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Yeti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636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60" w:lineRule="exact"/>
        <w:rPr>
          <w:sz w:val="20"/>
          <w:szCs w:val="20"/>
          <w:color w:val="auto"/>
        </w:rPr>
      </w:pPr>
    </w:p>
    <w:p>
      <w:pPr>
        <w:ind w:left="300" w:right="220" w:firstLine="426"/>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94" w:lineRule="exact"/>
        <w:rPr>
          <w:sz w:val="20"/>
          <w:szCs w:val="20"/>
          <w:color w:val="auto"/>
        </w:rPr>
      </w:pPr>
    </w:p>
    <w:p>
      <w:pPr>
        <w:ind w:left="300" w:firstLine="426"/>
        <w:spacing w:after="0" w:line="269" w:lineRule="auto"/>
        <w:rPr>
          <w:sz w:val="20"/>
          <w:szCs w:val="20"/>
          <w:color w:val="auto"/>
        </w:rPr>
      </w:pPr>
      <w:r>
        <w:rPr>
          <w:rFonts w:ascii="Times New Roman" w:cs="Times New Roman" w:eastAsia="Times New Roman" w:hAnsi="Times New Roman"/>
          <w:sz w:val="17"/>
          <w:szCs w:val="17"/>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–passionate local experts who are specially recruited and trained for category-specific positions.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to share experiences and obtain further advice and assistance.</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910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6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have gained approximately two million new customers this year.</w:t>
      </w:r>
    </w:p>
    <w:p>
      <w:pPr>
        <w:spacing w:after="0" w:line="183"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300" w:right="20" w:firstLine="426"/>
        <w:spacing w:after="0" w:line="273" w:lineRule="auto"/>
        <w:rPr>
          <w:sz w:val="20"/>
          <w:szCs w:val="20"/>
          <w:color w:val="auto"/>
        </w:rPr>
      </w:pPr>
      <w:r>
        <w:rPr>
          <w:rFonts w:ascii="Times New Roman" w:cs="Times New Roman" w:eastAsia="Times New Roman" w:hAnsi="Times New Roman"/>
          <w:sz w:val="17"/>
          <w:szCs w:val="17"/>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four consecutive quarters of positive comparable sales as of second quarter 2020, Adjusted EBITDA growth to $323 million in 2019, or 8%, compared to 2018, and Adjusted Free Cash Flow growth of $99 million in 2018 to $197 million in 2019.</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300" w:right="20"/>
        <w:spacing w:after="0" w:line="260"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184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60"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$197 million in Adjusted Free Cash Flow, while limiting net capital expenditures to $63 million. We have reduced our net leverage ratio to 1.2x as of end of second quarter 2020 compared to 5.2x as of end of both 2017 and 2018 and 4.1x as of end of 2019.</w:t>
      </w:r>
    </w:p>
    <w:p>
      <w:pPr>
        <w:spacing w:after="0" w:line="162"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of our 211 mature stores (stores opened longer than four years) were profitable on a four-wall basis for the twelve months ended August 1, 2020 and our new stores have average payback periods of four to five years.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e-commerce sales represented 5% and 11% of our merchandise sales for 2019 and for the first half 2020, respectively. E-commerce sales increased 406% from the prior quarter in first quarter 2020 and 210% from the prior quarter in second quarter 2020.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87"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In 2019, 12% of our BOPIS customers made incremental in-store purchases when picking up their order, with an average value of 60% of their original order, and BOPIS orders accounted for 50% of all e-commerce sales during first half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88"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5" w:right="6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047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60"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76"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3.36x in first half 2020, and has helped us to identify and exit certain product categories, such as luggage and toys.</w:t>
      </w:r>
    </w:p>
    <w:p>
      <w:pPr>
        <w:spacing w:after="0" w:line="18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44018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4401820"/>
                    </a:xfrm>
                    <a:prstGeom prst="rect">
                      <a:avLst/>
                    </a:prstGeom>
                    <a:noFill/>
                  </pic:spPr>
                </pic:pic>
              </a:graphicData>
            </a:graphic>
          </wp:anchor>
        </w:drawing>
      </w:r>
    </w:p>
    <w:p>
      <w:pPr>
        <w:spacing w:after="0" w:line="260"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the end of first half 2020, we had 211 mature stores, and all were profitable on a four-wall basis for the twelve months ended August 1, 2020. We expect to open eight to 10 new stores per year starting in 2022, which is similar to our growth rates from 2018 to 2019.</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80" w:right="1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9818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981825"/>
                    </a:xfrm>
                    <a:prstGeom prst="rect">
                      <a:avLst/>
                    </a:prstGeom>
                    <a:noFill/>
                  </pic:spPr>
                </pic:pic>
              </a:graphicData>
            </a:graphic>
          </wp:anchor>
        </w:drawing>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this Offering</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5" w:lineRule="exact"/>
        <w:rPr>
          <w:sz w:val="20"/>
          <w:szCs w:val="20"/>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5" w:right="6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4470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4470400"/>
                    </a:xfrm>
                    <a:prstGeom prst="rect">
                      <a:avLst/>
                    </a:prstGeom>
                    <a:noFill/>
                  </pic:spPr>
                </pic:pic>
              </a:graphicData>
            </a:graphic>
          </wp:anchor>
        </w:drawing>
      </w:r>
    </w:p>
    <w:p>
      <w:pPr>
        <w:spacing w:after="0" w:line="260" w:lineRule="exact"/>
        <w:rPr>
          <w:sz w:val="20"/>
          <w:szCs w:val="20"/>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30" w:lineRule="exact"/>
        <w:rPr>
          <w:rFonts w:ascii="Times New Roman" w:cs="Times New Roman" w:eastAsia="Times New Roman" w:hAnsi="Times New Roman"/>
          <w:sz w:val="18"/>
          <w:szCs w:val="18"/>
          <w:color w:val="auto"/>
        </w:rPr>
      </w:pPr>
    </w:p>
    <w:p>
      <w:pPr>
        <w:ind w:left="1240" w:right="62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“controlled company” within the meaning of Nasdaq rules and, as a result, qualifying for exemptions from certain corporate governance requirements;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controlling us and their interests conflicting with ours or yours in the future.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KKR</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5" w:right="6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927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1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w:t>
            </w: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w:t>
            </w:r>
          </w:p>
        </w:tc>
      </w:tr>
      <w:tr>
        <w:trPr>
          <w:trHeight w:val="22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up to</w:t>
            </w:r>
          </w:p>
        </w:tc>
        <w:tc>
          <w:tcPr>
            <w:tcW w:w="5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additional shares of our common stock at the initial public offering</w:t>
            </w:r>
          </w:p>
        </w:tc>
      </w:tr>
      <w:tr>
        <w:trPr>
          <w:trHeight w:val="234"/>
        </w:trPr>
        <w:tc>
          <w:tcPr>
            <w:tcW w:w="3980" w:type="dxa"/>
            <w:vAlign w:val="bottom"/>
          </w:tcPr>
          <w:p>
            <w:pPr>
              <w:spacing w:after="0"/>
              <w:rPr>
                <w:sz w:val="20"/>
                <w:szCs w:val="20"/>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price, less underwriting discounts and commissions, to cover over-allotments, if any.</w:t>
            </w:r>
          </w:p>
        </w:tc>
      </w:tr>
      <w:tr>
        <w:trPr>
          <w:trHeight w:val="43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 after</w:t>
            </w:r>
          </w:p>
        </w:tc>
        <w:tc>
          <w:tcPr>
            <w:tcW w:w="1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shares (or</w:t>
            </w:r>
          </w:p>
        </w:tc>
        <w:tc>
          <w:tcPr>
            <w:tcW w:w="5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shares if the underwriters exercise in full their over-allotment</w:t>
            </w:r>
          </w:p>
        </w:tc>
      </w:tr>
      <w:tr>
        <w:trPr>
          <w:trHeight w:val="238"/>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1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w:t>
            </w:r>
          </w:p>
        </w:tc>
        <w:tc>
          <w:tcPr>
            <w:tcW w:w="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w:t>
            </w:r>
          </w:p>
        </w:tc>
      </w:tr>
      <w:tr>
        <w:trPr>
          <w:trHeight w:val="216"/>
        </w:trPr>
        <w:tc>
          <w:tcPr>
            <w:tcW w:w="398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million, if the underwriters exercise in full their over-</w:t>
            </w:r>
          </w:p>
        </w:tc>
      </w:tr>
      <w:tr>
        <w:trPr>
          <w:trHeight w:val="216"/>
        </w:trPr>
        <w:tc>
          <w:tcPr>
            <w:tcW w:w="3980" w:type="dxa"/>
            <w:vAlign w:val="bottom"/>
          </w:tcPr>
          <w:p>
            <w:pPr>
              <w:spacing w:after="0"/>
              <w:rPr>
                <w:sz w:val="18"/>
                <w:szCs w:val="18"/>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allotment option), assuming an initial public offering price of $</w:t>
            </w:r>
          </w:p>
        </w:tc>
        <w:tc>
          <w:tcPr>
            <w:tcW w:w="1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 share, which is the</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after deducting the underwriting discounts and commissions and estimated offering</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expenses payable by us. For a sensitivity analysis as to the offering price and other</w:t>
            </w:r>
          </w:p>
        </w:tc>
      </w:tr>
      <w:tr>
        <w:trPr>
          <w:trHeight w:val="234"/>
        </w:trPr>
        <w:tc>
          <w:tcPr>
            <w:tcW w:w="3980" w:type="dxa"/>
            <w:vAlign w:val="bottom"/>
          </w:tcPr>
          <w:p>
            <w:pPr>
              <w:spacing w:after="0"/>
              <w:rPr>
                <w:sz w:val="20"/>
                <w:szCs w:val="20"/>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information, see “Use of Proceeds.”</w:t>
            </w:r>
          </w:p>
        </w:tc>
        <w:tc>
          <w:tcPr>
            <w:tcW w:w="1840" w:type="dxa"/>
            <w:vAlign w:val="bottom"/>
          </w:tcPr>
          <w:p>
            <w:pPr>
              <w:spacing w:after="0"/>
              <w:rPr>
                <w:sz w:val="20"/>
                <w:szCs w:val="20"/>
                <w:color w:val="auto"/>
              </w:rPr>
            </w:pPr>
          </w:p>
        </w:tc>
      </w:tr>
      <w:tr>
        <w:trPr>
          <w:trHeight w:val="441"/>
        </w:trPr>
        <w:tc>
          <w:tcPr>
            <w:tcW w:w="3980" w:type="dxa"/>
            <w:vAlign w:val="bottom"/>
          </w:tcPr>
          <w:p>
            <w:pPr>
              <w:spacing w:after="0"/>
              <w:rPr>
                <w:sz w:val="24"/>
                <w:szCs w:val="24"/>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w:t>
            </w:r>
          </w:p>
        </w:tc>
      </w:tr>
      <w:tr>
        <w:trPr>
          <w:trHeight w:val="234"/>
        </w:trPr>
        <w:tc>
          <w:tcPr>
            <w:tcW w:w="3980" w:type="dxa"/>
            <w:vAlign w:val="bottom"/>
          </w:tcPr>
          <w:p>
            <w:pPr>
              <w:spacing w:after="0"/>
              <w:rPr>
                <w:sz w:val="20"/>
                <w:szCs w:val="20"/>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repayment of certain indebtedness, as will be determined prior to this offering.</w:t>
            </w:r>
          </w:p>
        </w:tc>
      </w:tr>
      <w:tr>
        <w:trPr>
          <w:trHeight w:val="441"/>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Affiliates of KKR beneficially own in excess of 10% of our issued and outstanding</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common stock. Because KKR Capital Markets LLC, an affiliate of KKR, is an underwriter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this offering and its affiliates own in excess of 10% of our issued and outstanding</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common stock, KKR Capital Markets LLC is deemed to have a ‘‘conflict of interest’’</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Rule 5121, or Rule 5121, of the Financial Industry Regulatory Authority, Inc., or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FINRA. Accordingly, this offering is being made in compliance with the requirements of</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Rule 5121. Pursuant to that rule, the appointment of a ‘‘qualified independent underwriter’’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is not required in connection with this offering as the member primarily responsible for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managing the public offering does not have a conflict of interest, is not an affiliate of any</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member that has a conflict of interest and meets the requirements of paragraph (f)(12)(E)</w:t>
            </w:r>
          </w:p>
        </w:tc>
      </w:tr>
      <w:tr>
        <w:trPr>
          <w:trHeight w:val="234"/>
        </w:trPr>
        <w:tc>
          <w:tcPr>
            <w:tcW w:w="3980" w:type="dxa"/>
            <w:vAlign w:val="bottom"/>
          </w:tcPr>
          <w:p>
            <w:pPr>
              <w:spacing w:after="0"/>
              <w:rPr>
                <w:sz w:val="20"/>
                <w:szCs w:val="20"/>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of Rule 5121. See ‘‘Underwriting (Conflicts of Interest).”</w:t>
            </w:r>
          </w:p>
        </w:tc>
        <w:tc>
          <w:tcPr>
            <w:tcW w:w="1840" w:type="dxa"/>
            <w:vAlign w:val="bottom"/>
          </w:tcPr>
          <w:p>
            <w:pPr>
              <w:spacing w:after="0"/>
              <w:rPr>
                <w:sz w:val="20"/>
                <w:szCs w:val="20"/>
                <w:color w:val="auto"/>
              </w:rPr>
            </w:pP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After the completion of this offering, KKR Stockholders will collectively beneficially own</w:t>
            </w:r>
          </w:p>
        </w:tc>
      </w:tr>
    </w:tbl>
    <w:p>
      <w:pPr>
        <w:ind w:left="4340" w:right="240" w:firstLine="355"/>
        <w:spacing w:after="0" w:line="290" w:lineRule="auto"/>
        <w:tabs>
          <w:tab w:leader="none" w:pos="48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voting power of our common stock. We currently intend to avail ourselves of the controlled company exemption under the corporate governance standards of Nasdaq.</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 policy</w:t>
            </w: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We have no current plans to pay dividends on our common stock. Any decision to declare</w:t>
            </w:r>
          </w:p>
        </w:tc>
      </w:tr>
      <w:tr>
        <w:trPr>
          <w:trHeight w:val="234"/>
        </w:trPr>
        <w:tc>
          <w:tcPr>
            <w:tcW w:w="2800" w:type="dxa"/>
            <w:vAlign w:val="bottom"/>
          </w:tcPr>
          <w:p>
            <w:pPr>
              <w:spacing w:after="0"/>
              <w:rPr>
                <w:sz w:val="20"/>
                <w:szCs w:val="20"/>
                <w:color w:val="auto"/>
              </w:rPr>
            </w:pP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and pay dividends in the future will be made</w:t>
            </w:r>
          </w:p>
        </w:tc>
      </w:tr>
      <w:tr>
        <w:trPr>
          <w:trHeight w:val="240"/>
        </w:trPr>
        <w:tc>
          <w:tcPr>
            <w:tcW w:w="280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spacing w:after="0"/>
              <w:rPr>
                <w:sz w:val="20"/>
                <w:szCs w:val="20"/>
                <w:color w:val="auto"/>
              </w:rPr>
            </w:pPr>
          </w:p>
        </w:tc>
      </w:tr>
      <w:tr>
        <w:trPr>
          <w:trHeight w:val="604"/>
        </w:trPr>
        <w:tc>
          <w:tcPr>
            <w:tcW w:w="2800" w:type="dxa"/>
            <w:vAlign w:val="bottom"/>
          </w:tcPr>
          <w:p>
            <w:pPr>
              <w:spacing w:after="0"/>
              <w:rPr>
                <w:sz w:val="24"/>
                <w:szCs w:val="24"/>
                <w:color w:val="auto"/>
              </w:rPr>
            </w:pPr>
          </w:p>
        </w:tc>
        <w:tc>
          <w:tcPr>
            <w:tcW w:w="822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700" w:right="1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344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344795"/>
                    </a:xfrm>
                    <a:prstGeom prst="rect">
                      <a:avLst/>
                    </a:prstGeom>
                    <a:noFill/>
                  </pic:spPr>
                </pic:pic>
              </a:graphicData>
            </a:graphic>
          </wp:anchor>
        </w:drawing>
      </w:r>
    </w:p>
    <w:p>
      <w:pPr>
        <w:spacing w:after="0" w:line="260" w:lineRule="exact"/>
        <w:rPr>
          <w:sz w:val="20"/>
          <w:szCs w:val="20"/>
          <w:color w:val="auto"/>
        </w:rPr>
      </w:pPr>
    </w:p>
    <w:p>
      <w:pPr>
        <w:ind w:left="4340" w:right="40"/>
        <w:spacing w:after="0" w:line="258" w:lineRule="auto"/>
        <w:rPr>
          <w:sz w:val="20"/>
          <w:szCs w:val="20"/>
          <w:color w:val="auto"/>
        </w:rPr>
      </w:pPr>
      <w:r>
        <w:rPr>
          <w:rFonts w:ascii="Times New Roman" w:cs="Times New Roman" w:eastAsia="Times New Roman" w:hAnsi="Times New Roman"/>
          <w:sz w:val="18"/>
          <w:szCs w:val="18"/>
          <w:color w:val="auto"/>
        </w:rPr>
        <w:t>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ectPr>
          <w:pgSz w:w="11900" w:h="16838" w:orient="portrait"/>
          <w:cols w:equalWidth="0" w:num="1">
            <w:col w:w="10900"/>
          </w:cols>
          <w:pgMar w:left="320" w:top="455" w:right="679" w:bottom="1440" w:gutter="0" w:footer="0" w:header="0"/>
        </w:sect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Investing in shares of our common stock involves a high degree of risk. See “Risk Factors” for a discussion of factors you should carefully consider before investing in shares of our common stock.</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For a discussion of certain U.S. federal income and estate tax consequences that may be relevant to non-U.S. stockholders, see “Material U.S. Federal Income and Estate Tax Consequences to Non-U.S. Holders.”</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“ASO.”</w:t>
      </w:r>
    </w:p>
    <w:p>
      <w:pPr>
        <w:spacing w:after="0" w:line="207"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this prospectus reflects and assumes:</w:t>
      </w:r>
    </w:p>
    <w:p>
      <w:pPr>
        <w:spacing w:after="0" w:line="131" w:lineRule="exact"/>
        <w:rPr>
          <w:sz w:val="20"/>
          <w:szCs w:val="20"/>
          <w:color w:val="auto"/>
        </w:rPr>
      </w:pPr>
    </w:p>
    <w:p>
      <w:pPr>
        <w:ind w:left="1240" w:hanging="52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price of $ per share of common stock, which is the midpoint of the estimated price range set forth on the cover page of this prospectus; and</w:t>
      </w:r>
    </w:p>
    <w:p>
      <w:pPr>
        <w:spacing w:after="0" w:line="67" w:lineRule="exact"/>
        <w:rPr>
          <w:rFonts w:ascii="Times New Roman" w:cs="Times New Roman" w:eastAsia="Times New Roman" w:hAnsi="Times New Roman"/>
          <w:sz w:val="18"/>
          <w:szCs w:val="18"/>
          <w:color w:val="auto"/>
        </w:rPr>
      </w:pPr>
    </w:p>
    <w:p>
      <w:pPr>
        <w:ind w:left="1240" w:right="340" w:hanging="523"/>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immediately prior to the consummation of this offering.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excludes:</w:t>
      </w:r>
    </w:p>
    <w:p>
      <w:pPr>
        <w:spacing w:after="0" w:line="131" w:lineRule="exact"/>
        <w:rPr>
          <w:sz w:val="20"/>
          <w:szCs w:val="20"/>
          <w:color w:val="auto"/>
        </w:rPr>
      </w:pPr>
    </w:p>
    <w:p>
      <w:pPr>
        <w:jc w:val="both"/>
        <w:ind w:left="1240" w:right="280" w:hanging="523"/>
        <w:spacing w:after="0" w:line="266" w:lineRule="auto"/>
        <w:tabs>
          <w:tab w:leader="none" w:pos="18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exercise and/or vesting of existing equity awards under the New Academy Holding Company, LLC 2011 Unit Incentive Plan, or the 2011 Equity Plan. See “Executive Compensation—Equity Compensation Plans— 2011 Equity Plan;”</w:t>
      </w:r>
    </w:p>
    <w:p>
      <w:pPr>
        <w:spacing w:after="0" w:line="81" w:lineRule="exact"/>
        <w:rPr>
          <w:rFonts w:ascii="Times New Roman" w:cs="Times New Roman" w:eastAsia="Times New Roman" w:hAnsi="Times New Roman"/>
          <w:sz w:val="18"/>
          <w:szCs w:val="18"/>
          <w:color w:val="auto"/>
        </w:rPr>
      </w:pPr>
    </w:p>
    <w:p>
      <w:pPr>
        <w:ind w:left="1240" w:right="20" w:hanging="523"/>
        <w:spacing w:after="0" w:line="266" w:lineRule="auto"/>
        <w:tabs>
          <w:tab w:leader="none" w:pos="18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new 2020 Omnibus Incentive Plan, or the 2020 Equity Plan, which we intend to adopt in connection with this offering. See “Executive Compensation—Equity Compensation Plans—2020 Equity Plan;” and</w:t>
      </w:r>
    </w:p>
    <w:p>
      <w:pPr>
        <w:spacing w:after="0" w:line="81" w:lineRule="exact"/>
        <w:rPr>
          <w:rFonts w:ascii="Times New Roman" w:cs="Times New Roman" w:eastAsia="Times New Roman" w:hAnsi="Times New Roman"/>
          <w:sz w:val="18"/>
          <w:szCs w:val="18"/>
          <w:color w:val="auto"/>
        </w:rPr>
      </w:pPr>
    </w:p>
    <w:p>
      <w:pPr>
        <w:ind w:left="1240" w:right="60" w:hanging="523"/>
        <w:spacing w:after="0" w:line="266" w:lineRule="auto"/>
        <w:tabs>
          <w:tab w:leader="none" w:pos="18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new 2020 Employee Stock Purchase Plan, or the ESPP, which we intend to adopt in connection with this offering.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5" w:right="67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4872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Set forth below is the summary historical consolidated financial and other data for New Academy Holding Company, LLC and its subsidiaries. The summary historical financial data for 2019, 2018 and 2017 has been derived from our audited consolidated financial statements included elsewhere in this prospectus. The summary historical financial data as of August 1, 2020 and for the twenty-six weeks ended August 1, 2020 and August 3,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83"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The summary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Period length</w:t>
            </w: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4,829,897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4,783,893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4,835,582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2,742,721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3,398,743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3,415,941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3,436,618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1,948,275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1,616,002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1,431,154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1,367,952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1,398,964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1,251,733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1,239,002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1,241,643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614,172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r>
              <w:rPr>
                <w:rFonts w:ascii="Times New Roman" w:cs="Times New Roman" w:eastAsia="Times New Roman" w:hAnsi="Times New Roman"/>
                <w:sz w:val="15"/>
                <w:szCs w:val="15"/>
                <w:color w:val="auto"/>
              </w:rPr>
              <w:t>(2)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656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2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store data)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4,816,582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deferred loan costs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1,431,050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1,149,096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103,961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(66,783)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(99,027)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(115,901)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(123,192)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(95,795)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107,905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sales increase (decrease)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square feet at end of period (in millions)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(4)</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Financial Data (unaudited):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(5)</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300,259</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315,420</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156,837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Adjusted Net Income</w:t>
            </w:r>
            <w:r>
              <w:rPr>
                <w:rFonts w:ascii="Times New Roman" w:cs="Times New Roman" w:eastAsia="Times New Roman" w:hAnsi="Times New Roman"/>
                <w:sz w:val="15"/>
                <w:szCs w:val="15"/>
                <w:color w:val="auto"/>
              </w:rPr>
              <w:t>(5)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75,927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15"/>
                <w:szCs w:val="15"/>
                <w:color w:val="auto"/>
              </w:rPr>
              <w:t>(5)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99,454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(32,546)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759,771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hanging="422"/>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720" w:right="40" w:hanging="422"/>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half 2020 and in 2019 and 2017, we repurchased principal on our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 million and recognized a related net gain of $6.3 million.</w:t>
      </w:r>
    </w:p>
    <w:p>
      <w:pPr>
        <w:spacing w:after="0" w:line="9"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Times New Roman" w:cs="Times New Roman" w:eastAsia="Times New Roman" w:hAnsi="Times New Roman"/>
          <w:sz w:val="18"/>
          <w:szCs w:val="18"/>
          <w:color w:val="auto"/>
        </w:rPr>
      </w:pPr>
    </w:p>
    <w:p>
      <w:pPr>
        <w:ind w:left="720" w:right="520" w:hanging="422"/>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720" w:right="540" w:hanging="422"/>
        <w:spacing w:after="0" w:line="273"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700" w:right="1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055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60"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80" w:lineRule="exact"/>
        <w:rPr>
          <w:sz w:val="20"/>
          <w:szCs w:val="20"/>
          <w:color w:val="auto"/>
        </w:rPr>
      </w:pPr>
    </w:p>
    <w:p>
      <w:pPr>
        <w:ind w:left="720"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82" w:lineRule="exact"/>
        <w:rPr>
          <w:sz w:val="20"/>
          <w:szCs w:val="20"/>
          <w:color w:val="auto"/>
        </w:rPr>
      </w:pPr>
    </w:p>
    <w:p>
      <w:pPr>
        <w:ind w:left="720"/>
        <w:spacing w:after="0" w:line="252"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89"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240" w:right="16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320" w:top="455" w:right="7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700" w:right="1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2661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2661285"/>
                    </a:xfrm>
                    <a:prstGeom prst="rect">
                      <a:avLst/>
                    </a:prstGeom>
                    <a:noFill/>
                  </pic:spPr>
                </pic:pic>
              </a:graphicData>
            </a:graphic>
          </wp:anchor>
        </w:drawing>
      </w:r>
    </w:p>
    <w:p>
      <w:pPr>
        <w:spacing w:after="0" w:line="260" w:lineRule="exact"/>
        <w:rPr>
          <w:sz w:val="20"/>
          <w:szCs w:val="20"/>
          <w:color w:val="auto"/>
        </w:rPr>
      </w:pPr>
    </w:p>
    <w:p>
      <w:pPr>
        <w:ind w:left="1240" w:right="520" w:hanging="523"/>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240" w:hanging="523"/>
        <w:spacing w:after="0" w:line="31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240" w:right="140" w:hanging="523"/>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81" w:lineRule="exact"/>
        <w:rPr>
          <w:rFonts w:ascii="Times New Roman" w:cs="Times New Roman" w:eastAsia="Times New Roman" w:hAnsi="Times New Roman"/>
          <w:sz w:val="18"/>
          <w:szCs w:val="18"/>
          <w:color w:val="auto"/>
        </w:rPr>
      </w:pPr>
    </w:p>
    <w:p>
      <w:pPr>
        <w:ind w:left="1240" w:right="580" w:hanging="523"/>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54" w:lineRule="exact"/>
        <w:rPr>
          <w:sz w:val="20"/>
          <w:szCs w:val="20"/>
          <w:color w:val="auto"/>
        </w:rPr>
      </w:pPr>
    </w:p>
    <w:p>
      <w:pPr>
        <w:ind w:left="720" w:right="22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320" w:top="455" w:right="7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6992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60"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8"/>
            <w:vMerge w:val="continue"/>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$ 120,043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58,501</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48,088</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117,254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133,281</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54,151</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60" w:type="dxa"/>
            <w:vAlign w:val="bottom"/>
            <w:gridSpan w:val="7"/>
          </w:tcPr>
          <w:p>
            <w:pPr>
              <w:jc w:val="right"/>
              <w:ind w:right="31"/>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(7,831)</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17,632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Inventory write-down adjustments associated with strategic merchandising</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initiative (f)</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360" w:type="dxa"/>
            <w:vAlign w:val="bottom"/>
            <w:gridSpan w:val="2"/>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(7,745)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$ 322,814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300,259</w:t>
            </w:r>
          </w:p>
        </w:tc>
        <w:tc>
          <w:tcPr>
            <w:tcW w:w="2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$ 315,420</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8"/>
            <w:vMerge w:val="restart"/>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5"/>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84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3"/>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$ 120,043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58,501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10,263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00" w:type="dxa"/>
            <w:vAlign w:val="bottom"/>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(42,265)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(7,831)</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$ 101,469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57,774</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74,472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179,106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$ 43,800</w:t>
            </w:r>
          </w:p>
        </w:tc>
        <w:tc>
          <w:tcPr>
            <w:tcW w:w="0" w:type="dxa"/>
            <w:vAlign w:val="bottom"/>
          </w:tcPr>
          <w:p>
            <w:pPr>
              <w:spacing w:after="0"/>
              <w:rPr>
                <w:sz w:val="1"/>
                <w:szCs w:val="1"/>
                <w:color w:val="auto"/>
              </w:rPr>
            </w:pPr>
          </w:p>
        </w:tc>
      </w:tr>
      <w:tr>
        <w:trPr>
          <w:trHeight w:val="230"/>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(14,649)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240" w:type="dxa"/>
            <w:vAlign w:val="bottom"/>
            <w:gridSpan w:val="2"/>
          </w:tcPr>
          <w:p>
            <w:pPr>
              <w:spacing w:after="0"/>
              <w:rPr>
                <w:sz w:val="20"/>
                <w:szCs w:val="20"/>
                <w:color w:val="auto"/>
              </w:rPr>
            </w:pPr>
          </w:p>
        </w:tc>
        <w:tc>
          <w:tcPr>
            <w:tcW w:w="160" w:type="dxa"/>
            <w:vAlign w:val="bottom"/>
            <w:gridSpan w:val="2"/>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 Forma Adjusted Net Income</w:t>
            </w:r>
          </w:p>
        </w:tc>
        <w:tc>
          <w:tcPr>
            <w:tcW w:w="1100" w:type="dxa"/>
            <w:vAlign w:val="bottom"/>
            <w:gridSpan w:val="4"/>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  75,927</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55,538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134,844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720" w:right="54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720" w:right="220" w:hanging="422"/>
        <w:spacing w:after="0" w:line="26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43072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4307205"/>
                    </a:xfrm>
                    <a:prstGeom prst="rect">
                      <a:avLst/>
                    </a:prstGeom>
                    <a:noFill/>
                  </pic:spPr>
                </pic:pic>
              </a:graphicData>
            </a:graphic>
          </wp:anchor>
        </w:drawing>
      </w:r>
    </w:p>
    <w:p>
      <w:pPr>
        <w:spacing w:after="0" w:line="260" w:lineRule="exact"/>
        <w:rPr>
          <w:sz w:val="20"/>
          <w:szCs w:val="20"/>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27" w:lineRule="exact"/>
        <w:rPr>
          <w:rFonts w:ascii="Times New Roman" w:cs="Times New Roman" w:eastAsia="Times New Roman" w:hAnsi="Times New Roman"/>
          <w:sz w:val="18"/>
          <w:szCs w:val="18"/>
          <w:color w:val="auto"/>
        </w:rPr>
      </w:pPr>
    </w:p>
    <w:p>
      <w:pPr>
        <w:ind w:left="720" w:right="260" w:hanging="422"/>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720" w:right="1120" w:hanging="422"/>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720" w:right="220" w:hanging="422"/>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720" w:right="260" w:hanging="422"/>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7" w:lineRule="exact"/>
        <w:rPr>
          <w:sz w:val="20"/>
          <w:szCs w:val="20"/>
          <w:color w:val="auto"/>
        </w:rPr>
      </w:pPr>
    </w:p>
    <w:p>
      <w:pPr>
        <w:ind w:left="300" w:right="86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9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72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$ 263,669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103,961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(115,901)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$ 196,886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759,771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volatility;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jobs and unemployment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housing market, including real estate prices and mortgage rates;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credit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gasoline and fuel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tax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customs duties/tariffs and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natural or man-made disasters;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unrest, trade disputes, labor shortages, and other disruptions to the supply chain;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raw material and commodity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security and safety concerns;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Increasing volatility in financial markets may cause some of the aforementioned conditions to change with even greater degree of frequency and magnitude. In addition, the recent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62"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99"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85"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behavior away from team sports and outdoor activities in favor of media and electronics-driven leisure activities;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and federal government budget cuts on facilities and activities, such as school athletic budgets, parks, ball fields, recreational sports leagues, hunting and fishing services, etc.;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federal and state hunting and fishing seasons, bag limits and firearm and ammunition restrictions;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costs of sporting and outdoor activities due to adverse changes in economic conditions, including rising fuel prices, rising participation fees and rising sporting license fees;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sporting goods and outdoor recreation retail industries could limit our growth and reduce our profitability.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1"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and internet retailers.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COVID-19 may adversely affect our business and financial results.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9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83"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the recent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6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92"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began escalating in 2018, with multiple rounds of U.S. tariffs on Chinese goods taking effect. Recently, the Trump administration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67" w:lineRule="exact"/>
        <w:rPr>
          <w:sz w:val="20"/>
          <w:szCs w:val="20"/>
          <w:color w:val="auto"/>
        </w:rPr>
      </w:pPr>
    </w:p>
    <w:p>
      <w:pPr>
        <w:ind w:left="1080" w:right="1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crimes associated with merchandise we sell, that has been associated with an increased risk of injury, including but not limited to firearms, ammunition, firearm accessories, air pistols, crossbows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and other archery equipment, knives, deer stands and other hunting equipment, trampolines, wheeled goods such as bicycles and ride-on toys, certain merchandise qualifying as hazardous material and other products;</w:t>
      </w:r>
    </w:p>
    <w:p>
      <w:pPr>
        <w:spacing w:after="0" w:line="67" w:lineRule="exact"/>
        <w:rPr>
          <w:sz w:val="20"/>
          <w:szCs w:val="20"/>
          <w:color w:val="auto"/>
        </w:rPr>
      </w:pPr>
    </w:p>
    <w:p>
      <w:pPr>
        <w:ind w:left="1080" w:right="44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purchase, manufacture, import, distribution and sale of our owned brand products;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municipalities or other organizations attempting to recover costs from firearm manufacturers and retailers, relating to the use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 fleet of trucks for distribution purposes, including transportation of hazardous materials by such fleet;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and ownership, leasing or operation of property for retail stores, distribution centers and other corporate needs;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alleged infringement upon intellectual property rights to merchandise we sell or technology or services we use, including information technology, marketing and advertising services;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sourcing, including international, customs and trade issues;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issues, including construction, leasing, zoning and environmental issues;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disputes, including contractual and business disputes with vendors, landlords, or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tort, personal injury and property damage claims related to our stores, e-commerce, distribution centers or corporate headquarters; and</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may be subjected to claims and lawsuits, including potential class actions, relating to our policies and practices on the sale of firearms, ammunition, or related accessories. We may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Due to the inherent uncertainties of claims and lawsuits, we cannot accurately predict the ultimate outcome of any such matters. These claims and lawsuits could cause us to incur significant expenses and devote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 to our reputation could adversely impact our ability to attract and retain customers, team members, vendors and/or other partners.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5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information;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other operating procedures;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or general computer controls;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accuracy of historical data;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and dedication of key business resources to the updating of existing systems;</w:t>
      </w:r>
    </w:p>
    <w:p>
      <w:pPr>
        <w:spacing w:after="0" w:line="130" w:lineRule="exact"/>
        <w:rPr>
          <w:rFonts w:ascii="Times New Roman" w:cs="Times New Roman" w:eastAsia="Times New Roman" w:hAnsi="Times New Roman"/>
          <w:sz w:val="18"/>
          <w:szCs w:val="18"/>
          <w:color w:val="auto"/>
        </w:rPr>
      </w:pPr>
    </w:p>
    <w:p>
      <w:pPr>
        <w:jc w:val="center"/>
        <w:ind w:left="5540" w:right="460" w:hanging="4992"/>
        <w:spacing w:after="0" w:line="454" w:lineRule="auto"/>
        <w:tabs>
          <w:tab w:leader="none" w:pos="10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adequate experienced technical resources and third-party contractors for the updating of existing systems; 33</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remaining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training and change management to address critical changes in business processes and job functions;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289" w:lineRule="auto"/>
        <w:rPr>
          <w:sz w:val="20"/>
          <w:szCs w:val="20"/>
          <w:color w:val="auto"/>
        </w:rPr>
      </w:pPr>
      <w:r>
        <w:rPr>
          <w:rFonts w:ascii="Times New Roman" w:cs="Times New Roman" w:eastAsia="Times New Roman" w:hAnsi="Times New Roman"/>
          <w:sz w:val="17"/>
          <w:szCs w:val="17"/>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91"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recent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9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5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outsource certain business services and solutions, and rely on the third-party vendors of these business services and solutions, to support a variety of our business functions, including portions of our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287" w:lineRule="exact"/>
        <w:rPr>
          <w:sz w:val="20"/>
          <w:szCs w:val="20"/>
          <w:color w:val="auto"/>
        </w:rPr>
      </w:pPr>
    </w:p>
    <w:p>
      <w:pPr>
        <w:jc w:val="both"/>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e-commerce activities expose us to various risks that could have a material adverse impact on our overall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94"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sales across the United States, thereby, subjecting us to the regulatory and other requirements of the 50 states;</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keep pace with rapid technological change and maintain investments necessary for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issues related to the online sale of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related to the enforcement of patent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personal data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credit card and gift card fraud;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inventory control and shipping issues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state sales tax collection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retention and training of personnel qualified to conduct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adequate computer hardware and software and technology services and solutions from third-party providers;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profitably conduct sourcing and manufacturing activities internally or with third-party agents, manufacturers and distributors;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lawsuits resulting from injuries associated with the use of our owned brand merchandise;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intellectual property or other proprietary rights (e.g., defending against counterfeit, knock-offs, grey-market, infringing or otherwise unauthorized goods);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or other proprietary rights of third parties;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failure to adequately address some or all of these risks could have a material adverse effect on our business, results of operations and financial condition.</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comparable sales may fluctuate due to seasonality and other factors outside of our control.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and comparable sales have historically fluctuated, and may continue to fluctuate, as a result of factors outside our control, including:</w:t>
      </w:r>
    </w:p>
    <w:p>
      <w:pPr>
        <w:spacing w:after="0" w:line="67"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unseasonal or extreme weather conditions, natural or man-made disasters (such as snow storms, hurricanes, tornadoes, and floods);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or tragic events (such as tragedies involving firearms or public health pandemics) in or affecting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products that we offer in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new product introduction;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lockouts or strikes involving professional sports teams;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sports superstars used in marketing various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scandals, including those involving leagues, associations, teams or athletes with ties to us or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closure of existing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college and professional sports teams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existing or entry of new competitors into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competitors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in consumer tastes and fashion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or holiday or seasonal periods;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income tax refunds to customers;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politics or consumer advocacy affecting our business, including sentiment relating to the sale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tax-free holidays in certain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promotions or other actions taken by us or our existing or possible new competitors;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5" w:right="4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tenants or landlords or surrounding geographic circumstances in the shopping centers in which we are located.</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62"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30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dependent on our ability to meet our labor needs.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9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stores are located primarily in the southern United States which could subject us to regional risks.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5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0"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8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key executives could have a material adverse effect on our business.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284"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which could have an adverse impact on our business, as could assimilation of companies following acquisition.</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and advertising programs.</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August 1, 2020, we had approximately $1.4 billion outstanding under the Term Loan Facility. As of August 1, 2020, we had no borrowings outstanding under the ABL Facility, an available borrowing capacity under the ABL Facility of approximately $694.1 million (which is subject to customary borrowing conditions, including a borrowing base), and outstanding letters of credit of $29.7 million, $19.9 million of which were issued under the ABL Facility.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overall level of indebtedness requires that we dedicate a substantial portion of our cash flows to debt service payments. The Term Loan Facility requires quarterly principal and cash interest payments through June 30, 2022. The ABL Facility matures on May 22, 2023, subject to a springing maturity clause which is triggered 91 days before the July 2, 2022 maturity of the Term Loan Facility should it not be paid off or extended at least 91 days beyond the May 22, 2023 maturity date of the ABL Facility.</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substantial indebtedness reduces the funds that would otherwise be available for operations, future business opportunities and payments of our debt obligations and limits our ability to:</w:t>
      </w:r>
    </w:p>
    <w:p>
      <w:pPr>
        <w:spacing w:after="0" w:line="67"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if necessary, for working capital and operations, or such financing may not be available on favorable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changes or withstand a future downturn in our business, the industry or the economy in general;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store growth, distribution center expansion, e-commerce growth, budget targets and forecasts of future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competitive pressures or compete with competitors with less debt.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Term Loan Facility and the ABL Facility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indebtedness, and additionally we have further borrowing capacity under the ABL Facility. As of August 1, 2020, we had no borrowings outstanding under the ABL Facility, and an available borrowing capacity under the ABL Facility of approximately $694.1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$200.0 million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agreements governing the Term Loan Facility and the ABL Facility contain restrictive covenants that impose significant operating and financial restrictions on us and may limit our ability to engage in acts that may be in our best interest, including restrictions on our ability to:</w:t>
      </w:r>
    </w:p>
    <w:p>
      <w:pPr>
        <w:spacing w:after="0" w:line="67"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other restricted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Additionally, at certain times, the ABL Facility requires maintenance of a certain minimum adjusted fixed charge coverage ratio. Our ability to comply with the covenants and restrictions contained in our credit agreements may be affected by events beyond our control. If market or other economic conditions deteriorate, our ability to comply with these covenants and restrictions may be impaired.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our Term Loan Facility and ABL Facility would permit the lenders under our ABL Facility to terminate all commitments to extend further credit under that facility. Furthermore, if we were unable to repay the amounts due and payable under our Term Loan Facility and ABL Facility, those lenders could proceed against the collateral granted to them to secure that indebtedness, and we could be forced into bankruptcy or liquidation.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rules of Nasdaq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6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and the application of net proceeds therefrom, KKR Stockholders will collectively beneficially own approximately % of the voting power of common stock (or % if the underwriters exercise in full their over-allotment option). As a result, we will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89"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for our board of directors’ selection by a nominating/governance committee comprised solely of independent directors;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our board of directors for determination, by a compensation committee comprised solely of independent directors.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this offering, we intend to utilize these exemptions. As a result, we may not have a majority of independent directors, our compensation committee and nominating and governance committee may not consist entirely of independent directors. Accordingly, you may not have the same protections afforded to stockholders of companies that are subject to all of the corporate governance requirements of Nasdaq.</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KKR Stockholders control us and their interests may conflict with yours in the future.</w:t>
      </w:r>
    </w:p>
    <w:p>
      <w:pPr>
        <w:spacing w:after="0" w:line="121" w:lineRule="exact"/>
        <w:rPr>
          <w:sz w:val="20"/>
          <w:szCs w:val="20"/>
          <w:color w:val="auto"/>
        </w:rPr>
      </w:pPr>
    </w:p>
    <w:p>
      <w:pPr>
        <w:ind w:left="560"/>
        <w:spacing w:after="0"/>
        <w:tabs>
          <w:tab w:leader="none" w:pos="7260" w:val="left"/>
        </w:tabs>
        <w:rPr>
          <w:sz w:val="20"/>
          <w:szCs w:val="20"/>
          <w:color w:val="auto"/>
        </w:rPr>
      </w:pPr>
      <w:r>
        <w:rPr>
          <w:rFonts w:ascii="Times New Roman" w:cs="Times New Roman" w:eastAsia="Times New Roman" w:hAnsi="Times New Roman"/>
          <w:sz w:val="18"/>
          <w:szCs w:val="18"/>
          <w:color w:val="auto"/>
        </w:rPr>
        <w:t>Immediately following this offering, KKR Stockholders will collectively beneficially own</w:t>
      </w:r>
      <w:r>
        <w:rPr>
          <w:sz w:val="20"/>
          <w:szCs w:val="20"/>
          <w:color w:val="auto"/>
        </w:rPr>
        <w:tab/>
      </w:r>
      <w:r>
        <w:rPr>
          <w:rFonts w:ascii="Times New Roman" w:cs="Times New Roman" w:eastAsia="Times New Roman" w:hAnsi="Times New Roman"/>
          <w:sz w:val="17"/>
          <w:szCs w:val="17"/>
          <w:color w:val="auto"/>
        </w:rPr>
        <w:t>% of the voting power of our common stock (or</w:t>
      </w:r>
    </w:p>
    <w:p>
      <w:pPr>
        <w:spacing w:after="0" w:line="27" w:lineRule="exact"/>
        <w:rPr>
          <w:sz w:val="20"/>
          <w:szCs w:val="20"/>
          <w:color w:val="auto"/>
        </w:rPr>
      </w:pPr>
    </w:p>
    <w:p>
      <w:pPr>
        <w:ind w:left="120" w:right="20" w:firstLine="716"/>
        <w:spacing w:after="0" w:line="265" w:lineRule="auto"/>
        <w:tabs>
          <w:tab w:leader="none" w:pos="10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underwriters exercise in full their over-allotment option). KKR Stockholders will be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as KKR Stockholders and their affiliates collectively own at least % of all outstanding shares of our stock entitled to vote generally in the election of directors, KKR Stockholders will be able to appoint individuals to our board of directors under the stockholders agreement that we expect to enter into in connection with this offering. See “Certain Relationships and Related Party Transactions—Stockholders Agreement.” The interests of KKR Stockholders may not coincide with the interests of other holders of our common stock.</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business activities, KKR Stockholders and their affiliates may engage in activities where their interests conflict with our interests or those of our stockholders. Our certificate of incorporation will provide that any of KKR Stockholders, any of their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KKR Stockholders and their affiliates will be able to determine the outcome of all matters requiring stockholder approval and will be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84"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regulatory, finance, accounting, investor relations, insurance, and other expenses that we have not incurred as a private company, including costs associated with public company reporting requirements and costs of recruiting and retaining non-executive directors. We also have incurred and will incur costs associated with the Sarbanes-Oxley Act, and the Dodd-Frank Wall Street Reform and Consumer Protection Act, or the Dodd-Frank Act, and related rules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9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there may not develop or continue an active, liquid trading market for shares of our common stock, which may cause shares of our common stock to trade at a discount from the initial offering price and make it difficult to sell the shares of common stock you purchase.</w:t>
      </w:r>
    </w:p>
    <w:p>
      <w:pPr>
        <w:spacing w:after="0" w:line="6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If you purchase shares of our common stock in this offering, you will pay a price that was not established in a competitive market. Instead, the initial public offering price per share of common stock will be determined by agreement among us and the representative(s) of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 The lack of an active market may impair your ability to sell your shares at the time you wish to sell them or at a price you consider reasonable. The lack of an active market may also reduce the fair market value of your shares. Furthermore, an inactive market may also impair our ability to raise capital by selling shares of our common stock.</w:t>
      </w:r>
    </w:p>
    <w:p>
      <w:pPr>
        <w:spacing w:after="0" w:line="29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common stock may be highly volatile and could be subject to wide fluctuations. You may not be able to resell your shares at or above the initial public offering price due to a number of factors such as those listed in “—Risks Related to Our Business” and the following:</w:t>
      </w:r>
    </w:p>
    <w:p>
      <w:pPr>
        <w:spacing w:after="0" w:line="81"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sporting goods and outdoor recreation retail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46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are perceived in the marketplace, including due to negative publicity or campaigns on social media to boycott certain of our products, our business or our industry;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initial public offering price per share of common stock will be substantially higher than our pro forma net tangible book value (deficit) per share immediately after this offering. As a result, you will pay a price per share of common stock that substantially exceeds the per share book value of our tangible assets after subtracting our liabilities. In addition, you will pay more for your shares of common stock than the amounts paid by our existing</w:t>
      </w:r>
    </w:p>
    <w:p>
      <w:pPr>
        <w:spacing w:after="0" w:line="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owners. Assuming an initial public offering price of $ per share of common stock, which is the midpoint of the estimated price range set forth on the cover page of this prospectus, you will incur immediate and substantial dilution in an amount of $ per share of common stock. If the underwriters exercise their over-allotment option, you will experience additional dilution. See “Dilution.”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After this offering we will have approximately shares of common stock authorized but unissued. Our amended and restated certificate of incorporation to become effective immediately prior to the consummation of this offering will authorize us to issue these shares of common stock and options relating to common stock for the consideration and on the terms and conditions established by our board of directors in its sole discretion, whether in connection with acquisitions or otherwise. We have reserved shares for issuance under our 2011 Equity Plan and our 2020 Equity Plan. See “Executive Compensation—Equity Compensation Plans.” Any common stock that we issue, including under our 2011 Equity Plan, 2020 Equity Plan or other equity incentive plans that we may adopt in the future, would dilute the percentage ownership held by the investors who purchase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owners in the public market following this offering could cause the market price for our common stock to decline.</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including sales by our existing owners,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have a total of shares of our common stock outstanding. Of the outstanding shares, the shares sold in this offering (or shares if the underwriters exercise in full their over-allotment option) will be freely tradable without restriction or further</w:t>
      </w: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registration under the Securities Act, except that any shares held by our affiliates, as that term is defined under Rule 144 of the Securities Act, or Rule 144, including our directors, executive officers and other affiliates (including our existing owners), may be sold only in compliance with the limitations described in “Shares Eligible for Future Sale.”</w:t>
      </w:r>
    </w:p>
    <w:p>
      <w:pPr>
        <w:spacing w:after="0" w:line="18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remaining outstanding shares of common stock held by our existing owners after this offering, representing % of the total outstanding shares of our common stock following this offering (or % if the underwriters exercise in full their over-allotment option), will be</w:t>
      </w: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8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our executive officers, directors and certain of our existing owners, will sign lock-up agreements with the underwriters that will, subject to certain customary exceptions, restrict the sale of the shares of our common stock and certain other securities held by them for 180 days following the date of this prospectus. Credit Suisse Securities (USA) LLC and J.P. Morgan Securities LLC may, in their sole discretion and at any time without notice, release all or any portion of the shares or securities subject to any such lock-up agreements. See “Underwriting (Conflicts of Interest)” for a description of these lock-up agreements.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owners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83"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In addition, pursuant to a registration rights agreement, KKR Stockholders and the Gochman Investors will each have the right, subject to certain conditions, to require us to register the sale of their shares of our common stock under the Securities Act. See “Certain Relationships and Related Party Transactions—Registration Rights Agreement.” By exercising their registration rights and selling a large number of shares, KKR Stockholders and/or the Gochman Investors could cause the prevailing market price of our common stock to decline. Certain of our existing owners have “piggyback” registration rights with respect to future registered offerings of our common stock. Following completion of this offering, the shares covered by</w:t>
      </w:r>
    </w:p>
    <w:p>
      <w:pPr>
        <w:spacing w:after="0" w:line="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registration rights would represent approximately % of our total common stock outstanding (or % if the underwriters exercise in full their over-allotment option). Registration of any of these outstanding shares of common stock would result in such shares becoming freely tradable without compliance with Rule 144 upon effectiveness of the registration statement. See “Shares Eligible for Future Sale.”</w:t>
      </w:r>
    </w:p>
    <w:p>
      <w:pPr>
        <w:spacing w:after="0" w:line="186" w:lineRule="exact"/>
        <w:rPr>
          <w:sz w:val="20"/>
          <w:szCs w:val="20"/>
          <w:color w:val="auto"/>
        </w:rPr>
      </w:pPr>
    </w:p>
    <w:p>
      <w:pPr>
        <w:jc w:val="both"/>
        <w:ind w:left="120" w:right="26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w:t>
      </w:r>
    </w:p>
    <w:p>
      <w:pPr>
        <w:spacing w:after="0" w:line="9" w:lineRule="exact"/>
        <w:rPr>
          <w:sz w:val="20"/>
          <w:szCs w:val="20"/>
          <w:color w:val="auto"/>
        </w:rPr>
      </w:pPr>
    </w:p>
    <w:p>
      <w:pPr>
        <w:ind w:left="120"/>
        <w:spacing w:after="0"/>
        <w:tabs>
          <w:tab w:leader="none" w:pos="2960" w:val="left"/>
        </w:tabs>
        <w:rPr>
          <w:sz w:val="20"/>
          <w:szCs w:val="20"/>
          <w:color w:val="auto"/>
        </w:rPr>
      </w:pPr>
      <w:r>
        <w:rPr>
          <w:rFonts w:ascii="Times New Roman" w:cs="Times New Roman" w:eastAsia="Times New Roman" w:hAnsi="Times New Roman"/>
          <w:sz w:val="18"/>
          <w:szCs w:val="18"/>
          <w:color w:val="auto"/>
        </w:rPr>
        <w:t>statement on Form S-8 will cover</w:t>
      </w:r>
      <w:r>
        <w:rPr>
          <w:sz w:val="20"/>
          <w:szCs w:val="20"/>
          <w:color w:val="auto"/>
        </w:rPr>
        <w:tab/>
      </w:r>
      <w:r>
        <w:rPr>
          <w:rFonts w:ascii="Times New Roman" w:cs="Times New Roman" w:eastAsia="Times New Roman" w:hAnsi="Times New Roman"/>
          <w:sz w:val="18"/>
          <w:szCs w:val="18"/>
          <w:color w:val="auto"/>
        </w:rPr>
        <w:t>shares of our common stock.</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owners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may spend the proceeds of this offering in ways with which you may disagree or that may not be profitable.</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Although we anticipate using the net proceeds from the offering as described under “Use of Proceeds,” we will have broad discretion as to the application of the net proceeds and could use them for purposes other than those contemplated by this offering. You may not agree with the manner in which our management chooses to allocate and spend the net proceeds. Our management may use the proceeds for corporate purposes that may not increase our profitability or otherwise result in the creation of stockholder value. In addition, pending our use of the proceeds, we may invest the proceeds primarily in instruments that do not produce significant income or that may lose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will provide for, among other things:</w:t>
      </w:r>
    </w:p>
    <w:p>
      <w:pPr>
        <w:spacing w:after="0" w:line="131" w:lineRule="exact"/>
        <w:rPr>
          <w:sz w:val="20"/>
          <w:szCs w:val="20"/>
          <w:color w:val="auto"/>
        </w:rPr>
      </w:pPr>
    </w:p>
    <w:p>
      <w:pPr>
        <w:ind w:left="1080" w:right="3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will be divided into three classes, with each class serving for staggered three-year terms;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76"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in additional series without stockholder approval.</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2"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right="40" w:hanging="4"/>
        <w:spacing w:after="0" w:line="251"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8"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14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costs and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million (or approximately $ million, if the underwriters exercise in full their over-allotment option) from the sale of shares of our common stock in this offering, assuming an initial public offering price of $ per share,</w:t>
      </w:r>
    </w:p>
    <w:p>
      <w:pPr>
        <w:ind w:left="120"/>
        <w:spacing w:after="0" w:line="265" w:lineRule="auto"/>
        <w:rPr>
          <w:sz w:val="20"/>
          <w:szCs w:val="20"/>
          <w:color w:val="auto"/>
        </w:rPr>
      </w:pPr>
      <w:r>
        <w:rPr>
          <w:rFonts w:ascii="Times New Roman" w:cs="Times New Roman" w:eastAsia="Times New Roman" w:hAnsi="Times New Roman"/>
          <w:sz w:val="17"/>
          <w:szCs w:val="17"/>
          <w:color w:val="auto"/>
        </w:rPr>
        <w:t>which is the midpoint of the estimated price range set forth on the cover page of this prospectus, and after deducting the underwriting discounts and commissions and estimated offering expenses payable by us. An increase (decrease) of 1,000,000 shares from the expected number of shares of common stock to be sold by us in this offering, assuming no change in the assumed initial offering price per share, would increase (decrease) our net proceeds</w:t>
      </w:r>
    </w:p>
    <w:p>
      <w:pPr>
        <w:ind w:left="120"/>
        <w:spacing w:after="0"/>
        <w:tabs>
          <w:tab w:leader="none" w:pos="2140" w:val="left"/>
        </w:tabs>
        <w:rPr>
          <w:sz w:val="20"/>
          <w:szCs w:val="20"/>
          <w:color w:val="auto"/>
        </w:rPr>
      </w:pPr>
      <w:r>
        <w:rPr>
          <w:rFonts w:ascii="Times New Roman" w:cs="Times New Roman" w:eastAsia="Times New Roman" w:hAnsi="Times New Roman"/>
          <w:sz w:val="18"/>
          <w:szCs w:val="18"/>
          <w:color w:val="auto"/>
        </w:rPr>
        <w:t>from this offering by $</w:t>
      </w:r>
      <w:r>
        <w:rPr>
          <w:sz w:val="20"/>
          <w:szCs w:val="20"/>
          <w:color w:val="auto"/>
        </w:rPr>
        <w:tab/>
      </w:r>
      <w:r>
        <w:rPr>
          <w:rFonts w:ascii="Times New Roman" w:cs="Times New Roman" w:eastAsia="Times New Roman" w:hAnsi="Times New Roman"/>
          <w:sz w:val="17"/>
          <w:szCs w:val="17"/>
          <w:color w:val="auto"/>
        </w:rPr>
        <w:t>million. A $1.00 increase (decrease) in the assumed initial offering price would increase (decrease) the net proceeds to us</w:t>
      </w:r>
    </w:p>
    <w:p>
      <w:pPr>
        <w:spacing w:after="0" w:line="9"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from this offering by $ million, assuming the number of shares of common stock offered by us, as set forth on the cover page of this prospectus, remains the same, and after deducting the underwriting discounts and commissions and estimated offering expenses payable by us.</w:t>
      </w:r>
    </w:p>
    <w:p>
      <w:pPr>
        <w:spacing w:after="0" w:line="18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 repayment of certain indebtedness, as will be determined prior to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9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cash and cash equivalents and capitalization as of August 1, 2020 of New Academy Holding Company, LLC on an actual basis and of Academy Sports and Outdoors, Inc. on a pro forma basis to reflect:</w:t>
      </w:r>
    </w:p>
    <w:p>
      <w:pPr>
        <w:spacing w:after="0" w:line="67"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$257.0 million one-time special distribution paid on August 28, 2020 to New Academy Holding Company, LLC’s unitholders;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and</w:t>
      </w:r>
    </w:p>
    <w:p>
      <w:pPr>
        <w:spacing w:after="0" w:line="131" w:lineRule="exact"/>
        <w:rPr>
          <w:sz w:val="20"/>
          <w:szCs w:val="20"/>
          <w:color w:val="auto"/>
        </w:rPr>
      </w:pPr>
    </w:p>
    <w:p>
      <w:pPr>
        <w:ind w:left="108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sale of shares of our common stock offered by us in this offering at an assumed initial public offering price of $ per share, which is the midpoint of the estimated price range set forth on the cover page of this prospectus, after deducting the underwriting discounts and commissions and estimated offering expenses payable by us, and the application of the net proceeds to us therefrom as described under “Use of Proceeds.”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As of August 1, 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tcPr>
          <w:p>
            <w:pPr>
              <w:jc w:val="center"/>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New Academy</w:t>
            </w:r>
          </w:p>
        </w:tc>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Academy Sports and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Holding Company,</w:t>
            </w: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LLC</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Outdoors, Inc.</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except par value)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884,029</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w:t>
            </w:r>
          </w:p>
        </w:tc>
        <w:tc>
          <w:tcPr>
            <w:tcW w:w="2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15"/>
                <w:szCs w:val="15"/>
                <w:color w:val="auto"/>
              </w:rPr>
              <w:t>(2)</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2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1,433,965</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debt</w:t>
            </w: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1,433,965</w:t>
            </w:r>
          </w:p>
        </w:tc>
        <w:tc>
          <w:tcPr>
            <w:tcW w:w="82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Partners’/Stockholders’ equity</w:t>
            </w: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 equity</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1,149,096</w:t>
            </w:r>
          </w:p>
        </w:tc>
        <w:tc>
          <w:tcPr>
            <w:tcW w:w="1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and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w:t>
            </w:r>
          </w:p>
        </w:tc>
        <w:tc>
          <w:tcPr>
            <w:tcW w:w="20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0" w:type="dxa"/>
            <w:vAlign w:val="bottom"/>
          </w:tcPr>
          <w:p>
            <w:pPr>
              <w:spacing w:after="0"/>
              <w:rPr>
                <w:sz w:val="1"/>
                <w:szCs w:val="1"/>
                <w:color w:val="auto"/>
              </w:rPr>
            </w:pPr>
          </w:p>
        </w:tc>
      </w:tr>
      <w:tr>
        <w:trPr>
          <w:trHeight w:val="198"/>
        </w:trPr>
        <w:tc>
          <w:tcPr>
            <w:tcW w:w="43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Accumulated and other comprehensive income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w:t>
            </w:r>
          </w:p>
        </w:tc>
        <w:tc>
          <w:tcPr>
            <w:tcW w:w="20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Total partners’/stockholders’ equity</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1,149,096</w:t>
            </w:r>
          </w:p>
        </w:tc>
        <w:tc>
          <w:tcPr>
            <w:tcW w:w="82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capitalization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2,583,061</w:t>
            </w: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40" w:hanging="41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w:t>
        <w:tab/>
        <w:t>A $1.00 increase (decrease) in the assumed initial public offering price of $ per share, which is the midpoint of the estimated price range set forth on the cover page of this prospectus, would increase (decrease) the net proceeds that we receive in this offering and each of additional paid-in capital, total stockholders’ equity and total capitalization by approximately $ , assuming the number of shares offered by us remains</w:t>
      </w:r>
    </w:p>
    <w:p>
      <w:pPr>
        <w:spacing w:after="0" w:line="1" w:lineRule="exact"/>
        <w:rPr>
          <w:sz w:val="20"/>
          <w:szCs w:val="20"/>
          <w:color w:val="auto"/>
        </w:rPr>
      </w:pPr>
    </w:p>
    <w:p>
      <w:pPr>
        <w:ind w:left="540" w:right="120"/>
        <w:spacing w:after="0" w:line="260" w:lineRule="auto"/>
        <w:rPr>
          <w:sz w:val="20"/>
          <w:szCs w:val="20"/>
          <w:color w:val="auto"/>
        </w:rPr>
      </w:pPr>
      <w:r>
        <w:rPr>
          <w:rFonts w:ascii="Times New Roman" w:cs="Times New Roman" w:eastAsia="Times New Roman" w:hAnsi="Times New Roman"/>
          <w:sz w:val="18"/>
          <w:szCs w:val="18"/>
          <w:color w:val="auto"/>
        </w:rPr>
        <w:t>the same as set forth on the cover page of this prospectus and after deducting the underwriting discounts and commissions and estimated offering expenses payable by us. An increase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40"/>
        <w:spacing w:after="0" w:line="276" w:lineRule="auto"/>
        <w:rPr>
          <w:sz w:val="20"/>
          <w:szCs w:val="20"/>
          <w:color w:val="auto"/>
        </w:rPr>
      </w:pPr>
      <w:r>
        <w:rPr>
          <w:rFonts w:ascii="Times New Roman" w:cs="Times New Roman" w:eastAsia="Times New Roman" w:hAnsi="Times New Roman"/>
          <w:sz w:val="17"/>
          <w:szCs w:val="17"/>
          <w:color w:val="auto"/>
        </w:rPr>
        <w:t>(decrease) of 1,000,000 shares in the expected number of shares to be sold by us in this offering, assuming no change in the assumed initial public offering price, would increase (decrease) our net proceeds from this offering and each of additional paid-in capital, total stockholders’ equity and</w:t>
      </w:r>
    </w:p>
    <w:p>
      <w:pPr>
        <w:spacing w:after="0" w:line="1" w:lineRule="exact"/>
        <w:rPr>
          <w:sz w:val="20"/>
          <w:szCs w:val="20"/>
          <w:color w:val="auto"/>
        </w:rPr>
      </w:pPr>
    </w:p>
    <w:p>
      <w:pPr>
        <w:ind w:left="540" w:right="40"/>
        <w:spacing w:after="0" w:line="250" w:lineRule="auto"/>
        <w:rPr>
          <w:sz w:val="20"/>
          <w:szCs w:val="20"/>
          <w:color w:val="auto"/>
        </w:rPr>
      </w:pPr>
      <w:r>
        <w:rPr>
          <w:rFonts w:ascii="Times New Roman" w:cs="Times New Roman" w:eastAsia="Times New Roman" w:hAnsi="Times New Roman"/>
          <w:sz w:val="18"/>
          <w:szCs w:val="18"/>
          <w:color w:val="auto"/>
        </w:rPr>
        <w:t>total capitalization by approximately $ . The pro forma column reflects the issuance of shares of common stock of Academy Sports and Outdoors, Inc. in connection with the contribution of New Academy Holding Company, LLC by its unitholders and related reorganization transactions and related cancellation of all outstanding partners’ equity at New Academy Holding Company, LLC in connection with the offering.</w:t>
      </w:r>
    </w:p>
    <w:p>
      <w:pPr>
        <w:spacing w:after="0" w:line="1" w:lineRule="exact"/>
        <w:rPr>
          <w:sz w:val="20"/>
          <w:szCs w:val="20"/>
          <w:color w:val="auto"/>
        </w:rPr>
      </w:pPr>
    </w:p>
    <w:p>
      <w:pPr>
        <w:ind w:left="540" w:right="32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 2020, there were $29.7 million letters of credit outstanding, $19.9 million of which were issued under the ABL Facility. For a further description of our ABL Facility, see “Description of Certain Indebtedness.”</w:t>
      </w: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cash and cash equivalents reflects (i) a decrease of $248.0 million in cash, which amount was used to fund the special distribution on</w:t>
      </w:r>
    </w:p>
    <w:p>
      <w:pPr>
        <w:spacing w:after="0" w:line="9" w:lineRule="exact"/>
        <w:rPr>
          <w:sz w:val="20"/>
          <w:szCs w:val="20"/>
          <w:color w:val="auto"/>
        </w:rPr>
      </w:pPr>
    </w:p>
    <w:p>
      <w:pPr>
        <w:ind w:left="540" w:right="140"/>
        <w:spacing w:after="0" w:line="250" w:lineRule="auto"/>
        <w:rPr>
          <w:sz w:val="20"/>
          <w:szCs w:val="20"/>
          <w:color w:val="auto"/>
        </w:rPr>
      </w:pPr>
      <w:r>
        <w:rPr>
          <w:rFonts w:ascii="Times New Roman" w:cs="Times New Roman" w:eastAsia="Times New Roman" w:hAnsi="Times New Roman"/>
          <w:sz w:val="18"/>
          <w:szCs w:val="18"/>
          <w:color w:val="auto"/>
        </w:rPr>
        <w:t>August 28, 2020, and (ii) an increase of $ million from the application of the net proceeds from this offering as cash and cash equivalents pending application as set forth in “Use of Proceeds.”</w:t>
      </w:r>
    </w:p>
    <w:p>
      <w:pPr>
        <w:spacing w:after="0" w:line="1"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additional paid-in capital reflects (i) a decrease of $</w:t>
      </w:r>
      <w:r>
        <w:rPr>
          <w:rFonts w:ascii="Times New Roman" w:cs="Times New Roman" w:eastAsia="Times New Roman" w:hAnsi="Times New Roman"/>
          <w:sz w:val="17"/>
          <w:szCs w:val="17"/>
          <w:color w:val="auto"/>
        </w:rPr>
        <w:t>million in partners’ equity at New Academy Holding Company, LLC due to</w:t>
      </w:r>
    </w:p>
    <w:p>
      <w:pPr>
        <w:spacing w:after="0" w:line="9" w:lineRule="exact"/>
        <w:rPr>
          <w:sz w:val="20"/>
          <w:szCs w:val="20"/>
          <w:color w:val="auto"/>
        </w:rPr>
      </w:pPr>
    </w:p>
    <w:p>
      <w:pPr>
        <w:ind w:left="540"/>
        <w:spacing w:after="0" w:line="260" w:lineRule="auto"/>
        <w:rPr>
          <w:sz w:val="20"/>
          <w:szCs w:val="20"/>
          <w:color w:val="auto"/>
        </w:rPr>
      </w:pPr>
      <w:r>
        <w:rPr>
          <w:rFonts w:ascii="Times New Roman" w:cs="Times New Roman" w:eastAsia="Times New Roman" w:hAnsi="Times New Roman"/>
          <w:sz w:val="18"/>
          <w:szCs w:val="18"/>
          <w:color w:val="auto"/>
        </w:rPr>
        <w:t>the special distribution to its unitholders and (ii) an increase of $ million from the sale of shares in this offering at an assumed initial public offering price of $ per share, which is the midpoint of the estimated price range set forth on the cover page of this prospectus.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in us will be diluted to the extent of the difference between the initial public offering price per share of our common stock and the pro forma net tangible book value (deficit) per share of our common stock after giving effect to this offering. Dilution results from the fact that the per share offering price of the common stock is substantially in excess of the pro forma net tangible book value per share attributable to our existing owners.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pro forma net tangible book value (deficit) as of August 1, 2020 was approximately $ million, or $ per share of our common stock. We calculate pro forma net tangible value (deficit) per share by taking the amount of our total tangible assets, reduced by the amount of our total liabilities, and then dividing that amount by the total number of shares of common stock outstanding on a pro forma basis giving effect to the Reorganization Transactions.</w:t>
      </w:r>
    </w:p>
    <w:p>
      <w:pPr>
        <w:spacing w:after="0" w:line="18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After giving effect to (i) our sale of shares of common stock in this offering at an assumed initial public offering price of $ per share, which is the midpoint of the estimated price range set forth on the cover page of this prospectus, and (ii) the use of proceeds therefrom, after deducting the underwriting discounts and commissions and estimated offering expenses payable by us, our pro forma net tangible book value (deficit) as of August</w:t>
      </w:r>
    </w:p>
    <w:p>
      <w:pPr>
        <w:spacing w:after="0" w:line="1" w:lineRule="exact"/>
        <w:rPr>
          <w:sz w:val="20"/>
          <w:szCs w:val="20"/>
          <w:color w:val="auto"/>
        </w:rPr>
      </w:pPr>
    </w:p>
    <w:p>
      <w:pPr>
        <w:ind w:left="120" w:right="380"/>
        <w:spacing w:after="0" w:line="255" w:lineRule="auto"/>
        <w:rPr>
          <w:sz w:val="20"/>
          <w:szCs w:val="20"/>
          <w:color w:val="auto"/>
        </w:rPr>
      </w:pPr>
      <w:r>
        <w:rPr>
          <w:rFonts w:ascii="Times New Roman" w:cs="Times New Roman" w:eastAsia="Times New Roman" w:hAnsi="Times New Roman"/>
          <w:sz w:val="18"/>
          <w:szCs w:val="18"/>
          <w:color w:val="auto"/>
        </w:rPr>
        <w:t>1, 2020 would have been $ million, or $ per share of our common stock. This amount represents an immediate increase in pro forma net tangible book value (deficit) of $ per share of common stock to our existing owners and an immediate and substantial dilution in pro forma net tangible book value (deficit) of $ per share of common stock to new investors purchasing shares in this offering.</w:t>
      </w:r>
    </w:p>
    <w:p>
      <w:pPr>
        <w:spacing w:after="0" w:line="18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of common stock basis assuming the underwriters do not exercise their option to purchase additional shares of common stock:</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common stock</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9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(deficit) per share of common stock as of August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1, 2020</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pro forma net tangible book value per share of common stock</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attributable to investors in this offering</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(deficit) per share of common stock after giving effect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this offering</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pro forma net tangible book value per share of common stock to investors in</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pro forma net tangible book value (deficit) per share of common stock after the offering from the initial public offering price per share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per share of common stock would increase or decrease, as applicable,</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pro forma net tangible book value by $ per share and the dilution to new investors in the offering by $ per share, assuming that the number of shares offered in this offering, as set forth on the cover page of this prospectus, remains the same. The pro forma information discussed above is for illustrative purposes only. Our net tangible book value (deficit) following the completion of the offering is subject to adjustment based on the actual offering price of our common stock and other terms of this offering determined at pricing.</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August 1, 2020, the total number of shares of common stock purchased from us, the total cash consideration paid to us and the average price per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of common stock paid by our existing owners and by new investors purchasing shares of common stock in this offering.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1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tcPr>
          <w:p>
            <w:pPr>
              <w:spacing w:after="0"/>
              <w:rPr>
                <w:sz w:val="15"/>
                <w:szCs w:val="15"/>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Total Consideration</w:t>
            </w: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42"/>
        </w:trPr>
        <w:tc>
          <w:tcPr>
            <w:tcW w:w="4700" w:type="dxa"/>
            <w:vAlign w:val="bottom"/>
          </w:tcPr>
          <w:p>
            <w:pPr>
              <w:spacing w:after="0"/>
              <w:rPr>
                <w:sz w:val="12"/>
                <w:szCs w:val="12"/>
                <w:color w:val="auto"/>
              </w:rPr>
            </w:pPr>
          </w:p>
        </w:tc>
        <w:tc>
          <w:tcPr>
            <w:tcW w:w="11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47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(in thousands)</w:t>
            </w:r>
          </w:p>
        </w:tc>
        <w:tc>
          <w:tcPr>
            <w:tcW w:w="6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owners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432"/>
        </w:trPr>
        <w:tc>
          <w:tcPr>
            <w:tcW w:w="5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If the underwriters were to exercise in full their option to purchase</w:t>
            </w:r>
          </w:p>
        </w:tc>
        <w:tc>
          <w:tcPr>
            <w:tcW w:w="51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additional shares of our common stock from us, the percentage of</w:t>
            </w:r>
          </w:p>
        </w:tc>
      </w:tr>
    </w:tbl>
    <w:p>
      <w:pPr>
        <w:jc w:val="both"/>
        <w:ind w:left="120" w:right="20"/>
        <w:spacing w:after="0" w:line="260" w:lineRule="auto"/>
        <w:rPr>
          <w:sz w:val="20"/>
          <w:szCs w:val="20"/>
          <w:color w:val="auto"/>
        </w:rPr>
      </w:pPr>
      <w:r>
        <w:rPr>
          <w:rFonts w:ascii="Times New Roman" w:cs="Times New Roman" w:eastAsia="Times New Roman" w:hAnsi="Times New Roman"/>
          <w:sz w:val="18"/>
          <w:szCs w:val="18"/>
          <w:color w:val="auto"/>
        </w:rPr>
        <w:t>shares of our common stock held by existing owners as of August 1, 2020 would be % and the percentage of shares of our common stock held by new investors in this offering would be %.</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twenty-six weeks ended August 1, 2020 and August 3, 2019 has been derived from our unaudited condensed consolidated financial statements included elsewhere in this prospectus. The results of operations for any period are not necessarily indicative of the results to be expected for any future period.</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Pro forma balance sheet data as of August 1, 2020 presented below gives effect to the $257.0 million one-time special distribution to our unitholders paid on August 28, 2020, $248.0 million of which was paid with cash on hand and the remainder of which was distributed through an offset of outstanding loans receivable from certain unitholders as well as state income tax withholdings made on behalf of our unitholders. Pro forma net income data presented below gives effect to the anticipated conversion of New Academy Holding Company, LLC to a C Corporation. Pro forma net income per share data for 2019 and the twenty-six weeks ended August 1, 2020 presented below gives effect to the Reorganization Transactions and also</w:t>
      </w:r>
    </w:p>
    <w:p>
      <w:pPr>
        <w:spacing w:after="0" w:line="3"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assumes that and additional shares of common stock were outstanding for 2019 and the twenty-six weeks ended August 1, 2020, respectively, and were used to fund the amount of the special distribution in excess of our net income for such period.</w:t>
      </w:r>
    </w:p>
    <w:p>
      <w:pPr>
        <w:spacing w:after="0" w:line="18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tcBorders>
              <w:top w:val="single" w:sz="8" w:color="auto"/>
            </w:tcBorders>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00" w:type="dxa"/>
            <w:vAlign w:val="bottom"/>
          </w:tcPr>
          <w:p>
            <w:pPr>
              <w:spacing w:after="0"/>
              <w:rPr>
                <w:sz w:val="19"/>
                <w:szCs w:val="19"/>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53 weeks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rPr>
              <w:t>26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26 weeks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4,829,897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4,783,893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4,835,582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4,738,474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4,646,686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2,742,721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2,314,202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3,398,743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3,415,941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3,436,618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3,419,784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3,299,972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1,948,275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1,616,022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1,431,154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1,318,690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1,251,733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1,241,643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1,171,411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596,636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614,172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early retirement of debt, net</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(42,265)</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55,498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Period length</w:t>
      </w:r>
    </w:p>
    <w:p>
      <w:pPr>
        <w:spacing w:after="0" w:line="4" w:lineRule="exact"/>
        <w:rPr>
          <w:sz w:val="20"/>
          <w:szCs w:val="20"/>
          <w:color w:val="auto"/>
        </w:rPr>
      </w:pPr>
    </w:p>
    <w:p>
      <w:pPr>
        <w:ind w:left="120" w:right="220"/>
        <w:spacing w:after="0" w:line="227" w:lineRule="auto"/>
        <w:rPr>
          <w:sz w:val="20"/>
          <w:szCs w:val="20"/>
          <w:color w:val="auto"/>
        </w:rPr>
      </w:pPr>
      <w:r>
        <w:rPr>
          <w:rFonts w:ascii="Times New Roman" w:cs="Times New Roman" w:eastAsia="Times New Roman" w:hAnsi="Times New Roman"/>
          <w:sz w:val="14"/>
          <w:szCs w:val="14"/>
          <w:color w:val="auto"/>
        </w:rPr>
        <w:t>(In thousands, except per share amounts and store data)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 Share Data (unaudited):</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 forma net income</w:t>
      </w:r>
      <w:r>
        <w:rPr>
          <w:rFonts w:ascii="Times New Roman" w:cs="Times New Roman" w:eastAsia="Times New Roman" w:hAnsi="Times New Roman"/>
          <w:sz w:val="15"/>
          <w:szCs w:val="15"/>
          <w:color w:val="auto"/>
        </w:rPr>
        <w:t>(3)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 forma net income per share</w:t>
      </w:r>
      <w:r>
        <w:rPr>
          <w:rFonts w:ascii="Times New Roman" w:cs="Times New Roman" w:eastAsia="Times New Roman" w:hAnsi="Times New Roman"/>
          <w:sz w:val="15"/>
          <w:szCs w:val="15"/>
          <w:color w:val="auto"/>
        </w:rPr>
        <w:t>(3)(4)</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Basic</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Diluted</w:t>
      </w:r>
    </w:p>
    <w:p>
      <w:pPr>
        <w:spacing w:after="0" w:line="19" w:lineRule="exact"/>
        <w:rPr>
          <w:sz w:val="20"/>
          <w:szCs w:val="20"/>
          <w:color w:val="auto"/>
        </w:rPr>
      </w:pPr>
    </w:p>
    <w:p>
      <w:pPr>
        <w:ind w:left="300" w:hanging="179"/>
        <w:spacing w:after="0" w:line="253" w:lineRule="auto"/>
        <w:rPr>
          <w:sz w:val="20"/>
          <w:szCs w:val="20"/>
          <w:color w:val="auto"/>
        </w:rPr>
      </w:pPr>
      <w:r>
        <w:rPr>
          <w:rFonts w:ascii="Times New Roman" w:cs="Times New Roman" w:eastAsia="Times New Roman" w:hAnsi="Times New Roman"/>
          <w:sz w:val="18"/>
          <w:szCs w:val="18"/>
          <w:color w:val="auto"/>
        </w:rPr>
        <w:t>Weighted average shares of common stock outstanding</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Basic</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Diluted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Twenty-Six</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11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400" w:type="dxa"/>
            <w:vAlign w:val="bottom"/>
          </w:tcPr>
          <w:p>
            <w:pPr>
              <w:spacing w:after="0"/>
              <w:rPr>
                <w:sz w:val="10"/>
                <w:szCs w:val="10"/>
                <w:color w:val="auto"/>
              </w:rPr>
            </w:pPr>
          </w:p>
        </w:tc>
        <w:tc>
          <w:tcPr>
            <w:tcW w:w="11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1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340" w:type="dxa"/>
            <w:vAlign w:val="bottom"/>
          </w:tcPr>
          <w:p>
            <w:pPr>
              <w:spacing w:after="0"/>
              <w:rPr>
                <w:sz w:val="10"/>
                <w:szCs w:val="10"/>
                <w:color w:val="auto"/>
              </w:rPr>
            </w:pPr>
          </w:p>
        </w:tc>
        <w:tc>
          <w:tcPr>
            <w:tcW w:w="10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0" w:type="dxa"/>
            <w:vAlign w:val="bottom"/>
          </w:tcPr>
          <w:p>
            <w:pPr>
              <w:spacing w:after="0"/>
              <w:rPr>
                <w:sz w:val="1"/>
                <w:szCs w:val="1"/>
                <w:color w:val="auto"/>
              </w:rPr>
            </w:pPr>
          </w:p>
        </w:tc>
      </w:tr>
      <w:tr>
        <w:trPr>
          <w:trHeight w:val="173"/>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14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8"/>
        </w:trPr>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52 weeks</w:t>
            </w:r>
          </w:p>
        </w:tc>
        <w:tc>
          <w:tcPr>
            <w:tcW w:w="400" w:type="dxa"/>
            <w:vAlign w:val="bottom"/>
          </w:tcPr>
          <w:p>
            <w:pPr>
              <w:spacing w:after="0"/>
              <w:rPr>
                <w:sz w:val="19"/>
                <w:szCs w:val="19"/>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 weeks</w:t>
            </w:r>
          </w:p>
        </w:tc>
        <w:tc>
          <w:tcPr>
            <w:tcW w:w="40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 weeks</w:t>
            </w:r>
          </w:p>
        </w:tc>
        <w:tc>
          <w:tcPr>
            <w:tcW w:w="38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 weeks</w:t>
            </w:r>
          </w:p>
        </w:tc>
        <w:tc>
          <w:tcPr>
            <w:tcW w:w="40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52 weeks</w:t>
            </w:r>
          </w:p>
        </w:tc>
        <w:tc>
          <w:tcPr>
            <w:tcW w:w="3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 weeks</w:t>
            </w:r>
          </w:p>
        </w:tc>
        <w:tc>
          <w:tcPr>
            <w:tcW w:w="34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 weeks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177165</wp:posOffset>
            </wp:positionV>
            <wp:extent cx="69951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451485</wp:posOffset>
            </wp:positionV>
            <wp:extent cx="69951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716915</wp:posOffset>
            </wp:positionV>
            <wp:extent cx="699516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1120140</wp:posOffset>
            </wp:positionV>
            <wp:extent cx="699516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77" w:lineRule="exact"/>
        <w:rPr>
          <w:sz w:val="20"/>
          <w:szCs w:val="20"/>
          <w:color w:val="auto"/>
        </w:rPr>
      </w:pPr>
    </w:p>
    <w:p>
      <w:pPr>
        <w:sectPr>
          <w:pgSz w:w="11900" w:h="16838" w:orient="portrait"/>
          <w:cols w:equalWidth="0" w:num="2">
            <w:col w:w="3200" w:space="360"/>
            <w:col w:w="75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00" w:type="dxa"/>
            <w:vAlign w:val="bottom"/>
            <w:gridSpan w:val="4"/>
          </w:tcPr>
          <w:p>
            <w:pPr>
              <w:jc w:val="right"/>
              <w:ind w:right="228"/>
              <w:spacing w:after="0"/>
              <w:rPr>
                <w:sz w:val="20"/>
                <w:szCs w:val="20"/>
                <w:color w:val="auto"/>
              </w:rPr>
            </w:pPr>
            <w:r>
              <w:rPr>
                <w:rFonts w:ascii="Times New Roman" w:cs="Times New Roman" w:eastAsia="Times New Roman" w:hAnsi="Times New Roman"/>
                <w:sz w:val="18"/>
                <w:szCs w:val="18"/>
                <w:color w:val="auto"/>
              </w:rPr>
              <w:t>$ 263,669</w:t>
            </w:r>
          </w:p>
        </w:tc>
        <w:tc>
          <w:tcPr>
            <w:tcW w:w="1200" w:type="dxa"/>
            <w:vAlign w:val="bottom"/>
            <w:gridSpan w:val="4"/>
          </w:tcPr>
          <w:p>
            <w:pPr>
              <w:jc w:val="right"/>
              <w:ind w:right="308"/>
              <w:spacing w:after="0"/>
              <w:rPr>
                <w:sz w:val="20"/>
                <w:szCs w:val="20"/>
                <w:color w:val="auto"/>
              </w:rPr>
            </w:pPr>
            <w:r>
              <w:rPr>
                <w:rFonts w:ascii="Times New Roman" w:cs="Times New Roman" w:eastAsia="Times New Roman" w:hAnsi="Times New Roman"/>
                <w:sz w:val="18"/>
                <w:szCs w:val="18"/>
                <w:color w:val="auto"/>
              </w:rPr>
              <w:t>$ 198,481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83,355</w:t>
            </w:r>
          </w:p>
        </w:tc>
        <w:tc>
          <w:tcPr>
            <w:tcW w:w="60" w:type="dxa"/>
            <w:vAlign w:val="bottom"/>
          </w:tcPr>
          <w:p>
            <w:pPr>
              <w:spacing w:after="0"/>
              <w:rPr>
                <w:sz w:val="18"/>
                <w:szCs w:val="18"/>
                <w:color w:val="auto"/>
              </w:rPr>
            </w:pPr>
          </w:p>
        </w:tc>
        <w:tc>
          <w:tcPr>
            <w:tcW w:w="9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$ 164,555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249,376</w:t>
            </w: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95"/>
              </w:rPr>
              <w:t>773,621</w:t>
            </w:r>
          </w:p>
        </w:tc>
        <w:tc>
          <w:tcPr>
            <w:tcW w:w="1020" w:type="dxa"/>
            <w:vAlign w:val="bottom"/>
            <w:gridSpan w:val="3"/>
          </w:tcPr>
          <w:p>
            <w:pPr>
              <w:jc w:val="right"/>
              <w:ind w:right="113"/>
              <w:spacing w:after="0"/>
              <w:rPr>
                <w:sz w:val="20"/>
                <w:szCs w:val="20"/>
                <w:color w:val="auto"/>
              </w:rPr>
            </w:pPr>
            <w:r>
              <w:rPr>
                <w:rFonts w:ascii="Times New Roman" w:cs="Times New Roman" w:eastAsia="Times New Roman" w:hAnsi="Times New Roman"/>
                <w:sz w:val="18"/>
                <w:szCs w:val="18"/>
                <w:color w:val="auto"/>
              </w:rPr>
              <w:t>$103,961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w w:val="97"/>
              </w:rPr>
              <w:t>(66,783)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(99,027)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6"/>
              </w:rPr>
              <w:t>(115,901)</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(153,215)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(118,096)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(13,580)</w:t>
            </w:r>
          </w:p>
        </w:tc>
        <w:tc>
          <w:tcPr>
            <w:tcW w:w="102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(31,767)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tcPr>
          <w:p>
            <w:pPr>
              <w:spacing w:after="0"/>
              <w:rPr>
                <w:sz w:val="20"/>
                <w:szCs w:val="20"/>
                <w:color w:val="auto"/>
              </w:rPr>
            </w:pPr>
          </w:p>
        </w:tc>
        <w:tc>
          <w:tcPr>
            <w:tcW w:w="1500" w:type="dxa"/>
            <w:vAlign w:val="bottom"/>
            <w:gridSpan w:val="4"/>
          </w:tcPr>
          <w:p>
            <w:pPr>
              <w:jc w:val="right"/>
              <w:ind w:right="168"/>
              <w:spacing w:after="0"/>
              <w:rPr>
                <w:sz w:val="20"/>
                <w:szCs w:val="20"/>
                <w:color w:val="auto"/>
              </w:rPr>
            </w:pPr>
            <w:r>
              <w:rPr>
                <w:rFonts w:ascii="Times New Roman" w:cs="Times New Roman" w:eastAsia="Times New Roman" w:hAnsi="Times New Roman"/>
                <w:sz w:val="18"/>
                <w:szCs w:val="18"/>
                <w:color w:val="auto"/>
              </w:rPr>
              <w:t>(123,192)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(54,808)</w:t>
            </w:r>
          </w:p>
        </w:tc>
        <w:tc>
          <w:tcPr>
            <w:tcW w:w="120" w:type="dxa"/>
            <w:vAlign w:val="bottom"/>
          </w:tcPr>
          <w:p>
            <w:pPr>
              <w:spacing w:after="0"/>
              <w:rPr>
                <w:sz w:val="20"/>
                <w:szCs w:val="20"/>
                <w:color w:val="auto"/>
              </w:rPr>
            </w:pP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8,514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(8,392)</w:t>
            </w: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(287,052)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(25,127)</w:t>
            </w:r>
          </w:p>
        </w:tc>
        <w:tc>
          <w:tcPr>
            <w:tcW w:w="102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(95,795)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62,818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107,905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132,126</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177,628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197,710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13,850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 increase (decrease)</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square feet at end of period (in</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millions)</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(5)</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8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0"/>
                <w:szCs w:val="10"/>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60" w:type="dxa"/>
            <w:vAlign w:val="bottom"/>
          </w:tcPr>
          <w:p>
            <w:pPr>
              <w:spacing w:after="0"/>
              <w:rPr>
                <w:sz w:val="10"/>
                <w:szCs w:val="10"/>
                <w:color w:val="auto"/>
              </w:rPr>
            </w:pP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0"/>
                <w:szCs w:val="10"/>
                <w:color w:val="auto"/>
              </w:rPr>
            </w:pPr>
          </w:p>
        </w:tc>
        <w:tc>
          <w:tcPr>
            <w:tcW w:w="80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149,385</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75,691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31,045</w:t>
            </w: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55,077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884,029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52,090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1,099,749</w:t>
            </w: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1,134,156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1,223,486</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1,028,032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899,086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1,203,806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(7)</w:t>
            </w: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538,795</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582,789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605,083</w:t>
            </w: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491,126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344,511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758,081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495,572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(7)</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4,331,321</w:t>
            </w: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3,238,957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3,323,046</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3,258,354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3,257,275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4,842,848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4,366,629</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debt, net of deferred loan</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1,462,658</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1,625,060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1,675,356</w:t>
            </w:r>
          </w:p>
        </w:tc>
        <w:tc>
          <w:tcPr>
            <w:tcW w:w="1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1,681,264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1,699,360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1,431,050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1,488,358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988,219</w:t>
            </w: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857,039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832,687</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756,262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689,106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1,149,096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540" w:right="120" w:hanging="424"/>
        <w:spacing w:after="0" w:line="253"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half 2020, 2019 and 2017, we repurchased principal on our Term Loan Facility, which was trading at a discount, and recognized as a gain, net of the write-off of related deferred loan costs. In first half 2020, we repurchased a total of $23.9 million of principal in open market transactions for an aggregate purchase price of $16.0 million and recognized a related net gain of $7.8 million. In 2019, we repurchased a total of $147.7 million of principal in open market transactions for an aggregate purchase price of $104.6 million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and recognized a related net gain of $42.3 million. In 2017, we repurchased $26.2 million of principal in open market transactions for an aggregate purchase price of $19.7 million and recognized a related net gain of $6.3 million. In 2015, we entered into the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3" w:lineRule="exact"/>
        <w:rPr>
          <w:sz w:val="20"/>
          <w:szCs w:val="20"/>
          <w:color w:val="auto"/>
        </w:rPr>
      </w:pPr>
    </w:p>
    <w:p>
      <w:pPr>
        <w:ind w:left="54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income data gives effect to the anticipated conversion of New Academy Holding Company, LLC to a C corporation. We are currently treated as a flow through entity for U.S. federal income tax purposes, and thus no federal income tax expense has been recorded in our consolidated statements of income (loss). After consummation of this offering, we will become subject to U.S. federal income taxes and additional state income taxes and be taxed at the prevailing corporate rates. The pro forma tax expense assumed in the pro forma net income data is estimated to be 24.5% plus certain state taxes we currently include in income tax expense as a flow through entity. Our actual income tax rate, and our actual income tax liability, after this offering may be different from our assumed rate, and such difference may be material.</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pro forma net income per share data for 2019 and for the twenty-six weeks ended August 1, 2020 also assumes that $</w:t>
      </w:r>
    </w:p>
    <w:p>
      <w:pPr>
        <w:spacing w:after="0" w:line="9" w:lineRule="exact"/>
        <w:rPr>
          <w:rFonts w:ascii="Times New Roman" w:cs="Times New Roman" w:eastAsia="Times New Roman" w:hAnsi="Times New Roman"/>
          <w:sz w:val="18"/>
          <w:szCs w:val="18"/>
          <w:color w:val="auto"/>
        </w:rPr>
      </w:pPr>
    </w:p>
    <w:p>
      <w:pPr>
        <w:ind w:left="540" w:right="1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million of the proceeds of the proposed offering were used to fund the one-time special distribution to our unitholders paid on August 28, 2020. The number of shares of common stock that we would have been required to issue to fund the distribution was calculated by dividing the $ million (representing the amount by which the $257.0 million gross amount of the special distribution exceeds historical net income during 2019</w:t>
      </w:r>
    </w:p>
    <w:p>
      <w:pPr>
        <w:ind w:left="540" w:right="20"/>
        <w:spacing w:after="0" w:line="252" w:lineRule="auto"/>
        <w:rPr>
          <w:sz w:val="20"/>
          <w:szCs w:val="20"/>
          <w:color w:val="auto"/>
        </w:rPr>
      </w:pPr>
      <w:r>
        <w:rPr>
          <w:rFonts w:ascii="Times New Roman" w:cs="Times New Roman" w:eastAsia="Times New Roman" w:hAnsi="Times New Roman"/>
          <w:sz w:val="18"/>
          <w:szCs w:val="18"/>
          <w:color w:val="auto"/>
        </w:rPr>
        <w:t>or the previous twelve months ended August 1, 2020, as applicable) by an assumed initial public offering price of $ per share, which is the midpoint of the estimated price range set forth on the cover page of this prospectus. The number of shares used for purposes of pro forma per share data represents the total number of shares that would have been outstanding for 2019 or for the twenty-six weeks ended August 1, 2020, as applicable, after giving effect to such number of shares of common stock, the proceeds of which is assumed to be used to fund the distribution, but not the other shares to be issued and sold in the offering. As such, the number of shares being added to the denominator for purposes of pro forma per share data will not exceed the total number of shares to be issued in the offering.</w:t>
      </w:r>
    </w:p>
    <w:p>
      <w:pPr>
        <w:spacing w:after="0" w:line="190"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computation of our unaudited basic and diluted pro forma net income per share for 2019 and the twenty-six weeks ended August 1, 2020:</w:t>
      </w:r>
    </w:p>
    <w:p>
      <w:pPr>
        <w:spacing w:after="0" w:line="4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32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3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80" w:type="dxa"/>
            <w:vAlign w:val="bottom"/>
          </w:tcPr>
          <w:p>
            <w:pPr>
              <w:spacing w:after="0"/>
              <w:rPr>
                <w:sz w:val="15"/>
                <w:szCs w:val="15"/>
                <w:color w:val="auto"/>
              </w:rPr>
            </w:pPr>
          </w:p>
        </w:tc>
        <w:tc>
          <w:tcPr>
            <w:tcW w:w="128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0" w:type="dxa"/>
            <w:vAlign w:val="bottom"/>
          </w:tcPr>
          <w:p>
            <w:pPr>
              <w:spacing w:after="0"/>
              <w:rPr>
                <w:sz w:val="1"/>
                <w:szCs w:val="1"/>
                <w:color w:val="auto"/>
              </w:rPr>
            </w:pPr>
          </w:p>
        </w:tc>
      </w:tr>
      <w:tr>
        <w:trPr>
          <w:trHeight w:val="144"/>
        </w:trPr>
        <w:tc>
          <w:tcPr>
            <w:tcW w:w="6100" w:type="dxa"/>
            <w:vAlign w:val="bottom"/>
            <w:vMerge w:val="continue"/>
          </w:tcPr>
          <w:p>
            <w:pPr>
              <w:spacing w:after="0"/>
              <w:rPr>
                <w:sz w:val="12"/>
                <w:szCs w:val="12"/>
                <w:color w:val="auto"/>
              </w:rPr>
            </w:pPr>
          </w:p>
        </w:tc>
        <w:tc>
          <w:tcPr>
            <w:tcW w:w="760" w:type="dxa"/>
            <w:vAlign w:val="bottom"/>
            <w:tcBorders>
              <w:top w:val="single" w:sz="8" w:color="auto"/>
            </w:tcBorders>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Basic</w:t>
            </w:r>
          </w:p>
        </w:tc>
        <w:tc>
          <w:tcPr>
            <w:tcW w:w="900" w:type="dxa"/>
            <w:vAlign w:val="bottom"/>
            <w:tcBorders>
              <w:top w:val="single" w:sz="8" w:color="auto"/>
            </w:tcBorders>
          </w:tcPr>
          <w:p>
            <w:pPr>
              <w:ind w:left="380"/>
              <w:spacing w:after="0" w:line="144"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60" w:type="dxa"/>
            <w:vAlign w:val="bottom"/>
          </w:tcPr>
          <w:p>
            <w:pPr>
              <w:spacing w:after="0"/>
              <w:rPr>
                <w:sz w:val="12"/>
                <w:szCs w:val="12"/>
                <w:color w:val="auto"/>
              </w:rPr>
            </w:pPr>
          </w:p>
        </w:tc>
        <w:tc>
          <w:tcPr>
            <w:tcW w:w="380" w:type="dxa"/>
            <w:vAlign w:val="bottom"/>
            <w:tcBorders>
              <w:top w:val="single" w:sz="8" w:color="auto"/>
            </w:tcBorders>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Basic</w:t>
            </w:r>
          </w:p>
        </w:tc>
        <w:tc>
          <w:tcPr>
            <w:tcW w:w="1280" w:type="dxa"/>
            <w:vAlign w:val="bottom"/>
            <w:tcBorders>
              <w:top w:val="single" w:sz="8" w:color="auto"/>
            </w:tcBorders>
          </w:tcPr>
          <w:p>
            <w:pPr>
              <w:ind w:left="760"/>
              <w:spacing w:after="0" w:line="144" w:lineRule="exact"/>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wp:posOffset>
            </wp:positionV>
            <wp:extent cx="642937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Pro forma net income</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6429375"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9375" cy="27432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related to the distribution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642937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Pro forma net income per share</w:t>
      </w:r>
    </w:p>
    <w:p>
      <w:pPr>
        <w:spacing w:after="0" w:line="112" w:lineRule="exact"/>
        <w:rPr>
          <w:sz w:val="20"/>
          <w:szCs w:val="20"/>
          <w:color w:val="auto"/>
        </w:rPr>
      </w:pPr>
    </w:p>
    <w:p>
      <w:pPr>
        <w:ind w:left="540" w:right="260" w:hanging="424"/>
        <w:spacing w:after="0" w:line="261"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balance sheet data as of August 1, 2020 gives effect to the use of $248.0 million of cash on hand to fund the special distribution and the</w:t>
      </w:r>
    </w:p>
    <w:p>
      <w:pPr>
        <w:spacing w:after="0" w:line="9" w:lineRule="exact"/>
        <w:rPr>
          <w:sz w:val="20"/>
          <w:szCs w:val="20"/>
          <w:color w:val="auto"/>
        </w:rPr>
      </w:pPr>
    </w:p>
    <w:p>
      <w:pPr>
        <w:ind w:left="540"/>
        <w:spacing w:after="0"/>
        <w:tabs>
          <w:tab w:leader="none" w:pos="1740" w:val="left"/>
        </w:tabs>
        <w:rPr>
          <w:sz w:val="20"/>
          <w:szCs w:val="20"/>
          <w:color w:val="auto"/>
        </w:rPr>
      </w:pPr>
      <w:r>
        <w:rPr>
          <w:rFonts w:ascii="Times New Roman" w:cs="Times New Roman" w:eastAsia="Times New Roman" w:hAnsi="Times New Roman"/>
          <w:sz w:val="18"/>
          <w:szCs w:val="18"/>
          <w:color w:val="auto"/>
        </w:rPr>
        <w:t>related $</w:t>
      </w:r>
      <w:r>
        <w:rPr>
          <w:sz w:val="20"/>
          <w:szCs w:val="20"/>
          <w:color w:val="auto"/>
        </w:rPr>
        <w:tab/>
      </w:r>
      <w:r>
        <w:rPr>
          <w:rFonts w:ascii="Times New Roman" w:cs="Times New Roman" w:eastAsia="Times New Roman" w:hAnsi="Times New Roman"/>
          <w:sz w:val="17"/>
          <w:szCs w:val="17"/>
          <w:color w:val="auto"/>
        </w:rPr>
        <w:t>million decrease to the partners’ equity.</w:t>
      </w:r>
    </w:p>
    <w:p>
      <w:pPr>
        <w:spacing w:after="0" w:line="9" w:lineRule="exact"/>
        <w:rPr>
          <w:sz w:val="20"/>
          <w:szCs w:val="20"/>
          <w:color w:val="auto"/>
        </w:rPr>
      </w:pPr>
    </w:p>
    <w:p>
      <w:pPr>
        <w:ind w:left="540" w:right="20" w:hanging="424"/>
        <w:spacing w:after="0" w:line="253"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analyzes the financial condition and results of operations of New Academy Holding Company, LLC and its subsidiaries and should be read in conjunction with our consolidated financial statements and related notes included elsewhere in this prospectus. The historical consolidated financial data of Academy Sports and Outdoors, Inc. is not discussed below, as Academy Sports and Outdoors, Inc. is a newly incorporated entity, has had no business transactions or activities to date other than in connection with its formation and this offering and had no assets or liabilities during the periods presented in this section. Prior to the consummation of this offering, New Academy Holding Company, LLC, the current holding company for the business described in this prospectus, will be contributed to Academy Sports and Outdoors, Inc., by its unitholders and become a wholly owned subsidiary of Academy Sports and Outdoors, Inc. and Academy Sports and Outdoors, Inc. will be the holding company of the business described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96"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Fiscal</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Ended</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Weeks</w:t>
            </w:r>
          </w:p>
        </w:tc>
        <w:tc>
          <w:tcPr>
            <w:tcW w:w="0" w:type="dxa"/>
            <w:vAlign w:val="bottom"/>
          </w:tcPr>
          <w:p>
            <w:pPr>
              <w:spacing w:after="0"/>
              <w:rPr>
                <w:sz w:val="1"/>
                <w:szCs w:val="1"/>
                <w:color w:val="auto"/>
              </w:rPr>
            </w:pPr>
          </w:p>
        </w:tc>
      </w:tr>
      <w:tr>
        <w:trPr>
          <w:trHeight w:val="189"/>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5"/>
              </w:rPr>
              <w:t>Year</w:t>
            </w:r>
          </w:p>
        </w:tc>
        <w:tc>
          <w:tcPr>
            <w:tcW w:w="3620" w:type="dxa"/>
            <w:vAlign w:val="bottom"/>
            <w:gridSpan w:val="2"/>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2019</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February 1, 2020</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2018</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2, 2019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3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2017</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3, 2018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reference in this discussion and analysis to the “first half 2020” or similar reference refers to the twenty-six week period ended August 1, 2020, any reference to “first half 2019” or similar reference refers to the twenty-six week period ended August 3, 2019, and any reference to “first quarter 2020” or similar reference refers to the thirteen week period ended May 2, 2020, and any reference to “first quarter 2019” or similar reference refers to the thirteen week period ended May 4, 2019.</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of August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Trends and Other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Overall Economic Trends</w:t>
      </w:r>
      <w:r>
        <w:rPr>
          <w:rFonts w:ascii="Times New Roman" w:cs="Times New Roman" w:eastAsia="Times New Roman" w:hAnsi="Times New Roman"/>
          <w:sz w:val="18"/>
          <w:szCs w:val="18"/>
          <w:color w:val="auto"/>
        </w:rPr>
        <w:t>. All of our sales are generated within the United States, making our results of operations highly dependent on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Consumer Preferences and Demands. </w:t>
      </w:r>
      <w:r>
        <w:rPr>
          <w:rFonts w:ascii="Times New Roman" w:cs="Times New Roman" w:eastAsia="Times New Roman" w:hAnsi="Times New Roman"/>
          <w:sz w:val="18"/>
          <w:szCs w:val="18"/>
          <w:color w:val="auto"/>
        </w:rPr>
        <w:t>The level of success we achieve is dependent on, among other factors, how accurately and timely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8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Strategic Inventory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must maintain sufficient inventory levels of merchandise that our customers desire to successfully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A shortage of popular merchandise could reduce our net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Much of our margin expansion from 2017 through 2019 can be attributed to our improvements in inventory management. We have deployed several new tools over recent years to improve inventory handling and vendor management, including third party programs to analyze our inventory stock and execute a disciplined markdown strategy throughout the year at every location. This implementation has allowed us to improve our inventory management in stores, increasing our average inventory turns from 2.68x in 2017 to 2.84x in 2019 and 3.36x in first half 2020,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Value Strategy</w:t>
      </w:r>
      <w:r>
        <w:rPr>
          <w:rFonts w:ascii="Times New Roman" w:cs="Times New Roman" w:eastAsia="Times New Roman" w:hAnsi="Times New Roman"/>
          <w:sz w:val="18"/>
          <w:szCs w:val="18"/>
          <w:color w:val="auto"/>
        </w:rPr>
        <w:t>. We offer a broad assortment of products at competitive prices that offer extraordinary value. Our in-store experience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88"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E-commerce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BOPIS. </w:t>
      </w:r>
      <w:r>
        <w:rPr>
          <w:rFonts w:ascii="Times New Roman" w:cs="Times New Roman" w:eastAsia="Times New Roman" w:hAnsi="Times New Roman"/>
          <w:sz w:val="17"/>
          <w:szCs w:val="17"/>
          <w:color w:val="auto"/>
        </w:rPr>
        <w:t>We expect that the expansion and enhancement of our omnichannel capabilities will be a key driver of growth in our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sales and gross margin. We continue to invest in initiatives that will increase traffic to our e-commerce website, which reached over 217 million visits in 2019, and drive increased online sales conversion. Our improved website also supports our stores with digital marketing and our BOPIS program. Since we launched our BOPIS program in 2019, we have seen significant penetration in e-commerce that generates high average order value and incremental in-store purchases. In 2019 and the twenty-six weeks ended August 1, 2020, BOPIS accounted for 24% and 50%, respectively, of our e-commerce sales and 1% and 5.4%, respectively, of total net sales for such periods. Our website also has allowed us to reach customers outside of our current store footprint and is also introducing new customers to the Academy brand, with approximately 25% of our first half 2020 e-commerce sales coming from new households.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the first half 2020. Since 2011, we have made a $225 million investment in our omnichannel and information technology capabilities. We expect that expanding and enhancing these capabilities, including BOPIS, will continue to require significant investments by us.</w:t>
      </w:r>
    </w:p>
    <w:p>
      <w:pPr>
        <w:spacing w:after="0" w:line="179"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Competition</w:t>
      </w:r>
      <w:r>
        <w:rPr>
          <w:rFonts w:ascii="Times New Roman" w:cs="Times New Roman" w:eastAsia="Times New Roman" w:hAnsi="Times New Roman"/>
          <w:sz w:val="18"/>
          <w:szCs w:val="18"/>
          <w:color w:val="auto"/>
        </w:rPr>
        <w:t>. The U.S. sporting goods and outdoor recreation retail industries are highly competitive and fragmented. We compete with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Sourcing and Supply Chain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business to be successful, our suppliers must provide us with quality products in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We depend on approximately 1,300 suppliers to supply us in a timely and efficient manner with the merchandise we purchase for resale.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New Store Openings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that new stores will be a key driver of growth in our net sales and gross margin in the future. Our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have significant whitespace in both our core markets and green field markets.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Interim Results and Seasonality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is subject to seasonal fluctuations. A significant portion of our net sales and profits is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53rd Week</w:t>
      </w:r>
      <w:r>
        <w:rPr>
          <w:rFonts w:ascii="Times New Roman" w:cs="Times New Roman" w:eastAsia="Times New Roman" w:hAnsi="Times New Roman"/>
          <w:sz w:val="18"/>
          <w:szCs w:val="18"/>
          <w:color w:val="auto"/>
        </w:rPr>
        <w:t>. We operate on the retail industry’s 4-5-4 calendar. The 4-5-4 calendar is a guide for retailers that ensures sales comparability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outbreak of COVID-19, which has been declared a global pandemic by the World Health Organization, has affected our business, as well as our customers, team members and suppliers, and resulted in federal, state and local governmental authority safety recommendations and requirements aimed at mitigating the spread of the virus, such as stay-at-home orders, prohibitions of large group gatherings, travel restrictions and closures of certain businesses.</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and have worked with our business partners to modify vendor and landlord payments and terms. Our temporary furlough period ended by June 8, 2020 for all of our store, distribution center and corporate team members, and on June 25, 2020, we completed repaying the $500 million draw on the ABL Facility. All three of our distribution centers remained open during the thirteen weeks ended May 2, 2020 and as of May 2, 2020, 257 of our 259 stores were fully operational.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impact of the pandemic and actions taken in response to it had varying effects on our results of operations and our business was extremely unpredictable during the thirteen weeks ended May 2, 2020. However, as an essential retailer, we have been able to serve our customers as their needs evolved during the pandemic. In early March 2020, we saw the acceleration of sales in specific categories, such as outdoor cooking, 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we experienced decreased sales of certain of our offerings, primarily for apparel and footwear, and have had to cancel certain of our purchase orders for these products.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have also seen a significant increase in customers purchasing our products through omnichannel platforms, specifically as customers increasingly take advantage of our curbside pickup service, which we launched during the thirteen weeks ended May 2, 2020.</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actions by government authorities to contain the outbreak or treat its impact, and changes in consumer behavior resulting from the outbreak and such government actions. See “Risk Factors—Risks Related to Our Business—The impact of COVID-19 may adversely affect our business and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Comparable Sales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after thirteen full fiscal months, as well as for all e-commerce sales.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sales to comparable sales.</w:t>
      </w:r>
    </w:p>
    <w:p>
      <w:pPr>
        <w:spacing w:after="0" w:line="18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Various factors affect comparable sales and adjusted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83"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Adjusted EBITDA, Adjusted Net Income (Loss), Pro Forma Adjusted Net Income (Loss) and Adjusted Free Cash Flow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Adjusted Net Income (Loss), Pro Forma</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 See “—Non-GAAP Measures” below.</w:t>
      </w:r>
    </w:p>
    <w:p>
      <w:pPr>
        <w:spacing w:after="0" w:line="176"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E-commerce Penetration. </w:t>
      </w:r>
      <w:r>
        <w:rPr>
          <w:rFonts w:ascii="Times New Roman" w:cs="Times New Roman" w:eastAsia="Times New Roman" w:hAnsi="Times New Roman"/>
          <w:sz w:val="18"/>
          <w:szCs w:val="18"/>
          <w:color w:val="auto"/>
        </w:rPr>
        <w:t>E-commerce penetration is defined as total e-commerce merchandise sales (which includes BOPIS) divided by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merchandise sales.</w:t>
      </w:r>
    </w:p>
    <w:p>
      <w:pPr>
        <w:spacing w:after="0" w:line="15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key financial and operating metrics (with nearest GAAP measures where applicable) for the periods indicated: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6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8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$ 120,043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21,442</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58,501</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7"/>
              </w:rPr>
              <w:t>$157,656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322,814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315,420</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282,902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156,837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101,469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57,774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74,472</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179,106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Adjusted Net Income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43,125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55,538</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134,844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263,669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198,481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83,355</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773,621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103,961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$ 196,886</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99,454</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(32,546)</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7"/>
              </w:rPr>
              <w:t>$759,771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penetration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profitability is primarily influenced by fluctuations in net sales, gross margin and our ability to leverage selling, general and administrative expenses.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72"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7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76" w:lineRule="exact"/>
        <w:rPr>
          <w:sz w:val="20"/>
          <w:szCs w:val="20"/>
          <w:color w:val="auto"/>
        </w:rPr>
      </w:pPr>
    </w:p>
    <w:p>
      <w:pPr>
        <w:ind w:left="120" w:right="9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general and administrative, or SG&amp;A, expenses include store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payroll and payroll benefits, store and corporate headquarters</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We expect that our SG&amp;A expenses will increase in future periods due to our continuing growth and in part to additional legal, accounting, insurance and other expenses we expect to incur as a result of being a public company.</w:t>
      </w:r>
    </w:p>
    <w:p>
      <w:pPr>
        <w:spacing w:after="0" w:line="18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Academy Holding Company, LLC is currently treated as a flow through entity for U.S. federal income tax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thus no federal income tax expense has been recorded in our consolidated statements of income. Our tax rate is almost entirely the result of state income taxes. After consummation of this offering, Academy Sports and Outdoors, Inc. will become subject to U.S. federal income taxes and we will be taxed at the prevailing corporate tax rates. We will be treated as a U.S. corporation for U.S. federal, state, and local income tax purposes after this offering and accordingly, a provision for income taxes will be recorded for the anticipated tax consequences of our reported results of operations for federal, state and local income taxes.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1, 2020 Compared to Twenty-Six Weeks Ended August 3, 2019</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2,742,721</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2,314,202</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428,519</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1,948,275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1,616,002</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69.8 %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332,273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29.0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698,200</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614,172</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26.5 %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84,028</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113,782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48,088</w:t>
            </w: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52,586</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(7,831)</w:t>
            </w:r>
          </w:p>
        </w:tc>
        <w:tc>
          <w:tcPr>
            <w:tcW w:w="9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(42,265)</w:t>
            </w:r>
          </w:p>
        </w:tc>
        <w:tc>
          <w:tcPr>
            <w:tcW w:w="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34,434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(1,621)</w:t>
            </w: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(1,454)</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75,161</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73,753</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83,903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Percentages in table may not sum properly due to rounding.</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3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6060" w:type="dxa"/>
            <w:vAlign w:val="bottom"/>
          </w:tcPr>
          <w:p>
            <w:pPr>
              <w:spacing w:after="0"/>
              <w:rPr>
                <w:sz w:val="10"/>
                <w:szCs w:val="10"/>
                <w:color w:val="auto"/>
              </w:rPr>
            </w:pPr>
          </w:p>
        </w:tc>
        <w:tc>
          <w:tcPr>
            <w:tcW w:w="14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259</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Closed</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Relocated stores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increased $428.5 million, or 18.5%, for the first half 2020 compared to the first half 2019 as a result of additional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generated by new locations, as well as increased comparable sales of 15.9%. As of the end of first half 2020, we operated a net five additional stores as compared to the end of first half 2019 and we had a full benefit of three stores opened during the prior year-to-date. Collectively, these five additional stores accounted for a net $53.2 million increase in net sales for the first half 2020.</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15.9% increase in comparable sales resulted from a 47.3% increase in the outdoors merchandise division and a 22.6% increase in the sports and recreation merchandise divisions, partially offset by declines of 6.5% and 3.3% in the footwear and apparel divisions, respectively. The effects of the COVID-19 pandemic during this period have caused significant increases in popularity of isolated recreation, outdoor and leisure activities that we believe have driven the increases in our outdoors and sports and recreation merchandise divisions. Likewise, we believe that the decreases in our apparel and footwear merchandise divisions were predominately driven by a temporary but significant shift in customer behavior at the substantial beginning of the COVID-19 pandemic, which saw customers focus on purchasing primarily isolated recreation, outdoor and leisure activity products in addition to “essential items.” The outdoors division increase was driven primarily by strong sales in firearms, ammunition and fishing products. The sports and recreation division sales increased as a result of various products such as fitness equipment and accessories, bikes, patio and watersports, barbecues and grills, trampolines, outdoor games and play sets. These increases were partially offset by declining sales in the team sports category. The footwear division sales decreased due to declines in the team sports category and the work, casual and youth category. The apparel division decreased as a result of declines in the outdoor and seasonal apparel and licensed apparel products, partially offset by increases in the athletic apparel products. We believe that the substantial increase in e-commerce sales described below and ongoing improvements to our business, such as enhancements to our merchandising planning and allocation capabilities that began in February 2019 and the launch of the Academy Credit Card in May 2019, together with our big-box store format and the implementation of a number of safety measures within our stores in response to COVID-19 that helped facilitate our customers’ ability to obtain the products they sought in a safe manner, contributed to the increase in comparable sales during this period.</w:t>
      </w:r>
    </w:p>
    <w:p>
      <w:pPr>
        <w:spacing w:after="0" w:line="19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E-commerce net sales increased $220.6 million, or 283.5%, for the first half 2020 compared to the first half 2019 and represented 10.9% of merchandise sales for the first half 2020 compared to 3.4% in the first half 2019. This increase was driven by a change in consumer shopping preferences and sales restrictions resulting from the COVID-19 pandemic. Additionally, enhancements to our website and omnichannel capabilities, such as the introduction of BOPIS at the end of the second quarter 2019 and rapid development of curbside fulfillment to further support BOPIS in the first half 2020, have positioned us well to benefit from such changing consumer preferences and contributed to the increase in e-commerce sales.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$96.2 million, or 13.8%, to $794.4 million for the first half 2020 from $698.2 million for the first 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As a percentage of net sales, gross margin decreased 1.2% from 30.2% for the first half 2019 to 29.0% in the first half 2020. The decrease of 120 basis points in gross margin is primarily attributable to:</w:t>
      </w:r>
    </w:p>
    <w:p>
      <w:pPr>
        <w:spacing w:after="0" w:line="80"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basis points of unfavorability related to import freight as a result of increased duties on products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basis points of unfavorability as a result of decreased vendor allowances including new store allowances;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increased inventory shrinkage;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basis points of unfavorability in merchandise margins from higher first half 2020 sales of lower margin goods.</w:t>
      </w:r>
    </w:p>
    <w:p>
      <w:pPr>
        <w:spacing w:after="0" w:line="221"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$17.5 million, or 2.9%, to $596.6 million in the first half 2020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$614.2 million in the first half 2019. As a percentage of net sales, SG&amp;A expenses were down 4.7% to 21.8% in the first half 2020 compared to 26.5% in the first half 2019. The decrease of 470 basis points in SG&amp;A is primarily attributable to:</w:t>
      </w:r>
    </w:p>
    <w:p>
      <w:pPr>
        <w:spacing w:after="0" w:line="80" w:lineRule="exact"/>
        <w:rPr>
          <w:sz w:val="20"/>
          <w:szCs w:val="20"/>
          <w:color w:val="auto"/>
        </w:rPr>
      </w:pPr>
    </w:p>
    <w:p>
      <w:pPr>
        <w:ind w:left="1080" w:right="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basis point decrease in employee costs as a result of leverage and a reduction of costs that are primarily wage related from temporary salary cuts, reduction of hours and furloughs and permanent headcount reductions, partially offset by increased incentive compensation during the first half 2020;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basis point decrease in advertising due to leverage and reduced marketing and promotional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declines as a result of leveraging SG&amp;A costs on increased sales.</w:t>
      </w:r>
    </w:p>
    <w:p>
      <w:pPr>
        <w:spacing w:after="0" w:line="221"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decreased $4.5 million, or 8.6%, in the first half 2020 when compared to the first half 2019, primarily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result of a lower outstanding principal balance and interest rates on our 2015 Term Loan Facility from prior year and current year principal repurchases of $147.7 million and $23.9 million, respectively, partially offset by higher interest on our ABL Facility due to a higher average outstanding balance.</w:t>
      </w:r>
    </w:p>
    <w:p>
      <w:pPr>
        <w:spacing w:after="0" w:line="15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early retirement of debt, net. </w:t>
      </w:r>
      <w:r>
        <w:rPr>
          <w:rFonts w:ascii="Times New Roman" w:cs="Times New Roman" w:eastAsia="Times New Roman" w:hAnsi="Times New Roman"/>
          <w:sz w:val="18"/>
          <w:szCs w:val="18"/>
          <w:color w:val="auto"/>
        </w:rPr>
        <w:t>Gain on early retirement of debt, net decreased $34.4 million, or 81.5%, to $7.8 million from $42.3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first half 2019. During the first half 2020, we repurchased $23.9 million in principal on the 2015 Term Loan Facility, which was trading at a discount, in open market transactions for $16.0 million and recognized a net gain of $7.8 million. During the first half 2019, we repurchased $147.7 million in principal on the 2015 Term Loan Facility, which was trading at a discount, in open market transactions for $104.6 million and recognized a net gain of $42.3 million.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60"/>
          </w:cols>
          <w:pgMar w:left="320" w:top="455" w:right="5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(52 weeks) Compared to 2018 (52 weeks)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gridSpan w:val="4"/>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4,829,897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4,783,893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$ 46,004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3,398,743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3,415,941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(17,198)</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1,431,154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1,367,952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1,251,733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1,239,002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12,731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128,950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101,307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(42,265)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(3,095)</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120,043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$ 98,601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Borders>
              <w:top w:val="single" w:sz="8" w:color="auto"/>
            </w:tcBorders>
            <w:gridSpan w:val="6"/>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increased $46.0 million, or 1.0%, in 2019 over the prior year. The 1.0% increase was driven primarily by additional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new locations, partially offset by a decline in comparable sales of 0.7%. As of the end of 2019, we operated a net six additional stores compared to the end of 2018, and we had the full benefit of nine stores opened during the prior year. These stores generated sales of $84.8 million, or 1.8% of net sales.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0.7% comparable sales decline was driven by a 6.3% decrease in comparable sales from the sports and recreation merchandise division and a 3.1% decrease in the outdoors merchandise division. Declines in each category within the sports and recreation merchandise division, which includes team sports/fitness and recreation, were partially driven by planned exits in product types (such as certain outdoor games and electronics) that did not fit within our future assortment strategies during 2019. The outdoors merchandise division decreased as a result of declines from camping and cooking sales during 2019, as well as lower demand for firearms and ammunition during the first and second quarter 2019. These decreases were largely offset by a</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comparable sales increase of 4.7% in apparel and 1.0% in footwear. The apparel merchandise division increased as a result of positive comparable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sales increased, which was the result of an increase in the work and casual footwear category, partially offset by a decrease in athletic footwear. Although we had an overall decrease in comparable sales in 2019, we had positive comparable sales in the back half of 2019. We believe that improvements to our business in the back half of 2019, such as improvements to our website and omnichannel capabilities, including the introduction of BOPIS in July 2019, continued enhancements to our merchandise planning and allocation capabilities, and the launch of the Academy Credit Card in May 2019 were key factors that saw the increase of comparable sales in the back half of 2019.</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7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2019 increased $63.2 million, or 4.6%, when compared to 2018.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29.6% in 2019 compared to 28.6% in 2018, an increase of 100 basis points. This increase is primarily due to:</w:t>
      </w:r>
    </w:p>
    <w:p>
      <w:pPr>
        <w:spacing w:after="0" w:line="64"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basis points of favorability on merchandise margins from favorability in inventory valuation adjustments relative to the prior year;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increased $12.7 million, or 1.0%, to $1,251.7 million in 2019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$1,239.0 million in 2018. As a percentage of net sales, SG&amp;A remained flat at 25.9% in 2019 compared to 2018. The notable changes within SG&amp;A were as follows:</w:t>
      </w:r>
    </w:p>
    <w:p>
      <w:pPr>
        <w:spacing w:after="0" w:line="80" w:lineRule="exact"/>
        <w:rPr>
          <w:sz w:val="20"/>
          <w:szCs w:val="20"/>
          <w:color w:val="auto"/>
        </w:rPr>
      </w:pPr>
    </w:p>
    <w:p>
      <w:pPr>
        <w:ind w:left="1080" w:right="2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5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decreased $7.3 million, or 6.8%, to $101.3 million in 2019 from $108.7 million in 2018, resulting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lower outstanding balance on our Term Loan Facility due to the principal repurchases of $147.7 million during 2019.</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(52 weeks) Compared to 2017 (53 weeks)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When a 52-week fiscal year follows a 53-week fiscal year, the comparable sales calculation is based on the prior fiscal year’s sales shifted forward one week, as we believe this best approximates current trends in our business.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160" w:type="dxa"/>
            <w:vAlign w:val="bottom"/>
          </w:tcPr>
          <w:p>
            <w:pPr>
              <w:spacing w:after="0"/>
              <w:rPr>
                <w:sz w:val="13"/>
                <w:szCs w:val="13"/>
                <w:color w:val="auto"/>
              </w:rPr>
            </w:pPr>
          </w:p>
        </w:tc>
        <w:tc>
          <w:tcPr>
            <w:tcW w:w="20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color w:val="auto"/>
                <w:w w:val="98"/>
              </w:rPr>
              <w:t>Basis</w:t>
            </w:r>
          </w:p>
        </w:tc>
        <w:tc>
          <w:tcPr>
            <w:tcW w:w="30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color w:val="auto"/>
              </w:rPr>
              <w:t>Current Year</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Prior Year Comparable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Comparable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116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306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Comparable Period</w:t>
            </w:r>
          </w:p>
        </w:tc>
        <w:tc>
          <w:tcPr>
            <w:tcW w:w="304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185"/>
        </w:trPr>
        <w:tc>
          <w:tcPr>
            <w:tcW w:w="7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2018</w:t>
            </w:r>
          </w:p>
        </w:tc>
        <w:tc>
          <w:tcPr>
            <w:tcW w:w="1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Comparable</w:t>
            </w:r>
          </w:p>
        </w:tc>
        <w:tc>
          <w:tcPr>
            <w:tcW w:w="9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rPr>
              <w:t>February 2, 2019</w:t>
            </w:r>
          </w:p>
        </w:tc>
        <w:tc>
          <w:tcPr>
            <w:tcW w:w="304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8"/>
              </w:rPr>
              <w:t>February 3, 2018</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198"/>
        </w:trPr>
        <w:tc>
          <w:tcPr>
            <w:tcW w:w="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1160" w:type="dxa"/>
            <w:vAlign w:val="bottom"/>
          </w:tcPr>
          <w:p>
            <w:pPr>
              <w:spacing w:after="0"/>
              <w:rPr>
                <w:sz w:val="17"/>
                <w:szCs w:val="17"/>
                <w:color w:val="auto"/>
              </w:rPr>
            </w:pPr>
          </w:p>
        </w:tc>
        <w:tc>
          <w:tcPr>
            <w:tcW w:w="2080" w:type="dxa"/>
            <w:vAlign w:val="bottom"/>
            <w:gridSpan w:val="2"/>
          </w:tcPr>
          <w:p>
            <w:pPr>
              <w:jc w:val="center"/>
              <w:ind w:right="1000"/>
              <w:spacing w:after="0" w:line="198" w:lineRule="exact"/>
              <w:rPr>
                <w:sz w:val="20"/>
                <w:szCs w:val="20"/>
                <w:color w:val="auto"/>
              </w:rPr>
            </w:pPr>
            <w:r>
              <w:rPr>
                <w:rFonts w:ascii="Times New Roman" w:cs="Times New Roman" w:eastAsia="Times New Roman" w:hAnsi="Times New Roman"/>
                <w:sz w:val="18"/>
                <w:szCs w:val="18"/>
                <w:color w:val="auto"/>
                <w:w w:val="99"/>
              </w:rPr>
              <w:t>Comparable</w:t>
            </w:r>
          </w:p>
        </w:tc>
        <w:tc>
          <w:tcPr>
            <w:tcW w:w="306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304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rPr>
              <w:t>Fifty-two weeks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January 27, 2018</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January 28, 2017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77</w:t>
            </w: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4,783,893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4,835,582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$(51,689)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3,436,618</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(20,677)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1,398,964</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1,241,643</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157,321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108,652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104,857</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(6,294)</w:t>
            </w: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58,501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14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Borders>
              <w:top w:val="single" w:sz="8" w:color="auto"/>
            </w:tcBorders>
            <w:gridSpan w:val="6"/>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decreased $51.7 million, or 1.1%, in 2018 over the prior year. The 1.1% decrease was driven primarily by a decline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disclosure has been updated to reflect the new merchandise division category and product reclassification completed in 2019. See “Business.”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2.5% comparable sales decline in 2018 was driven by a comparable sales decrease of 5.4% in the sports and recreation merchandise division and a 4.1% decrease in the outdoors merchandise division. The outdoors merchandise division experienced a decline in 2018 from the market saturation of specialized drinkware and related coolers, as well as market softness in firearms and ammunition. Also contributing to the decline in the outdoors merchandise division in 2018 was our planned assortment reduction in the camping category.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decline in the sports and recreation merchandise division in 2018 was caused by declines in both the team sports/fitness and recreation categories. Both the apparel and footwear merchandise divisions comparable sales were relatively flat compared to the prior year with a decrease of 0.4% and an increase of 0.1%, respectively. Within the apparel merchandise division, licensed apparel decreased as we benefited in the prior year on MLB licensed apparel due to team playoff success within our footprint that was partially offset by an increase in outdoor and seasonal apparel. Within the footwear merchandise division, the increase was driven by an increase in work and casual footwear, partially offset by a decrease in athletic footwear.</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2018 decreased $31.0 million, or 2.2%, when compared to 2017.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28.6% in 2018 compared to 28.9% in 2017, a decrease of 30 basis points. This decrease is primarily due to:</w:t>
      </w:r>
    </w:p>
    <w:p>
      <w:pPr>
        <w:spacing w:after="0" w:line="64" w:lineRule="exact"/>
        <w:rPr>
          <w:sz w:val="20"/>
          <w:szCs w:val="20"/>
          <w:color w:val="auto"/>
        </w:rPr>
      </w:pPr>
    </w:p>
    <w:p>
      <w:pPr>
        <w:ind w:left="1080" w:right="2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basis points of unfavorability on freight due to increased domestic and international freight pricing and duties;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basis points of unfavorability on merchandise margins due to increased clearance and promotional activities, coupled with the growth of e-commerce sales;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due to decreased inventory shrinkage.</w:t>
      </w:r>
    </w:p>
    <w:p>
      <w:pPr>
        <w:spacing w:after="0" w:line="221"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decreased $2.6 million, or 0.2%, to $1,239.0 million in 2018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$1,241.6 million in 2017. As a percentage of net sales, SG&amp;A was 25.9% in 2018 compared to 25.7% in 2017. SG&amp;A as a percentage of net sales increased 20 basis points primarily driven by:</w:t>
      </w:r>
    </w:p>
    <w:p>
      <w:pPr>
        <w:spacing w:after="0" w:line="80" w:lineRule="exact"/>
        <w:rPr>
          <w:sz w:val="20"/>
          <w:szCs w:val="20"/>
          <w:color w:val="auto"/>
        </w:rPr>
      </w:pPr>
    </w:p>
    <w:p>
      <w:pPr>
        <w:ind w:left="1080" w:right="1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 decrease in professional fees related to our 2017 profitability and growth initiatives.</w:t>
      </w:r>
    </w:p>
    <w:p>
      <w:pPr>
        <w:spacing w:after="0" w:line="221" w:lineRule="exact"/>
        <w:rPr>
          <w:sz w:val="20"/>
          <w:szCs w:val="20"/>
          <w:color w:val="auto"/>
        </w:rPr>
      </w:pPr>
    </w:p>
    <w:p>
      <w:pPr>
        <w:ind w:left="120"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expense increased $3.8 million, or 3.6%, to $108.7 million in 2018 from $104.9 million in 2017, resulting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rising interest rates on our Term Loan Facility, which was partially offset by more favorable positions on our interest rate swaps relative to 2017.</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comparable sales</w:t>
      </w:r>
    </w:p>
    <w:p>
      <w:pPr>
        <w:spacing w:after="0" w:line="119"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our comparable sales to our adjusted comparable sales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74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sales associated with Houston Astros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World Series appearances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sales of a product driven by free shipping</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promotion</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Sales from the exited product categories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Adjusted Net Income (Loss), Pro Forma Adjusted Net Income (Loss) and Adjusted Free Cash Flow</w:t>
      </w:r>
    </w:p>
    <w:p>
      <w:pPr>
        <w:spacing w:after="0" w:line="11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182"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8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0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gridSpan w:val="4"/>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1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6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Borders>
              <w:top w:val="single" w:sz="8" w:color="auto"/>
            </w:tcBorders>
            <w:gridSpan w:val="3"/>
          </w:tcPr>
          <w:p>
            <w:pPr>
              <w:jc w:val="right"/>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10"/>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gridSpan w:val="2"/>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$ 120,043</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58,501</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$157,656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101,307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104,857</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48,088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2,817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117,254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131,816</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133,281</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54,151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3,601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10,263</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3,636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3,387</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7,881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4,580</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10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(7,831)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1,454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7,409</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17,632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7,086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(7,745)</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$ 322,814</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300,259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$ 315,420</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282,902</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$ 156,837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6"/>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640" w:type="dxa"/>
            <w:vAlign w:val="bottom"/>
            <w:gridSpan w:val="2"/>
            <w:vMerge w:val="continue"/>
          </w:tcPr>
          <w:p>
            <w:pPr>
              <w:spacing w:after="0"/>
              <w:rPr>
                <w:sz w:val="10"/>
                <w:szCs w:val="10"/>
                <w:color w:val="auto"/>
              </w:rPr>
            </w:pPr>
          </w:p>
        </w:tc>
        <w:tc>
          <w:tcPr>
            <w:tcW w:w="720" w:type="dxa"/>
            <w:vAlign w:val="bottom"/>
            <w:tcBorders>
              <w:top w:val="single" w:sz="8" w:color="auto"/>
            </w:tcBorders>
            <w:gridSpan w:val="2"/>
          </w:tcPr>
          <w:p>
            <w:pPr>
              <w:jc w:val="right"/>
              <w:ind w:right="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42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2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$ 120,043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58,501</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$ 157,656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10,263</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1,840</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60" w:type="dxa"/>
            <w:vAlign w:val="bottom"/>
            <w:tcBorders>
              <w:right w:val="single" w:sz="8" w:color="CCEEFF"/>
            </w:tcBorders>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(42,265)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(7,831)</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1,454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17,632</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4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(7,745)</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$ 101,469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57,774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74,472</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$ 179,106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44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Adjusted 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75,927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55,538</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$ 134,844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540" w:right="90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540" w:right="280" w:hanging="424"/>
        <w:spacing w:after="0" w:line="26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20" w:type="dxa"/>
            <w:vAlign w:val="bottom"/>
          </w:tcPr>
          <w:p>
            <w:pPr>
              <w:spacing w:after="0"/>
              <w:rPr>
                <w:sz w:val="10"/>
                <w:szCs w:val="10"/>
                <w:color w:val="auto"/>
              </w:rPr>
            </w:pPr>
          </w:p>
        </w:tc>
        <w:tc>
          <w:tcPr>
            <w:tcW w:w="8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2140" w:type="dxa"/>
            <w:vAlign w:val="bottom"/>
            <w:gridSpan w:val="2"/>
          </w:tcPr>
          <w:p>
            <w:pPr>
              <w:jc w:val="center"/>
              <w:ind w:left="13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2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8"/>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8"/>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3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13 weeks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13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$ 263,669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198,481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83,355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$773,621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103,961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(115,901)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$ 196,886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(32,546)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759,771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20" w:type="dxa"/>
            <w:vAlign w:val="bottom"/>
            <w:vMerge w:val="restart"/>
          </w:tcPr>
          <w:p>
            <w:pPr>
              <w:jc w:val="right"/>
              <w:ind w:right="355"/>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740" w:right="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thousands)</w:t>
      </w:r>
    </w:p>
    <w:p>
      <w:pPr>
        <w:spacing w:after="0" w:line="14" w:lineRule="exact"/>
        <w:rPr>
          <w:sz w:val="20"/>
          <w:szCs w:val="20"/>
          <w:color w:val="auto"/>
        </w:rPr>
      </w:pPr>
    </w:p>
    <w:p>
      <w:pPr>
        <w:ind w:left="120" w:right="500"/>
        <w:spacing w:after="0" w:line="257" w:lineRule="auto"/>
        <w:rPr>
          <w:sz w:val="20"/>
          <w:szCs w:val="20"/>
          <w:color w:val="auto"/>
        </w:rPr>
      </w:pPr>
      <w:r>
        <w:rPr>
          <w:rFonts w:ascii="Times New Roman" w:cs="Times New Roman" w:eastAsia="Times New Roman" w:hAnsi="Times New Roman"/>
          <w:sz w:val="16"/>
          <w:szCs w:val="16"/>
          <w:color w:val="auto"/>
        </w:rPr>
        <w:t>Net sales Gross margin</w:t>
      </w:r>
    </w:p>
    <w:p>
      <w:pPr>
        <w:spacing w:after="0" w:line="1" w:lineRule="exact"/>
        <w:rPr>
          <w:sz w:val="20"/>
          <w:szCs w:val="20"/>
          <w:color w:val="auto"/>
        </w:rPr>
      </w:pPr>
    </w:p>
    <w:p>
      <w:pPr>
        <w:ind w:left="280" w:right="100" w:hanging="161"/>
        <w:spacing w:after="0" w:line="264" w:lineRule="auto"/>
        <w:rPr>
          <w:sz w:val="20"/>
          <w:szCs w:val="20"/>
          <w:color w:val="auto"/>
        </w:rPr>
      </w:pPr>
      <w:r>
        <w:rPr>
          <w:rFonts w:ascii="Times New Roman" w:cs="Times New Roman" w:eastAsia="Times New Roman" w:hAnsi="Times New Roman"/>
          <w:sz w:val="16"/>
          <w:szCs w:val="16"/>
          <w:color w:val="auto"/>
        </w:rPr>
        <w:t>Selling, general and administrative expenses</w:t>
      </w:r>
    </w:p>
    <w:p>
      <w:pPr>
        <w:ind w:left="120" w:right="60"/>
        <w:spacing w:after="0" w:line="264" w:lineRule="auto"/>
        <w:rPr>
          <w:sz w:val="20"/>
          <w:szCs w:val="20"/>
          <w:color w:val="auto"/>
        </w:rPr>
      </w:pPr>
      <w:r>
        <w:rPr>
          <w:rFonts w:ascii="Times New Roman" w:cs="Times New Roman" w:eastAsia="Times New Roman" w:hAnsi="Times New Roman"/>
          <w:sz w:val="16"/>
          <w:szCs w:val="16"/>
          <w:color w:val="auto"/>
        </w:rPr>
        <w:t>Operating income Interest expense, net</w:t>
      </w:r>
    </w:p>
    <w:p>
      <w:pPr>
        <w:ind w:left="280" w:right="20" w:hanging="161"/>
        <w:spacing w:after="0" w:line="264" w:lineRule="auto"/>
        <w:rPr>
          <w:sz w:val="20"/>
          <w:szCs w:val="20"/>
          <w:color w:val="auto"/>
        </w:rPr>
      </w:pPr>
      <w:r>
        <w:rPr>
          <w:rFonts w:ascii="Times New Roman" w:cs="Times New Roman" w:eastAsia="Times New Roman" w:hAnsi="Times New Roman"/>
          <w:sz w:val="16"/>
          <w:szCs w:val="16"/>
          <w:color w:val="auto"/>
        </w:rPr>
        <w:t>Gain on early retirement of debt, net</w:t>
      </w:r>
    </w:p>
    <w:p>
      <w:pPr>
        <w:ind w:left="1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Comparable sales</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Adjusted comparable sales</w:t>
      </w:r>
    </w:p>
    <w:p>
      <w:pPr>
        <w:ind w:left="120"/>
        <w:spacing w:after="0"/>
        <w:rPr>
          <w:sz w:val="20"/>
          <w:szCs w:val="20"/>
          <w:color w:val="auto"/>
        </w:rPr>
      </w:pPr>
      <w:r>
        <w:rPr>
          <w:rFonts w:ascii="Times New Roman" w:cs="Times New Roman" w:eastAsia="Times New Roman" w:hAnsi="Times New Roman"/>
          <w:sz w:val="16"/>
          <w:szCs w:val="16"/>
          <w:color w:val="auto"/>
        </w:rPr>
        <w:t>Adjusted EBITDA</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Adjusted Net Income (Loss)</w:t>
      </w:r>
    </w:p>
    <w:p>
      <w:pPr>
        <w:ind w:left="120"/>
        <w:spacing w:after="0"/>
        <w:rPr>
          <w:sz w:val="20"/>
          <w:szCs w:val="20"/>
          <w:color w:val="auto"/>
        </w:rPr>
      </w:pPr>
      <w:r>
        <w:rPr>
          <w:rFonts w:ascii="Times New Roman" w:cs="Times New Roman" w:eastAsia="Times New Roman" w:hAnsi="Times New Roman"/>
          <w:sz w:val="16"/>
          <w:szCs w:val="16"/>
          <w:color w:val="auto"/>
        </w:rPr>
        <w:t>Pro Forma Adjusted</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Income (Loss)</w:t>
      </w:r>
    </w:p>
    <w:p>
      <w:pPr>
        <w:spacing w:after="0" w:line="38" w:lineRule="exact"/>
        <w:rPr>
          <w:sz w:val="20"/>
          <w:szCs w:val="20"/>
          <w:color w:val="auto"/>
        </w:rPr>
      </w:pPr>
    </w:p>
    <w:p>
      <w:pPr>
        <w:ind w:left="280" w:right="100" w:hanging="161"/>
        <w:spacing w:after="0" w:line="298" w:lineRule="auto"/>
        <w:rPr>
          <w:sz w:val="20"/>
          <w:szCs w:val="20"/>
          <w:color w:val="auto"/>
        </w:rPr>
      </w:pPr>
      <w:r>
        <w:rPr>
          <w:rFonts w:ascii="Times New Roman" w:cs="Times New Roman" w:eastAsia="Times New Roman" w:hAnsi="Times New Roman"/>
          <w:sz w:val="16"/>
          <w:szCs w:val="16"/>
          <w:color w:val="auto"/>
        </w:rPr>
        <w:t>Adjusted Free Cash Flow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60" w:type="dxa"/>
            <w:vAlign w:val="bottom"/>
          </w:tcPr>
          <w:p>
            <w:pPr>
              <w:spacing w:after="0"/>
              <w:rPr>
                <w:sz w:val="10"/>
                <w:szCs w:val="10"/>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r>
      <w:tr>
        <w:trPr>
          <w:trHeight w:val="199"/>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1,606,420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1,136,301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1,370,492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1,145,203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1,237,410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1,076,792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1,342,018</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1,060,188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1,262,207</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1,119,480</w:t>
            </w:r>
          </w:p>
        </w:tc>
      </w:tr>
      <w:tr>
        <w:trPr>
          <w:trHeight w:val="203"/>
        </w:trPr>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496,501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297,945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370,532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362,422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385,204</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312,996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332,133</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328,833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387,130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320,356</w:t>
            </w:r>
          </w:p>
        </w:tc>
      </w:tr>
      <w:tr>
        <w:trPr>
          <w:trHeight w:val="608"/>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312,713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283,923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328,315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309,246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312,570</w:t>
            </w: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301,602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326,365</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300,195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317,164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295,278</w:t>
            </w:r>
          </w:p>
        </w:tc>
      </w:tr>
      <w:tr>
        <w:trPr>
          <w:trHeight w:val="203"/>
        </w:trPr>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183,788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42,217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53,176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72,634</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5,768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28,138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69,966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25,078</w:t>
            </w:r>
          </w:p>
        </w:tc>
      </w:tr>
      <w:tr>
        <w:trPr>
          <w:trHeight w:val="203"/>
        </w:trPr>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24,522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24,136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24,585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25,549</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27,037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27,608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27,076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27,173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26,795</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(41,138)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17,738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48,347</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25,406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(21,458)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42,103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(976)</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405"/>
        </w:trPr>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03"/>
        </w:trPr>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53,257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77,218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88,759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107,249</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49,588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62,172</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64,567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109,087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64,433</w:t>
            </w:r>
          </w:p>
        </w:tc>
      </w:tr>
      <w:tr>
        <w:trPr>
          <w:trHeight w:val="405"/>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178,351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23,607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34,062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51,503</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(7,703)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(724)</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4,845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46,472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4,812</w:t>
            </w:r>
          </w:p>
        </w:tc>
      </w:tr>
      <w:tr>
        <w:trPr>
          <w:trHeight w:val="590"/>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134,404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17,599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25,590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38,668</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(721)</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34,760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3,663</w:t>
            </w:r>
          </w:p>
        </w:tc>
      </w:tr>
      <w:tr>
        <w:trPr>
          <w:trHeight w:val="20"/>
        </w:trPr>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678,941</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80,830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154,709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122,680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(50,486)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139,551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(108,232)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45,878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22,257</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-2870835</wp:posOffset>
            </wp:positionV>
            <wp:extent cx="699516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-2613660</wp:posOffset>
            </wp:positionV>
            <wp:extent cx="6995160" cy="386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386080"/>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-2099310</wp:posOffset>
            </wp:positionV>
            <wp:extent cx="699516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-1584960</wp:posOffset>
            </wp:positionV>
            <wp:extent cx="699516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-1327785</wp:posOffset>
            </wp:positionV>
            <wp:extent cx="6995160"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-942340</wp:posOffset>
            </wp:positionV>
            <wp:extent cx="6995160"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-281940</wp:posOffset>
            </wp:positionV>
            <wp:extent cx="6995160" cy="257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500" w:space="180"/>
            <w:col w:w="9400"/>
          </w:cols>
          <w:pgMar w:left="320" w:top="45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5" w:right="49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following table provides reconciliation of comparable sales to adjusted comparable sales for the periods presented: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1820" w:type="dxa"/>
            <w:vAlign w:val="bottom"/>
          </w:tcPr>
          <w:p>
            <w:pPr>
              <w:spacing w:after="0"/>
              <w:rPr>
                <w:sz w:val="10"/>
                <w:szCs w:val="10"/>
                <w:color w:val="auto"/>
              </w:rPr>
            </w:pPr>
          </w:p>
        </w:tc>
        <w:tc>
          <w:tcPr>
            <w:tcW w:w="88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240" w:type="dxa"/>
            <w:vAlign w:val="bottom"/>
          </w:tcPr>
          <w:p>
            <w:pPr>
              <w:spacing w:after="0"/>
              <w:rPr>
                <w:sz w:val="10"/>
                <w:szCs w:val="10"/>
                <w:color w:val="auto"/>
              </w:rPr>
            </w:pPr>
          </w:p>
        </w:tc>
      </w:tr>
      <w:tr>
        <w:trPr>
          <w:trHeight w:val="173"/>
        </w:trPr>
        <w:tc>
          <w:tcPr>
            <w:tcW w:w="18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r>
      <w:tr>
        <w:trPr>
          <w:trHeight w:val="183"/>
        </w:trPr>
        <w:tc>
          <w:tcPr>
            <w:tcW w:w="1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Comparable sales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27.0%</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Additional sales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associated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 Houston Astros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World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Series appearances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sales of a</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product</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driven by free shipping</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promotion</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Sales from the exited</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product</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categories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comparable</w:t>
            </w: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27.0%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(0.9)%</w:t>
            </w:r>
          </w:p>
        </w:tc>
      </w:tr>
      <w:tr>
        <w:trPr>
          <w:trHeight w:val="20"/>
        </w:trPr>
        <w:tc>
          <w:tcPr>
            <w:tcW w:w="1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84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Pr>
          <w:p>
            <w:pPr>
              <w:spacing w:after="0"/>
              <w:rPr>
                <w:sz w:val="10"/>
                <w:szCs w:val="10"/>
                <w:color w:val="auto"/>
              </w:rPr>
            </w:pPr>
          </w:p>
        </w:tc>
        <w:tc>
          <w:tcPr>
            <w:tcW w:w="90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60" w:type="dxa"/>
            <w:vAlign w:val="bottom"/>
          </w:tcPr>
          <w:p>
            <w:pPr>
              <w:spacing w:after="0"/>
              <w:rPr>
                <w:sz w:val="10"/>
                <w:szCs w:val="10"/>
                <w:color w:val="auto"/>
              </w:rPr>
            </w:pPr>
          </w:p>
        </w:tc>
        <w:tc>
          <w:tcPr>
            <w:tcW w:w="6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80" w:type="dxa"/>
            <w:vAlign w:val="bottom"/>
          </w:tcPr>
          <w:p>
            <w:pPr>
              <w:spacing w:after="0"/>
              <w:rPr>
                <w:sz w:val="10"/>
                <w:szCs w:val="10"/>
                <w:color w:val="auto"/>
              </w:rPr>
            </w:pPr>
          </w:p>
        </w:tc>
        <w:tc>
          <w:tcPr>
            <w:tcW w:w="4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6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6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$ 167,676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$(10,020)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48,347</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$ 25,406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23,566</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24,522</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24,136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24,585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25,549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27,608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26,795</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amortization and impairment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26,704</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27,447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28,561</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29,596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29,313</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34,576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32,667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32,835</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Consulting fees</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Adviser monitoring fee</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early extinguishment of debt, net</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(41,138)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Severance and executive transition costs</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3,909</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related to the COVID-19 pandemic</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10,987</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6,645</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Inventory write-down adjustments associated with</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18,225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strategic merchandising initiative</w:t>
            </w: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$ 229,645</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$ 53,257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77,218</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88,759</w:t>
            </w: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107,249</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$ 49,588</w:t>
            </w:r>
          </w:p>
        </w:tc>
        <w:tc>
          <w:tcPr>
            <w:tcW w:w="220" w:type="dxa"/>
            <w:vAlign w:val="bottom"/>
            <w:gridSpan w:val="2"/>
            <w:shd w:val="clear" w:color="auto" w:fill="CCEEFF"/>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62,172</w:t>
            </w:r>
          </w:p>
        </w:tc>
        <w:tc>
          <w:tcPr>
            <w:tcW w:w="240" w:type="dxa"/>
            <w:vAlign w:val="bottom"/>
            <w:gridSpan w:val="2"/>
            <w:shd w:val="clear" w:color="auto" w:fill="CCEEFF"/>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64,567</w:t>
            </w: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109,087</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64,433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0"/>
                <w:szCs w:val="10"/>
                <w:color w:val="auto"/>
              </w:rPr>
            </w:pPr>
          </w:p>
        </w:tc>
        <w:tc>
          <w:tcPr>
            <w:tcW w:w="7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78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6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0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100" w:type="dxa"/>
            <w:vAlign w:val="bottom"/>
          </w:tcPr>
          <w:p>
            <w:pPr>
              <w:spacing w:after="0"/>
              <w:rPr>
                <w:sz w:val="10"/>
                <w:szCs w:val="10"/>
                <w:color w:val="auto"/>
              </w:rPr>
            </w:pPr>
          </w:p>
        </w:tc>
        <w:tc>
          <w:tcPr>
            <w:tcW w:w="4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00" w:type="dxa"/>
            <w:vAlign w:val="bottom"/>
            <w:vMerge w:val="continue"/>
          </w:tcPr>
          <w:p>
            <w:pPr>
              <w:spacing w:after="0"/>
              <w:rPr>
                <w:sz w:val="15"/>
                <w:szCs w:val="15"/>
                <w:color w:val="auto"/>
              </w:rPr>
            </w:pPr>
          </w:p>
        </w:tc>
        <w:tc>
          <w:tcPr>
            <w:tcW w:w="7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$ 167,676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(10,020)</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25,406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Consulting fees</w:t>
            </w:r>
          </w:p>
        </w:tc>
        <w:tc>
          <w:tcPr>
            <w:tcW w:w="8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Adviser monitoring fee</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Gain on early extinguishment of debt,</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(41,138)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Severance and executive transition</w:t>
            </w: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3,909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Costs related to the COVID-19</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10,987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6,645</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pandemic</w:t>
            </w: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Inventory write-down adjustments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associated with strategic</w:t>
            </w:r>
          </w:p>
        </w:tc>
        <w:tc>
          <w:tcPr>
            <w:tcW w:w="12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18,225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merchandising initiative</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effects of these adjustments</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(Loss)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178,351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23,607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34,062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51,503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46,472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Estimated tax effect of change to</w:t>
            </w:r>
          </w:p>
        </w:tc>
        <w:tc>
          <w:tcPr>
            <w:tcW w:w="120" w:type="dxa"/>
            <w:vAlign w:val="bottom"/>
            <w:vMerge w:val="restart"/>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(43,947)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(6,008)</w:t>
            </w: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(12,835)</w:t>
            </w: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(11,712)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7"/>
              </w:rPr>
              <w:t>(1,177)</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C-Corporation status</w:t>
            </w: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 Forma Adjusted Net Income</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$ 134,404</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17,599</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25,590</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38,668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(5,931)</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(721)</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3,663</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34,760</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3,635</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86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80" w:type="dxa"/>
            <w:vAlign w:val="bottom"/>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580" w:type="dxa"/>
            <w:vAlign w:val="bottom"/>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40" w:type="dxa"/>
            <w:vAlign w:val="bottom"/>
            <w:vMerge w:val="continue"/>
          </w:tcPr>
          <w:p>
            <w:pPr>
              <w:spacing w:after="0"/>
              <w:rPr>
                <w:sz w:val="15"/>
                <w:szCs w:val="15"/>
                <w:color w:val="auto"/>
              </w:rPr>
            </w:pPr>
          </w:p>
        </w:tc>
        <w:tc>
          <w:tcPr>
            <w:tcW w:w="74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6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6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68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provided by (used in)</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$682,865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$90,756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(9,205)</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$138,564</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$(34,603)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(83,563)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$ 73,127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(3,924)</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(14,204)</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(20,812)</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(15,884)</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(28,037)</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(24,669)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(27,249)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(19,072)</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Free Cash Flow</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678,941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80,830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(30,017)</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122,680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(50,486)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(108,232)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$ 45,878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generated from operating activities and borrowings under our Term Loan Facility and ABL Facility. Our historical uses of cash have been primarily to fund operating activities, such as the purchase and growth of inventory, expansion of our sales and marketing activities and other working capital needs; for capital improvements and support of expansion plans, as well as various investments in store renovations, store fixtures and on-going infrastructure improvements; to pay our debt obligations and related interest expense; and associated with fluctuations in working capital due to timing differences of cash receipts and cash disbursements.</w:t>
      </w:r>
    </w:p>
    <w:p>
      <w:pPr>
        <w:spacing w:after="0" w:line="183"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are focused on navigating the challenges presented by COVID-19 through the preservation of our liquidity and management of cash flow through preemptive actions to enhance our ability to meet our short-term liquidity needs. We have taken various cost cutting measures to maximize operational cash flows. Such actions include, but are not limited to, reduction of discretionary spending, deferring or cancelling our planned expenses, revisiting and reprioritizing our strategic investments, and reducing our payroll costs, including temporary team member furloughs and pay cuts.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August 1, 2020, our cash and cash equivalents totaled $884.0 million. On August 28, 2020, we paid a $257.0 million one-time special distribution to our unitholders of record as of August 25, 2020, $248.0 million of which was paid with cash on hand and the remainder of which was distributed through an offset of outstanding loans receivable from certain unitholders as well as state income tax withholdings made on behalf of our unitholders. We expect to use existing cash balances, internally generated cash flows and available borrowings under our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letters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first quarter 2020 was ample to support our operations and service our requirements.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Liquidity information related to our ABL Facility is as follows as of and for the periods shown (in thousands, except days):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4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0" w:type="dxa"/>
            <w:vAlign w:val="bottom"/>
          </w:tcPr>
          <w:p>
            <w:pPr>
              <w:spacing w:after="0"/>
              <w:rPr>
                <w:sz w:val="10"/>
                <w:szCs w:val="10"/>
                <w:color w:val="auto"/>
              </w:rPr>
            </w:pPr>
          </w:p>
        </w:tc>
      </w:tr>
      <w:tr>
        <w:trPr>
          <w:trHeight w:val="173"/>
        </w:trPr>
        <w:tc>
          <w:tcPr>
            <w:tcW w:w="6440" w:type="dxa"/>
            <w:vAlign w:val="bottom"/>
          </w:tcPr>
          <w:p>
            <w:pPr>
              <w:spacing w:after="0"/>
              <w:rPr>
                <w:sz w:val="15"/>
                <w:szCs w:val="15"/>
                <w:color w:val="auto"/>
              </w:rPr>
            </w:pPr>
          </w:p>
        </w:tc>
        <w:tc>
          <w:tcPr>
            <w:tcW w:w="68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funds drawn</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$253,297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$500,000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147,100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161,089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796,550</w:t>
            </w: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40" w:type="dxa"/>
            <w:vAlign w:val="bottom"/>
            <w:gridSpan w:val="3"/>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52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2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Issued letters of credit</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694,110</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923,956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7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2020 to be approximately $50.0 million. Approximately 65% of our planned cash outflow relate to investments in our corporate, e-commerce and information technology programs. Investments in existing stores and distribution centers is expected to account for approximately 30% of the planned cash outflow and the remaining 5% is expected to be utilized through investments in store remodels. We review forecasted capital expenditures throughout the year and will adjust or modify projects based on business conditions at that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Twenty-Six Weeks Ended August 1, 2020 and August 3,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unaudited statements of cash flows for the periods shown are summarized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r>
      <w:tr>
        <w:trPr>
          <w:trHeight w:val="173"/>
        </w:trPr>
        <w:tc>
          <w:tcPr>
            <w:tcW w:w="63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$773,621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(13,850)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(31,767)</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(25,127)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(95,795)</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734,644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(23,601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consists primarily of net income adjusted for non-cash items,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and amortization, non-cash lease expense, stock based compensation, amortization of deferred loan and other costs, non-cash gain on early retirement of debt, net, and changes in assets and liabilities.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in the first half 2020 increased $669.7 million, compared to the first half 2019. This increase in cash is attributable to a $544.3 million net increase in cash flows provided by operating assets and liabilities, $83.9 million increase in net income and a $41.5 million increase in non-cash charges. The increase in cash flows from operating assets and liabilities for the first half 2020 compared to the first half 2019 was primarily attributable to a $270.3 million decrease in merchandise inventories, net, due to inventory reductions from high sell-through in the first half 2020, coupled with an increase in inventory during the first half 2019, $259.6 million increase in accounts payable related to an increased inventory receipts during the first half 2020 and extensions of vendor payment terms and a $12.3 million increase in other long-term liabilities related to deferred payroll tax accruals. The increase from non-cash charges was primarily caused by a $34.4 million decrease in non-cash gains on the early retirement of debt, net resulting from lower first half 2020 principal repurchases of portions of our Term Loan Facility and a $12.6 million increase in non-cash lease expense due to timing of August rent payments and 40 lease extensions executed during the first half 2020.</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Twenty-Six Weeks</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Ended</w:t>
      </w:r>
    </w:p>
    <w:tbl>
      <w:tblPr>
        <w:tblLayout w:type="fixed"/>
        <w:tblInd w:w="1440" w:type="dxa"/>
        <w:tblCellMar>
          <w:top w:w="0" w:type="dxa"/>
          <w:left w:w="0" w:type="dxa"/>
          <w:bottom w:w="0" w:type="dxa"/>
          <w:right w:w="0" w:type="dxa"/>
        </w:tblCellMar>
      </w:tblPr>
      <w:tr>
        <w:trPr>
          <w:trHeight w:val="117"/>
        </w:trPr>
        <w:tc>
          <w:tcPr>
            <w:tcW w:w="40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20"/>
              <w:spacing w:after="0" w:line="117"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r>
      <w:tr>
        <w:trPr>
          <w:trHeight w:val="173"/>
        </w:trPr>
        <w:tc>
          <w:tcPr>
            <w:tcW w:w="4040" w:type="dxa"/>
            <w:vAlign w:val="bottom"/>
          </w:tcPr>
          <w:p>
            <w:pPr>
              <w:spacing w:after="0"/>
              <w:rPr>
                <w:sz w:val="15"/>
                <w:szCs w:val="15"/>
                <w:color w:val="auto"/>
              </w:rPr>
            </w:pPr>
          </w:p>
        </w:tc>
        <w:tc>
          <w:tcPr>
            <w:tcW w:w="3160" w:type="dxa"/>
            <w:vAlign w:val="bottom"/>
            <w:gridSpan w:val="2"/>
          </w:tcPr>
          <w:p>
            <w:pPr>
              <w:jc w:val="center"/>
              <w:ind w:left="24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13,850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$ 27,802</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$17.9 million in the first half 2020 compared to the first half 2019. The decrease in cash used in investing activities is primarily due to an issuance of a $4.0 million note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receivable to a member in the first half 2019 and $14.0 million less capital expenditures due to a planned overall reduction in the first half 2020 led by a reduction in new stores and store remodeling.</w:t>
      </w:r>
    </w:p>
    <w:p>
      <w:pPr>
        <w:spacing w:after="0" w:line="158"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provided by financing activities decreased $70.7 million in the first half 2020, compared to the first half 2019.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drivers of the decrease were a $88.6 million decrease in cash outflows related to lower current first half 2020 principal repurchases of portions of our Term Loan Facility and $17.9 million decreased net proceeds from our ABL Facility.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2019, 2018 and 2017:</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consolidated statements of cash flows for the periods shown are summarized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40" w:type="dxa"/>
            <w:vAlign w:val="bottom"/>
            <w:gridSpan w:val="4"/>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r>
      <w:tr>
        <w:trPr>
          <w:trHeight w:val="173"/>
        </w:trPr>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(115,901)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provided by operating activities for 2019 increased $65.2 million compared to 2018. This increase is attributable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Term Loan Facility in 2019.</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6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700" w:type="dxa"/>
            <w:vAlign w:val="bottom"/>
            <w:gridSpan w:val="3"/>
          </w:tcPr>
          <w:p>
            <w:pPr>
              <w:jc w:val="center"/>
              <w:ind w:left="11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40" w:type="dxa"/>
            <w:vAlign w:val="bottom"/>
            <w:gridSpan w:val="2"/>
          </w:tcPr>
          <w:p>
            <w:pPr>
              <w:jc w:val="center"/>
              <w:ind w:left="131"/>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3660" w:type="dxa"/>
            <w:vAlign w:val="bottom"/>
          </w:tcPr>
          <w:p>
            <w:pPr>
              <w:spacing w:after="0"/>
              <w:rPr>
                <w:sz w:val="15"/>
                <w:szCs w:val="15"/>
                <w:color w:val="auto"/>
              </w:rPr>
            </w:pPr>
          </w:p>
        </w:tc>
        <w:tc>
          <w:tcPr>
            <w:tcW w:w="290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5"/>
                <w:szCs w:val="15"/>
                <w:color w:val="auto"/>
              </w:rPr>
            </w:pPr>
          </w:p>
        </w:tc>
        <w:tc>
          <w:tcPr>
            <w:tcW w:w="94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62,818</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$ 107,905</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$ 132,126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$68.4 million in 2019 compared to 2018 primarily due to a $104.6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cash outflow related to the early retirement of a portion of the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Term Loan Facility of $19.7 million in 2017.</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our audited consolidated financial statements included elsewhere in this prospectus.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$1.4 million and $2.5 million, respectively, of long-lived store assets. These charges are included in SG&amp;A expenses on the consolidated statements of income. See Note 6</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to our audited consolidated financial statements included elsewhere in this prospectus.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elected the practical expedient available to us under ASU 2018-11, “</w:t>
      </w:r>
      <w:r>
        <w:rPr>
          <w:rFonts w:ascii="Times New Roman" w:cs="Times New Roman" w:eastAsia="Times New Roman" w:hAnsi="Times New Roman"/>
          <w:sz w:val="18"/>
          <w:szCs w:val="18"/>
          <w:i w:val="1"/>
          <w:iCs w:val="1"/>
          <w:color w:val="auto"/>
        </w:rPr>
        <w:t>Leases: Targeted Improvements”</w:t>
      </w:r>
      <w:r>
        <w:rPr>
          <w:rFonts w:ascii="Times New Roman" w:cs="Times New Roman" w:eastAsia="Times New Roman" w:hAnsi="Times New Roman"/>
          <w:sz w:val="18"/>
          <w:szCs w:val="18"/>
          <w:color w:val="auto"/>
        </w:rPr>
        <w:t xml:space="preserve">,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left="120" w:right="78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enter into letters of credit in the ordinary course of operating and financing activities. As of August 1, 2020, we had outstanding letters of credit of $29.7 million, of which $19.9 million were issued under our ABL Facility, primarily for insurance and foreign product purchases.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our letters of credit commitments as of August 1, 2020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10"/>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Commitment Expiration</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Period</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1 - 3</w:t>
            </w:r>
          </w:p>
        </w:tc>
        <w:tc>
          <w:tcPr>
            <w:tcW w:w="2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3 - 5</w:t>
            </w:r>
          </w:p>
        </w:tc>
        <w:tc>
          <w:tcPr>
            <w:tcW w:w="28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Commercial Commitments:</w:t>
            </w:r>
          </w:p>
        </w:tc>
        <w:tc>
          <w:tcPr>
            <w:tcW w:w="3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420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color w:val="auto"/>
              </w:rPr>
              <w:t>$  29,683</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$24,886</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$4,797</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3700" w:type="dxa"/>
            <w:vAlign w:val="bottom"/>
          </w:tcPr>
          <w:p>
            <w:pPr>
              <w:spacing w:after="0"/>
              <w:rPr>
                <w:sz w:val="24"/>
                <w:szCs w:val="24"/>
                <w:color w:val="auto"/>
              </w:rPr>
            </w:pPr>
          </w:p>
        </w:tc>
        <w:tc>
          <w:tcPr>
            <w:tcW w:w="3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92</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commercial commitments as of February 1, 2020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16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Facility interest</w:t>
            </w:r>
            <w:r>
              <w:rPr>
                <w:rFonts w:ascii="Times New Roman" w:cs="Times New Roman" w:eastAsia="Times New Roman" w:hAnsi="Times New Roman"/>
                <w:sz w:val="15"/>
                <w:szCs w:val="15"/>
                <w:color w:val="auto"/>
              </w:rPr>
              <w:t>(2)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78,855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196,088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related commitments and other</w:t>
            </w:r>
            <w:r>
              <w:rPr>
                <w:rFonts w:ascii="Times New Roman" w:cs="Times New Roman" w:eastAsia="Times New Roman" w:hAnsi="Times New Roman"/>
                <w:sz w:val="15"/>
                <w:szCs w:val="15"/>
                <w:color w:val="auto"/>
              </w:rPr>
              <w:t>(4)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Monitoring agreement</w:t>
            </w:r>
            <w:r>
              <w:rPr>
                <w:rFonts w:ascii="Times New Roman" w:cs="Times New Roman" w:eastAsia="Times New Roman" w:hAnsi="Times New Roman"/>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$ 3,650,779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344,053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$ 1,951,135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excluding discount and debt issuance costs.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shown are approximated based on projected interest rates and do not give effect to interest rate swaps.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technology related contractual commitments and other commitments such as construction commitments. The amounts included in the table are for executed contracts less amounts paid.</w:t>
      </w:r>
    </w:p>
    <w:p>
      <w:pPr>
        <w:ind w:left="540" w:right="320" w:hanging="424"/>
        <w:spacing w:after="0" w:line="26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our contractual payments under our Monitoring Agreement with the Adviser. See “Certain Relationships and Related Party Transactions—Monitoring Agreement.”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MSAs.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We are continually assessing the number of locations available that could accommodate our preferred size of stores in markets we would consider and we expect to open eight to 10 new stores per year, starting in 2022, which is similar to our growth rates from 2018 to 2019.</w:t>
      </w:r>
    </w:p>
    <w:p>
      <w:pPr>
        <w:spacing w:after="0" w:line="194"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We have a strong and growing presence in four of the top five, and six of the top 10, fastest-growing MSAs, in the United States, including Dallas, Houston, 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40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-1373505</wp:posOffset>
            </wp:positionV>
            <wp:extent cx="1937385" cy="25203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37385" cy="2520315"/>
                    </a:xfrm>
                    <a:prstGeom prst="rect">
                      <a:avLst/>
                    </a:prstGeom>
                    <a:noFill/>
                  </pic:spPr>
                </pic:pic>
              </a:graphicData>
            </a:graphic>
          </wp:anchor>
        </w:drawing>
      </w:r>
    </w:p>
    <w:p>
      <w:pPr>
        <w:spacing w:after="0" w:line="201" w:lineRule="exact"/>
        <w:rPr>
          <w:sz w:val="20"/>
          <w:szCs w:val="20"/>
          <w:color w:val="auto"/>
        </w:rPr>
      </w:pPr>
    </w:p>
    <w:p>
      <w:pPr>
        <w:ind w:left="120" w:right="456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emerging, profitable e-commerce platform that leverages our strong BOPIS and shipping fulfillment capabilities has achieved year-over-year sales growth of 8% and 284% during 2019 and the first half 2020, respectively. Our e-commerce sales represented 5% and 11% of our merchandise sales in 2019 and the first half 2020, respectively. We are deepening our customer relationships, further integrating our e-commerce platform with our stores and driving operating efficiencies by developing our omnichannel capabilities. Our BOPIS program, launched in 2019, accounted for approximately</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24% and 50% of our e-commerce sales during 2019 and the first half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 links to video demonstrations on how to best select, use and get the most out of our products. Our website is introducing new customers to the Academy brand, with approximately 25% of our e-commerce sales during first half 2020 coming from new households.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August 1, 2020 with approximately $5.3 billion in sales, $204 million of net income and $449 million in Adjusted EBITDA. Although comparable sales have been negative for the past three fiscal years, we have seen four consecutive quarters of positive comparable sales as of second quarter 2020. In addition, second quarter 2020 reflected our fourth consecutive quarter of Adjusted EBITDA growth and our fifth consecutive quarter of Adjusted Free Cash Flow growth. We earned net income of $21 million, $120 million and $204 million and Pro Forma Adjusted Net Income of $43 million, $76 million and $178 million in 2018, 2019 and the twelve months ended August 1, 2020, respectively, which included $158 million of net income and $135 million of Pro Forma Adjusted Net Income for first half 2020. See “Summary—Summary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11" w:lineRule="exact"/>
        <w:rPr>
          <w:sz w:val="20"/>
          <w:szCs w:val="20"/>
          <w:color w:val="auto"/>
        </w:rPr>
      </w:pPr>
    </w:p>
    <w:p>
      <w:pPr>
        <w:ind w:left="1240"/>
        <w:spacing w:after="0"/>
        <w:tabs>
          <w:tab w:leader="none" w:pos="5100" w:val="left"/>
          <w:tab w:leader="none" w:pos="862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74930</wp:posOffset>
            </wp:positionV>
            <wp:extent cx="6326505" cy="8229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265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four consecutive quarters ended August 1, 2020, and created a foundation for our future growth. These key initiatives include:</w:t>
      </w:r>
    </w:p>
    <w:p>
      <w:pPr>
        <w:spacing w:after="0" w:line="79" w:lineRule="exact"/>
        <w:rPr>
          <w:sz w:val="20"/>
          <w:szCs w:val="20"/>
          <w:color w:val="auto"/>
        </w:rPr>
      </w:pPr>
    </w:p>
    <w:p>
      <w:pPr>
        <w:ind w:left="1080" w:right="80" w:hanging="424"/>
        <w:spacing w:after="0" w:line="25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8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For example,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crawfish boiler sells well in Louisiana, but not in North Carolina,</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and our fishing assortment sells better in stores with closer proximity to fishing venues. This initiative resulted in an improved customer shopping experience and increased sales.</w:t>
      </w:r>
    </w:p>
    <w:p>
      <w:pPr>
        <w:spacing w:after="0" w:line="65" w:lineRule="exact"/>
        <w:rPr>
          <w:sz w:val="20"/>
          <w:szCs w:val="20"/>
          <w:color w:val="auto"/>
        </w:rPr>
      </w:pPr>
    </w:p>
    <w:p>
      <w:pPr>
        <w:ind w:left="1080" w:right="340" w:hanging="424"/>
        <w:spacing w:after="0" w:line="267"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080" w:right="240" w:hanging="424"/>
        <w:spacing w:after="0" w:line="267"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half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3.36x in first half 2020.</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(approximately 40,000 square feet) in Dallas, Texas in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retail business is highly competitive based on many variables including price, product assortment, customer service, omnichannel experience and store locations.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29" w:lineRule="exact"/>
        <w:rPr>
          <w:sz w:val="20"/>
          <w:szCs w:val="20"/>
          <w:color w:val="auto"/>
        </w:rPr>
      </w:pPr>
    </w:p>
    <w:p>
      <w:pPr>
        <w:ind w:left="1080" w:right="60" w:hanging="424"/>
        <w:spacing w:after="0" w:line="267"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general merchants </w:t>
      </w:r>
      <w:r>
        <w:rPr>
          <w:rFonts w:ascii="Times New Roman" w:cs="Times New Roman" w:eastAsia="Times New Roman" w:hAnsi="Times New Roman"/>
          <w:sz w:val="18"/>
          <w:szCs w:val="18"/>
          <w:color w:val="auto"/>
        </w:rPr>
        <w:t>(examples: Walmart, Kohl’s and Target) generally range in size from 50,000 to over 200,000 square feet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format sporting goods stores </w:t>
      </w:r>
      <w:r>
        <w:rPr>
          <w:rFonts w:ascii="Times New Roman" w:cs="Times New Roman" w:eastAsia="Times New Roman" w:hAnsi="Times New Roman"/>
          <w:sz w:val="18"/>
          <w:szCs w:val="18"/>
          <w:color w:val="auto"/>
        </w:rPr>
        <w:t>(examples: Dick’s Sporting Goods and Scheels) generally range in size from 20,000 to over 100,000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offer a broad selection of sporting goods and outdoor recreation merchandise.</w:t>
      </w:r>
    </w:p>
    <w:p>
      <w:pPr>
        <w:spacing w:after="0" w:line="63"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Traditional sporting goods stores </w:t>
      </w:r>
      <w:r>
        <w:rPr>
          <w:rFonts w:ascii="Times New Roman" w:cs="Times New Roman" w:eastAsia="Times New Roman" w:hAnsi="Times New Roman"/>
          <w:sz w:val="18"/>
          <w:szCs w:val="18"/>
          <w:color w:val="auto"/>
        </w:rPr>
        <w:t>(examples: Hibbett Sports and Big 5 Sporting Goods) generally range in size from 5,000 to 20,000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are frequently located in regional malls and shopping centers and typically carry a varied assortment of primarily sporting goods merchandise.</w:t>
      </w:r>
    </w:p>
    <w:p>
      <w:pPr>
        <w:spacing w:after="0" w:line="7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outdoor retailers </w:t>
      </w:r>
      <w:r>
        <w:rPr>
          <w:rFonts w:ascii="Times New Roman" w:cs="Times New Roman" w:eastAsia="Times New Roman" w:hAnsi="Times New Roman"/>
          <w:sz w:val="18"/>
          <w:szCs w:val="18"/>
          <w:color w:val="auto"/>
        </w:rPr>
        <w:t>(examples: Bass Pro Shop/Cabela’s and Sportsman’s Warehouse) generally range in size from 7,500 to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 square feet and typically focus on specific categories such as outdoor recreation.</w:t>
      </w:r>
    </w:p>
    <w:p>
      <w:pPr>
        <w:spacing w:after="0" w:line="63"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footwear retailers </w:t>
      </w:r>
      <w:r>
        <w:rPr>
          <w:rFonts w:ascii="Times New Roman" w:cs="Times New Roman" w:eastAsia="Times New Roman" w:hAnsi="Times New Roman"/>
          <w:sz w:val="18"/>
          <w:szCs w:val="18"/>
          <w:color w:val="auto"/>
        </w:rPr>
        <w:t>(examples: Foot Locker, Boot Barn and The Finish Line) generally range in size from 2,000 to 20,000 square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feet and typically focus on specific categories such as athletic footwear.</w:t>
      </w:r>
    </w:p>
    <w:p>
      <w:pPr>
        <w:spacing w:after="0" w:line="63" w:lineRule="exact"/>
        <w:rPr>
          <w:rFonts w:ascii="Times New Roman" w:cs="Times New Roman" w:eastAsia="Times New Roman" w:hAnsi="Times New Roman"/>
          <w:sz w:val="18"/>
          <w:szCs w:val="18"/>
          <w:color w:val="auto"/>
        </w:rPr>
      </w:pPr>
    </w:p>
    <w:p>
      <w:pPr>
        <w:ind w:left="1080" w:right="420" w:hanging="424"/>
        <w:spacing w:after="0" w:line="267"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Catalogue &amp; Internet retailers </w:t>
      </w:r>
      <w:r>
        <w:rPr>
          <w:rFonts w:ascii="Times New Roman" w:cs="Times New Roman" w:eastAsia="Times New Roman" w:hAnsi="Times New Roman"/>
          <w:sz w:val="18"/>
          <w:szCs w:val="18"/>
          <w:color w:val="auto"/>
        </w:rPr>
        <w:t>(examples: Amazon and eBay) do not typically operate brick and mortar stores and primarily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goods. Sporting goods merchandise and apparel and outdoor recreation products may represent a small portion of the total merchandise on their websites.</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8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According to Allied Market Research, sales growth from 2019 through 2027 in categories we participate, such as outdoor, team sports, apparel and footwear, is expected to grow approximately 6% per annum. The rising popularity in loyalty to premium brands, and importance of experience for customers also serve as constructive tailwinds to our business.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Yeti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40"/>
          </w:cols>
          <w:pgMar w:left="320" w:top="455" w:right="5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considerable expertise in identifying, stocking and selling a relevant assortment to meet the local needs and demands.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8"/>
          <w:szCs w:val="18"/>
          <w:i w:val="1"/>
          <w:iCs w:val="1"/>
          <w:color w:val="auto"/>
        </w:rPr>
        <w:t xml:space="preserve">Enthusiasts </w:t>
      </w:r>
      <w:r>
        <w:rPr>
          <w:rFonts w:ascii="Times New Roman" w:cs="Times New Roman" w:eastAsia="Times New Roman" w:hAnsi="Times New Roman"/>
          <w:sz w:val="18"/>
          <w:szCs w:val="18"/>
          <w:color w:val="auto"/>
        </w:rPr>
        <w:t>–passionate local experts who are specially recruited and trained for category-specific positions. Our</w:t>
      </w:r>
      <w:r>
        <w:rPr>
          <w:rFonts w:ascii="Times New Roman" w:cs="Times New Roman" w:eastAsia="Times New Roman" w:hAnsi="Times New Roman"/>
          <w:sz w:val="18"/>
          <w:szCs w:val="18"/>
          <w:i w:val="1"/>
          <w:iCs w:val="1"/>
          <w:color w:val="auto"/>
        </w:rPr>
        <w:t xml:space="preserve"> Enthusiasts </w:t>
      </w:r>
      <w:r>
        <w:rPr>
          <w:rFonts w:ascii="Times New Roman" w:cs="Times New Roman" w:eastAsia="Times New Roman" w:hAnsi="Times New Roman"/>
          <w:sz w:val="18"/>
          <w:szCs w:val="18"/>
          <w:color w:val="auto"/>
        </w:rPr>
        <w:t>use the products they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to share experiences and obtain further advice and assistance.</w:t>
      </w:r>
    </w:p>
    <w:p>
      <w:pPr>
        <w:spacing w:after="0" w:line="2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Our friendly and knowledgeable team members are a large reason our customers love shopping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173990</wp:posOffset>
            </wp:positionV>
            <wp:extent cx="1337310" cy="891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3731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have gained approximately two million new customers this year.</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60"/>
          </w:cols>
          <w:pgMar w:left="320" w:top="455" w:right="5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four consecutive quarters of positive comparable sales as of second quarter 2020, Adjusted EBITDA growth to $323 million in 2019, or 8%, compared to 2018, and Adjusted Free Cash Flow growth of $99 million in 2018 to $197 million in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1.2x as of end of second quarter 2020 compared to 5.2x as of end of both 2017 and 2018 and 4.1x as of end of 2019.</w:t>
      </w:r>
    </w:p>
    <w:p>
      <w:pPr>
        <w:spacing w:after="0" w:line="18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of our 211 mature stores (stores opened longer than four years) were profitable on a four-wall basis for the twelve months ended August 1, 2020 and our new stores have average payback periods of four to five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Our e-commerce sales represented 5% and 11% of our merchandise sales for 2019 and for the first half 2020, respectively. E-commerce sales increased 406% from the prior quarter in first quarter 2020 and 210% from the prior quarter in second quarter 2020. Our goal is to increase our omnichannel penetration quickly and significantly. To meet this goal, since 2011, we have invested $225 million in omnichannel and information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In 2019, 12% of our BOPIS customers made incremental in-store purchases when picking up their order, with an average value of 60% of their original order, and BOPIS orders accounted for 50% of all e-commerce sales during first half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3.36x in first half 2020, and has helped us to identify and exit certain product categories, such as luggage and toys.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the end of first half 2020, we had 211 mature stores, and all were profitable on a four-wall basis for the twelve months ended August 1, 2020. We expect to open eight to 10 new stores per year starting in 2022, which is similar to our growth rates from 2018 to 2019.</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Dallas/Fort Worth, Atlanta, Raleigh-Durham, Charlotte, New Orleans and Jacksonville. We believe our in-fill opportunity currently includes approximately 120 locations that could accommodate our preferred size of stores in markets we would consider.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17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173990</wp:posOffset>
            </wp:positionV>
            <wp:extent cx="4114800" cy="3351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1480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60"/>
          </w:cols>
          <w:pgMar w:left="320" w:top="455" w:right="51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Merchandising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carry a wide variety of national brand products such as Nike, Carhartt, adidas, Columbia Sportswear, North Face, Yeti, Winchester, Brooks, Rawlings, Remington, Skechers, Under Armour and many more.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we generally organized our merchandise in four divisions made up of eleven categories as follows:</w:t>
      </w:r>
    </w:p>
    <w:p>
      <w:pPr>
        <w:sectPr>
          <w:pgSz w:w="11900" w:h="16838" w:orient="portrait"/>
          <w:cols w:equalWidth="0" w:num="1">
            <w:col w:w="11140"/>
          </w:cols>
          <w:pgMar w:left="320" w:top="455" w:right="439" w:bottom="1440" w:gutter="0" w:footer="0" w:header="0"/>
        </w:sect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Division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Outdoors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5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191"/>
        </w:trPr>
        <w:tc>
          <w:tcPr>
            <w:tcW w:w="20" w:type="dxa"/>
            <w:vAlign w:val="bottom"/>
          </w:tcPr>
          <w:p>
            <w:pPr>
              <w:spacing w:after="0"/>
              <w:rPr>
                <w:sz w:val="16"/>
                <w:szCs w:val="16"/>
                <w:color w:val="auto"/>
              </w:rPr>
            </w:pPr>
          </w:p>
        </w:tc>
        <w:tc>
          <w:tcPr>
            <w:tcW w:w="1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8"/>
              </w:rPr>
              <w:t>Camping and cooking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Outdoor cooking, coolers and drinkware, camping accessories,</w:t>
            </w:r>
          </w:p>
        </w:tc>
      </w:t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camping equipment, sunglasses, backpacks and sports bags</w:t>
            </w:r>
          </w:p>
        </w:tc>
      </w:tr>
      <w:tr>
        <w:trPr>
          <w:trHeight w:val="283"/>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Fishing</w:t>
            </w:r>
          </w:p>
        </w:tc>
        <w:tc>
          <w:tcPr>
            <w:tcW w:w="50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Marine equipment and fishing rods, reels, baits and equipment</w:t>
            </w:r>
          </w:p>
        </w:tc>
      </w:tr>
      <w:tr>
        <w:trPr>
          <w:trHeight w:val="265"/>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Shooting sports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Firearms, ammunition, archery and archery equipment, shooting</w:t>
            </w:r>
          </w:p>
        </w:tc>
      </w:t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accessories, optics, airguns and hunting equipment</w:t>
            </w:r>
          </w:p>
        </w:tc>
      </w:tr>
      <w:tr>
        <w:trPr>
          <w:trHeight w:val="365"/>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2">
            <w:col w:w="3140" w:space="720"/>
            <w:col w:w="7280"/>
          </w:cols>
          <w:pgMar w:left="320" w:top="455" w:right="439" w:bottom="1440" w:gutter="0" w:footer="0" w:header="0"/>
          <w:type w:val="continuous"/>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340" w:type="dxa"/>
            <w:vAlign w:val="bottom"/>
          </w:tcPr>
          <w:p>
            <w:pPr>
              <w:spacing w:after="0"/>
              <w:rPr>
                <w:sz w:val="15"/>
                <w:szCs w:val="15"/>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660" w:type="dxa"/>
            <w:vAlign w:val="bottom"/>
          </w:tcPr>
          <w:p>
            <w:pPr>
              <w:spacing w:after="0"/>
              <w:rPr>
                <w:sz w:val="15"/>
                <w:szCs w:val="15"/>
                <w:color w:val="auto"/>
              </w:rPr>
            </w:pPr>
          </w:p>
        </w:tc>
        <w:tc>
          <w:tcPr>
            <w:tcW w:w="49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25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 and Recreation</w:t>
            </w: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Team</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Baseball, football, basketball, soccer, golf, racket sports, volleyball,</w:t>
            </w:r>
          </w:p>
        </w:tc>
      </w:tr>
      <w:tr>
        <w:trPr>
          <w:trHeight w:val="234"/>
        </w:trPr>
        <w:tc>
          <w:tcPr>
            <w:tcW w:w="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sports/fitness</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fitness equipment, fitness accessories and nutrition</w:t>
            </w:r>
          </w:p>
        </w:tc>
      </w:tr>
      <w:tr>
        <w:trPr>
          <w:trHeight w:val="265"/>
        </w:trPr>
        <w:tc>
          <w:tcPr>
            <w:tcW w:w="5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Recreation</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Patio equipment, wheeled goods (bicycles, skateboards and other</w:t>
            </w:r>
          </w:p>
        </w:tc>
      </w:tr>
      <w:tr>
        <w:trPr>
          <w:trHeight w:val="216"/>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ride-on toys), watersports, pet equipment, electronics and watches,</w:t>
            </w:r>
          </w:p>
        </w:tc>
      </w:tr>
      <w:tr>
        <w:trPr>
          <w:trHeight w:val="234"/>
        </w:trPr>
        <w:tc>
          <w:tcPr>
            <w:tcW w:w="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and front-end (consumables, batteries, etc.)</w:t>
            </w:r>
          </w:p>
        </w:tc>
      </w:tr>
      <w:tr>
        <w:trPr>
          <w:trHeight w:val="265"/>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Apparel</w:t>
            </w: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Outdoor and</w:t>
            </w:r>
          </w:p>
        </w:tc>
        <w:tc>
          <w:tcPr>
            <w:tcW w:w="66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16"/>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seasonal</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Outdoor apparel, seasonal apparel, denim, work apparel, camouflage</w:t>
            </w:r>
          </w:p>
        </w:tc>
      </w:tr>
      <w:tr>
        <w:trPr>
          <w:trHeight w:val="234"/>
        </w:trPr>
        <w:tc>
          <w:tcPr>
            <w:tcW w:w="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apparel</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apparel, waders, graphic t-shirts and accessories</w:t>
            </w:r>
          </w:p>
        </w:tc>
      </w:tr>
      <w:tr>
        <w:trPr>
          <w:trHeight w:val="283"/>
        </w:trPr>
        <w:tc>
          <w:tcPr>
            <w:tcW w:w="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Youth apparel</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Boys and girls outdoor and athletic apparel</w:t>
            </w:r>
          </w:p>
        </w:tc>
      </w:tr>
      <w:tr>
        <w:trPr>
          <w:trHeight w:val="265"/>
        </w:trPr>
        <w:tc>
          <w:tcPr>
            <w:tcW w:w="5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Athletic</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Sporting apparel, apparel for fitness and exercise and other</w:t>
            </w:r>
          </w:p>
        </w:tc>
      </w:tr>
      <w:tr>
        <w:trPr>
          <w:trHeight w:val="234"/>
        </w:trPr>
        <w:tc>
          <w:tcPr>
            <w:tcW w:w="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apparel</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accessories</w:t>
            </w:r>
          </w:p>
        </w:tc>
      </w:tr>
      <w:tr>
        <w:trPr>
          <w:trHeight w:val="265"/>
        </w:trPr>
        <w:tc>
          <w:tcPr>
            <w:tcW w:w="5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Licensed</w:t>
            </w:r>
          </w:p>
        </w:tc>
        <w:tc>
          <w:tcPr>
            <w:tcW w:w="66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16"/>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apparel</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Professional and collegiate team licensed apparel and accessories</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Footwear</w:t>
            </w: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Work, casual</w:t>
            </w:r>
          </w:p>
        </w:tc>
        <w:tc>
          <w:tcPr>
            <w:tcW w:w="66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and</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Casual shoes and slippers, work and western boots, youth footwear,</w:t>
            </w:r>
          </w:p>
        </w:tc>
      </w:tr>
      <w:tr>
        <w:trPr>
          <w:trHeight w:val="234"/>
        </w:trPr>
        <w:tc>
          <w:tcPr>
            <w:tcW w:w="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youth footwear</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socks and hunting footwear</w:t>
            </w:r>
          </w:p>
        </w:tc>
      </w:tr>
      <w:tr>
        <w:trPr>
          <w:trHeight w:val="265"/>
        </w:trPr>
        <w:tc>
          <w:tcPr>
            <w:tcW w:w="5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Athletic</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Running shoes, athletic shoes, sport specific shoes and training</w:t>
            </w:r>
          </w:p>
        </w:tc>
      </w:tr>
      <w:tr>
        <w:trPr>
          <w:trHeight w:val="234"/>
        </w:trPr>
        <w:tc>
          <w:tcPr>
            <w:tcW w:w="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footwear</w:t>
            </w:r>
          </w:p>
        </w:tc>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shoes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140" w:hanging="424"/>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40" w:type="dxa"/>
            <w:vAlign w:val="bottom"/>
            <w:gridSpan w:val="4"/>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Merchandise division sales</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1,522,985</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merchandise sales</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right="300" w:hanging="424"/>
        <w:spacing w:after="0" w:line="257"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8"/>
          <w:szCs w:val="18"/>
          <w:color w:val="auto"/>
        </w:rPr>
      </w:pPr>
    </w:p>
    <w:p>
      <w:pPr>
        <w:ind w:left="540" w:right="320" w:hanging="424"/>
        <w:spacing w:after="0" w:line="26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the number of stores that we operated by state was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Texas</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Alabama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83"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utilize data obtained from our CRM tools, which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55" w:right="51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net sales and profits are also impacted by the November/December holiday selling season, and in part by the sales of cold weather sporting goods and apparel during the fourth quarter.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Team Members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August 1, 2020, we employed approximately 21,000 team members.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420" w:type="dxa"/>
            <w:vAlign w:val="bottom"/>
            <w:vMerge w:val="restart"/>
          </w:tcPr>
          <w:p>
            <w:pPr>
              <w:spacing w:after="0"/>
              <w:rPr>
                <w:sz w:val="13"/>
                <w:szCs w:val="13"/>
                <w:color w:val="auto"/>
              </w:rPr>
            </w:pPr>
          </w:p>
        </w:tc>
        <w:tc>
          <w:tcPr>
            <w:tcW w:w="1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Use</w:t>
            </w:r>
          </w:p>
        </w:tc>
        <w:tc>
          <w:tcPr>
            <w:tcW w:w="130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1300" w:type="dxa"/>
            <w:vAlign w:val="bottom"/>
            <w:gridSpan w:val="2"/>
          </w:tcPr>
          <w:p>
            <w:pPr>
              <w:jc w:val="right"/>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Katy, Texas</w:t>
            </w:r>
          </w:p>
        </w:tc>
        <w:tc>
          <w:tcPr>
            <w:tcW w:w="1200" w:type="dxa"/>
            <w:vAlign w:val="bottom"/>
          </w:tcPr>
          <w:p>
            <w:pPr>
              <w:spacing w:after="0"/>
              <w:rPr>
                <w:sz w:val="16"/>
                <w:szCs w:val="16"/>
                <w:color w:val="auto"/>
              </w:rPr>
            </w:pPr>
          </w:p>
        </w:tc>
        <w:tc>
          <w:tcPr>
            <w:tcW w:w="2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Corporate Office Building 1</w:t>
            </w:r>
          </w:p>
        </w:tc>
        <w:tc>
          <w:tcPr>
            <w:tcW w:w="2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Corporate Office Building 2</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Bulk Warehouse</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Twiggs County, Georgia</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Cookeville, Tennessee</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Global Sourcing Office</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2007.</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lease entered in 2017.</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FCPA, UKBA and other anti-corruption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 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The Supreme Court of Texas is scheduled in October 2020 to hear oral arguments relating to our motions for summary judgement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Below is a list of our executive officers and directors, their respective ages as of September 1, 2020 and a brief account of the business experience of each of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Ken</w:t>
            </w:r>
          </w:p>
        </w:tc>
        <w:tc>
          <w:tcPr>
            <w:tcW w:w="33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 Hicks</w:t>
            </w:r>
          </w:p>
        </w:tc>
        <w:tc>
          <w:tcPr>
            <w:tcW w:w="5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 Lawrence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Merchandising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J. Johnson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Retail Operations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D. Attaway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Ennis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Manish Maini</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Jamey Traywick Rutherford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Omnichannel</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 G. Casares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Vishal V. Patel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Simon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H. Taylor</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X. Yan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 C. Hicks </w:t>
      </w:r>
      <w:r>
        <w:rPr>
          <w:rFonts w:ascii="Times New Roman" w:cs="Times New Roman" w:eastAsia="Times New Roman" w:hAnsi="Times New Roman"/>
          <w:sz w:val="17"/>
          <w:szCs w:val="17"/>
          <w:color w:val="auto"/>
        </w:rPr>
        <w:t>has served as the Chairman and our President and Chief Executive Officer since May 2018. Mr. Hicks has served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 Mullican </w:t>
      </w:r>
      <w:r>
        <w:rPr>
          <w:rFonts w:ascii="Times New Roman" w:cs="Times New Roman" w:eastAsia="Times New Roman" w:hAnsi="Times New Roman"/>
          <w:sz w:val="18"/>
          <w:szCs w:val="18"/>
          <w:color w:val="auto"/>
        </w:rPr>
        <w:t>has served as our Executive Vice President and Chief Financial Officer since January 2018. He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(Steve) P. Lawrence </w:t>
      </w:r>
      <w:r>
        <w:rPr>
          <w:rFonts w:ascii="Times New Roman" w:cs="Times New Roman" w:eastAsia="Times New Roman" w:hAnsi="Times New Roman"/>
          <w:sz w:val="18"/>
          <w:szCs w:val="18"/>
          <w:color w:val="auto"/>
        </w:rPr>
        <w:t>has served as our Executive Vice President and Chief Merchandising Officer since joining the Academy Sports +</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Outdoors team in February 2019. Prior to joining Academy Sports + Outdoors, Mr. Lawrence was President and Chief Executive Officer at francesca’s.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May 2012 to September 2016, he served as Chief Merchandising Officer at Stage Stores. Mr. Lawrence also spent nearly 12 years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7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(Sam) J. Johnson </w:t>
      </w:r>
      <w:r>
        <w:rPr>
          <w:rFonts w:ascii="Times New Roman" w:cs="Times New Roman" w:eastAsia="Times New Roman" w:hAnsi="Times New Roman"/>
          <w:sz w:val="18"/>
          <w:szCs w:val="18"/>
          <w:color w:val="auto"/>
        </w:rPr>
        <w:t>has served as our Executive Vice President, Retail Operations since joining the Academy Sports + Outdoors team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79" w:lineRule="exact"/>
        <w:rPr>
          <w:sz w:val="20"/>
          <w:szCs w:val="20"/>
          <w:color w:val="auto"/>
        </w:rPr>
      </w:pPr>
    </w:p>
    <w:p>
      <w:pPr>
        <w:ind w:left="120" w:right="64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(Ken) D. Attaway </w:t>
      </w:r>
      <w:r>
        <w:rPr>
          <w:rFonts w:ascii="Times New Roman" w:cs="Times New Roman" w:eastAsia="Times New Roman" w:hAnsi="Times New Roman"/>
          <w:sz w:val="17"/>
          <w:szCs w:val="17"/>
          <w:color w:val="auto"/>
        </w:rPr>
        <w:t>has served as our Executive Vice President, Chief Operating Officer since October 2013, currently overseeing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and Logistics, Real Estate, Construction, Facilities/Maintenance, Procurement and Enterprise Program Management Office.</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Ennis </w:t>
      </w:r>
      <w:r>
        <w:rPr>
          <w:rFonts w:ascii="Times New Roman" w:cs="Times New Roman" w:eastAsia="Times New Roman" w:hAnsi="Times New Roman"/>
          <w:sz w:val="18"/>
          <w:szCs w:val="18"/>
          <w:color w:val="auto"/>
        </w:rPr>
        <w:t>has served as our Senior Vice President, Chief Human Resources Officer since March 2016. Mr. Ennis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Manish Maini </w:t>
      </w:r>
      <w:r>
        <w:rPr>
          <w:rFonts w:ascii="Times New Roman" w:cs="Times New Roman" w:eastAsia="Times New Roman" w:hAnsi="Times New Roman"/>
          <w:sz w:val="18"/>
          <w:szCs w:val="18"/>
          <w:color w:val="auto"/>
        </w:rPr>
        <w:t>has served as our Senior Vice President, Chief Information Officer since joining the Academy Sports + Outdoors team in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7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Jamey Traywick Rutherford </w:t>
      </w:r>
      <w:r>
        <w:rPr>
          <w:rFonts w:ascii="Times New Roman" w:cs="Times New Roman" w:eastAsia="Times New Roman" w:hAnsi="Times New Roman"/>
          <w:sz w:val="18"/>
          <w:szCs w:val="18"/>
          <w:color w:val="auto"/>
        </w:rPr>
        <w:t>has served as our Senior Vice President, Omnichannel since joining the Academy Sports + Outdoors team in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8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 G. Casares </w:t>
      </w:r>
      <w:r>
        <w:rPr>
          <w:rFonts w:ascii="Times New Roman" w:cs="Times New Roman" w:eastAsia="Times New Roman" w:hAnsi="Times New Roman"/>
          <w:sz w:val="18"/>
          <w:szCs w:val="18"/>
          <w:color w:val="auto"/>
        </w:rPr>
        <w:t>has served as our Senior Vice President, General Counsel and Secretary since March 2018. He joined the company in July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T. Marley </w:t>
      </w:r>
      <w:r>
        <w:rPr>
          <w:rFonts w:ascii="Times New Roman" w:cs="Times New Roman" w:eastAsia="Times New Roman" w:hAnsi="Times New Roman"/>
          <w:sz w:val="18"/>
          <w:szCs w:val="18"/>
          <w:color w:val="auto"/>
        </w:rPr>
        <w:t>has served as a member of the board of managers of New Academy Holding Company, LLC since January 2018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more than 20 years, during which he was a partner for more than 10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8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Vishal V. Patel </w:t>
      </w:r>
      <w:r>
        <w:rPr>
          <w:rFonts w:ascii="Times New Roman" w:cs="Times New Roman" w:eastAsia="Times New Roman" w:hAnsi="Times New Roman"/>
          <w:sz w:val="17"/>
          <w:szCs w:val="17"/>
          <w:color w:val="auto"/>
        </w:rPr>
        <w:t>has served as a member of the board of managers of New Academy Holding Company, LLC since May 2015 and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directors of Academy Sports and Outdoors, Inc. since June 2020. Mr. Patel is a member of the Retail and Consumer team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Simon </w:t>
      </w:r>
      <w:r>
        <w:rPr>
          <w:rFonts w:ascii="Times New Roman" w:cs="Times New Roman" w:eastAsia="Times New Roman" w:hAnsi="Times New Roman"/>
          <w:sz w:val="18"/>
          <w:szCs w:val="18"/>
          <w:color w:val="auto"/>
        </w:rPr>
        <w:t>has served as a member of the board of managers of New Academy Holding Company, LLC since September 2016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the board of directors of Academy Sports and Outdoors, Inc. since June 2020. Mr. Simon has also served on the board of directors of Darden Restaurants Inc. since July 2012, Chico’s FAS, Inc. since July 2016, and Anixter International Inc. since March 2019. He served on the board of directors of Agrium Inc. from February 2016 to May 2017. Mr. Simon was the President and CEO of Walmart U.S. from 2010 to 2014, and previously was appointed the COO of Walmart U.S. in 2007. Prior to joining Walmart, Mr. Simon held several senior positions at Brinker International, Diageo, Cadbury-Schweppes, PepsiCo and RJR-Nabisco. He also served in the public sector as Secretary of the Florida Department of Management Services, appointed by Governor Jeb Bush. Mr. Simon is currently a senior advisor to KKR and is a member of the faculty of the Hankamer School of Business at Baylor University.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8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Nathaniel (Nate) H. Taylor </w:t>
      </w:r>
      <w:r>
        <w:rPr>
          <w:rFonts w:ascii="Times New Roman" w:cs="Times New Roman" w:eastAsia="Times New Roman" w:hAnsi="Times New Roman"/>
          <w:sz w:val="18"/>
          <w:szCs w:val="18"/>
          <w:color w:val="auto"/>
        </w:rPr>
        <w:t>has served as a member of the board of managers of New Academy Holding Company, LLC since August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as Chairman from June 2015 to May 2018, and as a member of the board of directors of Academy Sports and Outdoors, Inc. since June 2020. Mr. Taylor heads the Americas Consumer Retail team at KKR and serves on the Investment Committee within KKR’s Americas Private Equity platform. Mr. Taylor has also served on the board of directors of National Vision Holdings, Inc. since February 2014 and US Foods Holding Corp. since May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significant business, financial and investment experience related to the retail industry and prior involvement with KKR’s investment in the Company.</w:t>
      </w:r>
    </w:p>
    <w:p>
      <w:pPr>
        <w:spacing w:after="0" w:line="22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Aileen X. Yan </w:t>
      </w:r>
      <w:r>
        <w:rPr>
          <w:rFonts w:ascii="Times New Roman" w:cs="Times New Roman" w:eastAsia="Times New Roman" w:hAnsi="Times New Roman"/>
          <w:sz w:val="17"/>
          <w:szCs w:val="17"/>
          <w:color w:val="auto"/>
        </w:rPr>
        <w:t>has served as a member of the board of managers of New Academy Holding Company, LLC since November 2019 and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 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 after this Offering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amended and restated certificate of incorporation will</w:t>
      </w:r>
    </w:p>
    <w:p>
      <w:pPr>
        <w:spacing w:after="0" w:line="27" w:lineRule="exact"/>
        <w:rPr>
          <w:sz w:val="20"/>
          <w:szCs w:val="20"/>
          <w:color w:val="auto"/>
        </w:rPr>
      </w:pPr>
    </w:p>
    <w:p>
      <w:pPr>
        <w:jc w:val="both"/>
        <w:ind w:left="840" w:right="60" w:hanging="719"/>
        <w:spacing w:after="0" w:line="260" w:lineRule="auto"/>
        <w:rPr>
          <w:sz w:val="20"/>
          <w:szCs w:val="20"/>
          <w:color w:val="auto"/>
        </w:rPr>
      </w:pPr>
      <w:r>
        <w:rPr>
          <w:rFonts w:ascii="Times New Roman" w:cs="Times New Roman" w:eastAsia="Times New Roman" w:hAnsi="Times New Roman"/>
          <w:sz w:val="18"/>
          <w:szCs w:val="18"/>
          <w:color w:val="auto"/>
        </w:rPr>
        <w:t>provide for a classified board of directors, with</w:t>
      </w:r>
      <w:r>
        <w:rPr>
          <w:sz w:val="20"/>
          <w:szCs w:val="20"/>
          <w:color w:val="auto"/>
        </w:rPr>
        <w:t xml:space="preserve"> </w:t>
      </w:r>
      <w:r>
        <w:rPr>
          <w:rFonts w:ascii="Times New Roman" w:cs="Times New Roman" w:eastAsia="Times New Roman" w:hAnsi="Times New Roman"/>
          <w:sz w:val="18"/>
          <w:szCs w:val="18"/>
          <w:color w:val="auto"/>
        </w:rPr>
        <w:t>directors in Class I (expected to be ), directors in Class II (expected to be ) and directors in Class III (expected to be ). See “Description of Capital Stock.”</w:t>
      </w:r>
    </w:p>
    <w:p>
      <w:pPr>
        <w:spacing w:after="0" w:line="18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stockholders agreement we expect to enter into in connection with this offering, or the stockholders agreement, KKR Stockholders will have the right to designate nominees to our board of directors subject to the maintenance of certain ownership requirements in us. See “Certain Relationships and Related Party Transactions—Stockholders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After the completion of this offering, KKR Stockholders, who are parties to the stockholders agreement, will continue to beneficially own shares representing more than 50% of the voting power of our shares eligible to vote in the election of directors. As a result, we will be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 For at least some period following this offering, we may utilize one or more of these exemptions since our board of directors has not yet made a determination with respect to the independence of any directors.</w:t>
      </w:r>
    </w:p>
    <w:p>
      <w:pPr>
        <w:spacing w:after="0" w:line="17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the future, we expect that our board of directors will make a determination as to whether other directors, including directors associated with KKR, are independent for purposes of the corporate governance standards described above. Pending such determination,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47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Board Leadership Structure and Our Board of Director’s Role in Risk Oversight </w:t>
      </w:r>
      <w:r>
        <w:rPr>
          <w:rFonts w:ascii="Times New Roman" w:cs="Times New Roman" w:eastAsia="Times New Roman" w:hAnsi="Times New Roman"/>
          <w:sz w:val="18"/>
          <w:szCs w:val="18"/>
          <w:i w:val="1"/>
          <w:iCs w:val="1"/>
          <w:color w:val="auto"/>
        </w:rPr>
        <w:t>Committees of Our Board of Directors</w:t>
      </w: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standing committees of our board of directors will consist of an Audit Committee, a Compensation Committee and a Nominating and Governance Committee. Our board of directors may also establish from time to time any other committees that it deems necessary or desirable.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 given the controlling interests held by KKR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880" w:right="400" w:hanging="323"/>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we expect to have an Audit Committee, consisting of</w:t>
      </w:r>
      <w:r>
        <w:rPr>
          <w:sz w:val="20"/>
          <w:szCs w:val="20"/>
          <w:color w:val="auto"/>
        </w:rPr>
        <w:t xml:space="preserve"> </w:t>
      </w:r>
      <w:r>
        <w:rPr>
          <w:rFonts w:ascii="Times New Roman" w:cs="Times New Roman" w:eastAsia="Times New Roman" w:hAnsi="Times New Roman"/>
          <w:sz w:val="18"/>
          <w:szCs w:val="18"/>
          <w:color w:val="auto"/>
        </w:rPr>
        <w:t>, who will be serving as the Chair, and and . and qualify as independent directors under the corporate governance standards of Nasdaq and the</w:t>
      </w:r>
    </w:p>
    <w:p>
      <w:pPr>
        <w:ind w:left="120"/>
        <w:spacing w:after="0"/>
        <w:rPr>
          <w:sz w:val="20"/>
          <w:szCs w:val="20"/>
          <w:color w:val="auto"/>
        </w:rPr>
      </w:pPr>
      <w:r>
        <w:rPr>
          <w:rFonts w:ascii="Times New Roman" w:cs="Times New Roman" w:eastAsia="Times New Roman" w:hAnsi="Times New Roman"/>
          <w:sz w:val="18"/>
          <w:szCs w:val="18"/>
          <w:color w:val="auto"/>
        </w:rPr>
        <w:t>independence requirements of Rule 10A-3 of the Securities Exchange Act of 1934, as amended, or the Exchange Act. Our board of directors has</w:t>
      </w:r>
    </w:p>
    <w:p>
      <w:pPr>
        <w:spacing w:after="0" w:line="9"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color w:val="auto"/>
        </w:rPr>
        <w:t>determined that</w:t>
      </w:r>
      <w:r>
        <w:rPr>
          <w:sz w:val="20"/>
          <w:szCs w:val="20"/>
          <w:color w:val="auto"/>
        </w:rPr>
        <w:tab/>
      </w:r>
      <w:r>
        <w:rPr>
          <w:rFonts w:ascii="Times New Roman" w:cs="Times New Roman" w:eastAsia="Times New Roman" w:hAnsi="Times New Roman"/>
          <w:sz w:val="17"/>
          <w:szCs w:val="17"/>
          <w:color w:val="auto"/>
        </w:rPr>
        <w:t>qualifies as an “audit committee financial expert” as such term is defined in Item 407(d)(5) of Regulation S-K.</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Audit Committee will be to prepare the audit committee report required by the SEC to be included in our proxy statement and to assist our board of directors in overseeing:</w:t>
      </w:r>
    </w:p>
    <w:p>
      <w:pPr>
        <w:spacing w:after="0" w:line="67"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financial reporting and disclosure processes;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and soundness of systems of disclosure and internal control established by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 and the annual independent audit of our consolidated financial statements;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 connection with the foregoing;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Conduct;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risk management profile.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Audit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ectPr>
          <w:pgSz w:w="11900" w:h="16838" w:orient="portrait"/>
          <w:cols w:equalWidth="0" w:num="1">
            <w:col w:w="11040"/>
          </w:cols>
          <w:pgMar w:left="320" w:top="455" w:right="53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Upon the completion of this offering, we expect to have a Compensation Committee, consisting of</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who will</w:t>
      </w:r>
    </w:p>
    <w:p>
      <w:pPr>
        <w:spacing w:after="0" w:line="38" w:lineRule="exact"/>
        <w:rPr>
          <w:sz w:val="20"/>
          <w:szCs w:val="20"/>
          <w:color w:val="auto"/>
        </w:rPr>
      </w:pPr>
    </w:p>
    <w:p>
      <w:pPr>
        <w:sectPr>
          <w:pgSz w:w="11900" w:h="16838" w:orient="portrait"/>
          <w:cols w:equalWidth="0" w:num="4">
            <w:col w:w="7700" w:space="720"/>
            <w:col w:w="120" w:space="720"/>
            <w:col w:w="320" w:space="720"/>
            <w:col w:w="74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serve as the Chair.</w:t>
      </w:r>
    </w:p>
    <w:p>
      <w:pPr>
        <w:sectPr>
          <w:pgSz w:w="11900" w:h="16838" w:orient="portrait"/>
          <w:cols w:equalWidth="0" w:num="1">
            <w:col w:w="11040"/>
          </w:cols>
          <w:pgMar w:left="320" w:top="455" w:right="539" w:bottom="1440" w:gutter="0" w:footer="0" w:header="0"/>
          <w:type w:val="continuous"/>
        </w:sectPr>
      </w:pP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2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our compensation program and compensation of our executive officers, directors and key personnel;</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40"/>
          </w:cols>
          <w:pgMar w:left="320" w:top="455" w:right="539" w:bottom="1440" w:gutter="0" w:footer="0" w:header="0"/>
          <w:type w:val="continuous"/>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incentive compensation and equity-based compensation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the compensation rules, regulations and guidelines promulgated by Nasdaq, the SEC and other law, as applicable; and</w:t>
      </w:r>
    </w:p>
    <w:p>
      <w:pPr>
        <w:spacing w:after="0" w:line="142"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to be included in our proxy statement under the rules and regulations of the SEC.</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Compensation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ectPr>
          <w:pgSz w:w="11900" w:h="16838" w:orient="portrait"/>
          <w:cols w:equalWidth="0" w:num="1">
            <w:col w:w="11140"/>
          </w:cols>
          <w:pgMar w:left="320" w:top="455" w:right="43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Upon the completion of this offering, we expect to have a Nominating and Governance Committee, consisting of</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sectPr>
          <w:pgSz w:w="11900" w:h="16838" w:orient="portrait"/>
          <w:cols w:equalWidth="0" w:num="3">
            <w:col w:w="8740" w:space="720"/>
            <w:col w:w="120" w:space="720"/>
            <w:col w:w="840"/>
          </w:cols>
          <w:pgMar w:left="320" w:top="455" w:right="43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7"/>
          <w:szCs w:val="17"/>
          <w:color w:val="auto"/>
        </w:rPr>
        <w:t>, who will serve as the Chair.</w:t>
      </w:r>
    </w:p>
    <w:p>
      <w:pPr>
        <w:sectPr>
          <w:pgSz w:w="11900" w:h="16838" w:orient="portrait"/>
          <w:cols w:equalWidth="0" w:num="1">
            <w:col w:w="11140"/>
          </w:cols>
          <w:pgMar w:left="320" w:top="455" w:right="439" w:bottom="1440" w:gutter="0" w:footer="0" w:header="0"/>
          <w:type w:val="continuous"/>
        </w:sectPr>
      </w:pP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Nominating and Governance Committee is to:</w:t>
      </w:r>
    </w:p>
    <w:p>
      <w:pPr>
        <w:spacing w:after="0" w:line="131" w:lineRule="exact"/>
        <w:rPr>
          <w:sz w:val="20"/>
          <w:szCs w:val="20"/>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our board of directors concerning the appropriate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persons to be nominated by our board of directors for election as directors at any meeting of stockholders;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members of our board of directors to serve on the various committees of our board of directors;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our board of directors a set of corporate governance guidelines and assist our board of directors in complying with them;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 our board of directors’ committees, and management.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Nominating and Governance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are parties to certain transactions with KKR Stockholders and their affiliates and certain of our directors described in the section of this prospectus entitled “Certain Relationships and Related Party Transactions.”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Code of Ethics and Business Conduct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adopt a new Code of Ethics and Business Conduct that applies to all of our directors, officers and team members, including our chief executive officer and chief financial and accounting officer. Our Code of Ethics and Business Conduct will be available on our website upon the completion of this offering. Our Code of Ethics and Business Conduct is a “code of ethics,” as defined in Item 406(b) of Regulation S-K. We will make any legally required disclosures regarding amendments to, or waivers of, provisions of our code of ethics on our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type w:val="continuous"/>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2019 were:</w:t>
      </w:r>
    </w:p>
    <w:p>
      <w:pPr>
        <w:spacing w:after="0" w:line="129"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 C. Hicks, </w:t>
      </w:r>
      <w:r>
        <w:rPr>
          <w:rFonts w:ascii="Times New Roman" w:cs="Times New Roman" w:eastAsia="Times New Roman" w:hAnsi="Times New Roman"/>
          <w:sz w:val="18"/>
          <w:szCs w:val="18"/>
          <w:i w:val="1"/>
          <w:iCs w:val="1"/>
          <w:color w:val="auto"/>
        </w:rPr>
        <w:t>Chairman, President, and Chief Executive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Michael P. Mullican, </w:t>
      </w:r>
      <w:r>
        <w:rPr>
          <w:rFonts w:ascii="Times New Roman" w:cs="Times New Roman" w:eastAsia="Times New Roman" w:hAnsi="Times New Roman"/>
          <w:sz w:val="18"/>
          <w:szCs w:val="18"/>
          <w:i w:val="1"/>
          <w:iCs w:val="1"/>
          <w:color w:val="auto"/>
        </w:rPr>
        <w:t>Executive Vice President, Chief Financial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Steven (Steve) P. Lawrence, </w:t>
      </w:r>
      <w:r>
        <w:rPr>
          <w:rFonts w:ascii="Times New Roman" w:cs="Times New Roman" w:eastAsia="Times New Roman" w:hAnsi="Times New Roman"/>
          <w:sz w:val="18"/>
          <w:szCs w:val="18"/>
          <w:i w:val="1"/>
          <w:iCs w:val="1"/>
          <w:color w:val="auto"/>
        </w:rPr>
        <w:t>Executive Vice President, Chief Merchandising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Samuel (Sam) J. Johnson, </w:t>
      </w:r>
      <w:r>
        <w:rPr>
          <w:rFonts w:ascii="Times New Roman" w:cs="Times New Roman" w:eastAsia="Times New Roman" w:hAnsi="Times New Roman"/>
          <w:sz w:val="18"/>
          <w:szCs w:val="18"/>
          <w:i w:val="1"/>
          <w:iCs w:val="1"/>
          <w:color w:val="auto"/>
        </w:rPr>
        <w:t>Executive Vice President, Retail Operations;</w:t>
      </w:r>
      <w:r>
        <w:rPr>
          <w:rFonts w:ascii="Times New Roman" w:cs="Times New Roman" w:eastAsia="Times New Roman" w:hAnsi="Times New Roman"/>
          <w:sz w:val="18"/>
          <w:szCs w:val="18"/>
          <w:color w:val="auto"/>
        </w:rPr>
        <w:t xml:space="preser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Kenneth (Ken) D. Attaway, </w:t>
      </w:r>
      <w:r>
        <w:rPr>
          <w:rFonts w:ascii="Times New Roman" w:cs="Times New Roman" w:eastAsia="Times New Roman" w:hAnsi="Times New Roman"/>
          <w:sz w:val="18"/>
          <w:szCs w:val="18"/>
          <w:i w:val="1"/>
          <w:iCs w:val="1"/>
          <w:color w:val="auto"/>
        </w:rPr>
        <w:t>Executive Vice President, Chief Operations Officer</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We Are and 2019 Business Performance Highlights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Highlights from 2019 include:</w:t>
      </w:r>
    </w:p>
    <w:p>
      <w:pPr>
        <w:spacing w:after="0" w:line="131" w:lineRule="exact"/>
        <w:rPr>
          <w:sz w:val="20"/>
          <w:szCs w:val="20"/>
          <w:color w:val="auto"/>
        </w:rPr>
      </w:pPr>
    </w:p>
    <w:p>
      <w:pPr>
        <w:ind w:left="1080" w:right="6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$4.8 billion of net sales, $120 million of net income, $323 million of Adjusted EBITDA (a $23 million increase over 2018), $197 million of Adjusted Free Cash Flow, and return on invested capital, or ROIC Percentage, of 14.3%. See “Summary—Summary Historical Consolidated Financial and Other Data” for the definitions of Adjusted EBITDA and Adjusted Free Cash Flow and reconciliations of Adjusted EBITDA to net income and Adjusted Free Cash Flow to net cash provided by (used in) operating activities.</w:t>
      </w:r>
    </w:p>
    <w:p>
      <w:pPr>
        <w:spacing w:after="0" w:line="8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we served 30 million customers and completed approximately 80 million transactions resulting in strong household penetration in our core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rolled out BOPIS to all locations, which accounted for approximately 24% of our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8" w:lineRule="exact"/>
        <w:rPr>
          <w:sz w:val="20"/>
          <w:szCs w:val="20"/>
          <w:color w:val="auto"/>
        </w:rPr>
      </w:pPr>
    </w:p>
    <w:p>
      <w:pPr>
        <w:ind w:left="1080" w:right="260" w:hanging="424"/>
        <w:spacing w:after="0" w:line="290" w:lineRule="auto"/>
        <w:tabs>
          <w:tab w:leader="none" w:pos="10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Competitive</w:t>
      </w:r>
      <w:r>
        <w:rPr>
          <w:rFonts w:ascii="Times New Roman" w:cs="Times New Roman" w:eastAsia="Times New Roman" w:hAnsi="Times New Roman"/>
          <w:sz w:val="17"/>
          <w:szCs w:val="17"/>
          <w:color w:val="auto"/>
        </w:rPr>
        <w:t>: Compensation levels and programs for executive officers, including our Named Executive Officers, should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60"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w:t>
      </w:r>
      <w:r>
        <w:rPr>
          <w:rFonts w:ascii="Times New Roman" w:cs="Times New Roman" w:eastAsia="Times New Roman" w:hAnsi="Times New Roman"/>
          <w:sz w:val="18"/>
          <w:szCs w:val="18"/>
          <w:color w:val="auto"/>
        </w:rPr>
        <w:t>: We believe in a pay-for-performance compensation philosophy which targets our team members to be paid 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Equityholder Aligned</w:t>
      </w:r>
      <w:r>
        <w:rPr>
          <w:rFonts w:ascii="Times New Roman" w:cs="Times New Roman" w:eastAsia="Times New Roman" w:hAnsi="Times New Roman"/>
          <w:sz w:val="18"/>
          <w:szCs w:val="18"/>
          <w:color w:val="auto"/>
        </w:rPr>
        <w:t>: Incentives should be structured to create a strong alignment between executive officers and equityholders on both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and a long-term basis.</w:t>
      </w:r>
    </w:p>
    <w:p>
      <w:pPr>
        <w:spacing w:after="0" w:line="16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85" w:lineRule="exact"/>
        <w:rPr>
          <w:sz w:val="20"/>
          <w:szCs w:val="20"/>
          <w:color w:val="auto"/>
        </w:rPr>
      </w:pPr>
    </w:p>
    <w:p>
      <w:pPr>
        <w:ind w:left="19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Compensation Mix - CEO</w:t>
      </w:r>
      <w:r>
        <w:rPr>
          <w:sz w:val="20"/>
          <w:szCs w:val="20"/>
          <w:color w:val="auto"/>
        </w:rPr>
        <w:tab/>
      </w:r>
      <w:r>
        <w:rPr>
          <w:rFonts w:ascii="Times New Roman" w:cs="Times New Roman" w:eastAsia="Times New Roman" w:hAnsi="Times New Roman"/>
          <w:sz w:val="17"/>
          <w:szCs w:val="17"/>
          <w:b w:val="1"/>
          <w:bCs w:val="1"/>
          <w:color w:val="auto"/>
        </w:rPr>
        <w:t>Compensation Mix - 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1928495" cy="13201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28495" cy="132016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156845</wp:posOffset>
            </wp:positionV>
            <wp:extent cx="1885950" cy="13290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8595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Executive Officer Compensation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or the Compensation Committee, of our Board of Managers, or the Board, which is comprised solely of non-employee directors, is responsible for establishing, implementing, and evaluating our executive officer compensation and benefit programs. Following this offering, the same Compensation Committee will be constituted at the level of Academy Sports and Outdoors, Inc.</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discharges the responsibilities of our Board relating to the compensation of our executive officers, including the Named Executive Officers, according to its charter. The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selecting and setting the amount of each compensation element, the Compensation Committee generally considers the following factors:</w:t>
      </w:r>
    </w:p>
    <w:p>
      <w:pPr>
        <w:spacing w:after="0" w:line="131"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objectives established by the Compensation Committee;</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executive officer’s skills, experience, and qualifications relative to other similarly-situated executive officers at the companies in our compensation peer group;</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executive officer’s role compared to other similarly-situated executive officers at the companies in our compensation peer group;</w:t>
      </w:r>
    </w:p>
    <w:p>
      <w:pPr>
        <w:spacing w:after="0" w:line="130"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equality among our executive officers, including the Named Executive Officers (other than our Chief Executive Officer);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compensation peer group; and</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how each executive officer’s target compensation compares to a ranking of similar positions in our compensation peer group.</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Historically, the Compensation Committee has recommended equity awards for each Named Executive Officer, and such awards are then granted by the Board (or its Executive Committee). Following this offering, all equity awards will be granted by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6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These factors provide the framework for compensation decision-making and final decisions regarding the compensation opportunity for each executive officer. No single factor is determinative in setting pay levels, nor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Management Team for Compensation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Prior to this offering, the Compensation Committee has not retained its own compensation consultant but we anticipate that the Compensation Committee will engage its own independent compensation consultant either in connection with or following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compensation benchmarking peer group and approach that is used to develop competitive market data references.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base salary levels, annual cash bonus opportunities, long-term incentive compensation opportunities, and perquisites of our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 assessment of executive compensation trends within our industry.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comparing our executive compensation against the competitive market, the Compensation Committee reviews and considers the compensation levels and practices of a group of comparable retail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5" w:right="439" w:bottom="1440" w:gutter="0" w:footer="0" w:header="0"/>
        </w:sectPr>
      </w:pPr>
    </w:p>
    <w:p>
      <w:pPr>
        <w:spacing w:after="0" w:line="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Advance Auto Parts,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Ascena Retail Group,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AutoZone,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Burlington Stores,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Caleres,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Carter’s,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Dick’s Sporting Goods, Inc.</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DSW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GameStop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Michaels Companies,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Williams-Sonoma, Inc.</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size – 0.4x to 2.5x our last four fiscal quarters’ revenue as of the third quarter of 2018;</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primarily in the retail business;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business model and/or product.</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December 2019, the Compensation Committee, with the input of data and analysis from Meridian, approved the same compensation peer group for 2020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For additional information regarding our employment agreements, see “—Employment Agreements with Named Executive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Setting 2019 Compensation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 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type w:val="continuous"/>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5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opportunity correlated with superior performance over the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7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may consider performance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8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we anticipate that the Compensation Committee will continue to adhere to the compensation philosophy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Policies and Practices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Either during 2019 or in connection with or following this offering where noted, we either adopted or maintained the following executive officer compensation policies and practices, which include policies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practices that we have implemented to drive performance as well as policies and practices that either prohibit or minimize behaviors that we do not believe serve our equityholders’ long-term interests:</w:t>
      </w:r>
    </w:p>
    <w:p>
      <w:pPr>
        <w:spacing w:after="0" w:line="65"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Compensation Committee</w:t>
      </w:r>
      <w:r>
        <w:rPr>
          <w:rFonts w:ascii="Times New Roman" w:cs="Times New Roman" w:eastAsia="Times New Roman" w:hAnsi="Times New Roman"/>
          <w:sz w:val="18"/>
          <w:szCs w:val="18"/>
          <w:color w:val="auto"/>
        </w:rPr>
        <w:t>. The Compensation Committee is comprised solely of nonemployee directors.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Committee Advisor</w:t>
      </w:r>
      <w:r>
        <w:rPr>
          <w:rFonts w:ascii="Times New Roman" w:cs="Times New Roman" w:eastAsia="Times New Roman" w:hAnsi="Times New Roman"/>
          <w:sz w:val="18"/>
          <w:szCs w:val="18"/>
          <w:color w:val="auto"/>
        </w:rPr>
        <w:t>. We anticipate that the Compensation Committee will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either in connection with or following this offering. The Company currently retains Meridian as an advisor on executive pay related items.</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Executive Officer Compensation Review</w:t>
      </w:r>
      <w:r>
        <w:rPr>
          <w:rFonts w:ascii="Times New Roman" w:cs="Times New Roman" w:eastAsia="Times New Roman" w:hAnsi="Times New Roman"/>
          <w:sz w:val="18"/>
          <w:szCs w:val="18"/>
          <w:color w:val="auto"/>
        </w:rPr>
        <w:t>. The Compensation Committee conducted an annual review and approval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88"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Officer Compensation Practices</w:t>
      </w:r>
      <w:r>
        <w:rPr>
          <w:rFonts w:ascii="Times New Roman" w:cs="Times New Roman" w:eastAsia="Times New Roman" w:hAnsi="Times New Roman"/>
          <w:sz w:val="18"/>
          <w:szCs w:val="18"/>
          <w:color w:val="auto"/>
        </w:rPr>
        <w:t>. Our compensation philosophy and related corporate governance policies and practices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complemented by several specific compensation practices that are designed to align our executive officer compensation with long-term equityholder interests, including the following:</w:t>
      </w:r>
    </w:p>
    <w:p>
      <w:pPr>
        <w:spacing w:after="0" w:line="78" w:lineRule="exact"/>
        <w:rPr>
          <w:rFonts w:ascii="Times New Roman" w:cs="Times New Roman" w:eastAsia="Times New Roman" w:hAnsi="Times New Roman"/>
          <w:sz w:val="18"/>
          <w:szCs w:val="18"/>
          <w:color w:val="auto"/>
        </w:rPr>
      </w:pPr>
    </w:p>
    <w:p>
      <w:pPr>
        <w:ind w:left="1540" w:right="280" w:hanging="331"/>
        <w:spacing w:after="0" w:line="284" w:lineRule="auto"/>
        <w:tabs>
          <w:tab w:leader="none" w:pos="1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 Review</w:t>
      </w:r>
      <w:r>
        <w:rPr>
          <w:rFonts w:ascii="Times New Roman" w:cs="Times New Roman" w:eastAsia="Times New Roman" w:hAnsi="Times New Roman"/>
          <w:sz w:val="18"/>
          <w:szCs w:val="18"/>
          <w:color w:val="auto"/>
        </w:rPr>
        <w:t>. The Compensation Committee engages in an annual performance review of each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based on our corporate results and individual performance.</w:t>
      </w:r>
    </w:p>
    <w:p>
      <w:pPr>
        <w:spacing w:after="0" w:line="63" w:lineRule="exact"/>
        <w:rPr>
          <w:rFonts w:ascii="Times New Roman" w:cs="Times New Roman" w:eastAsia="Times New Roman" w:hAnsi="Times New Roman"/>
          <w:sz w:val="18"/>
          <w:szCs w:val="18"/>
          <w:color w:val="auto"/>
        </w:rPr>
      </w:pPr>
    </w:p>
    <w:p>
      <w:pPr>
        <w:ind w:left="1540" w:hanging="331"/>
        <w:spacing w:after="0" w:line="267" w:lineRule="auto"/>
        <w:tabs>
          <w:tab w:leader="none" w:pos="1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At Risk</w:t>
      </w:r>
      <w:r>
        <w:rPr>
          <w:rFonts w:ascii="Times New Roman" w:cs="Times New Roman" w:eastAsia="Times New Roman" w:hAnsi="Times New Roman"/>
          <w:sz w:val="18"/>
          <w:szCs w:val="18"/>
          <w:color w:val="auto"/>
        </w:rPr>
        <w:t>. Our executive officer compensation program is designed so that a majority of compensation is “at risk”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Company’s performance, in the form of both short-term cash and long-term equity incentives to align the interests of our executive officers and equityholders.</w:t>
      </w:r>
    </w:p>
    <w:p>
      <w:pPr>
        <w:spacing w:after="0" w:line="78" w:lineRule="exact"/>
        <w:rPr>
          <w:rFonts w:ascii="Times New Roman" w:cs="Times New Roman" w:eastAsia="Times New Roman" w:hAnsi="Times New Roman"/>
          <w:sz w:val="18"/>
          <w:szCs w:val="18"/>
          <w:color w:val="auto"/>
        </w:rPr>
      </w:pPr>
    </w:p>
    <w:p>
      <w:pPr>
        <w:ind w:left="1540" w:right="460" w:hanging="331"/>
        <w:spacing w:after="0" w:line="267" w:lineRule="auto"/>
        <w:tabs>
          <w:tab w:leader="none" w:pos="1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Defined Benefit Pension or Nonqualified Deferred Compensation Plans</w:t>
      </w:r>
      <w:r>
        <w:rPr>
          <w:rFonts w:ascii="Times New Roman" w:cs="Times New Roman" w:eastAsia="Times New Roman" w:hAnsi="Times New Roman"/>
          <w:sz w:val="18"/>
          <w:szCs w:val="18"/>
          <w:color w:val="auto"/>
        </w:rPr>
        <w:t>. We do not currently offer, nor do we have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defined benefit pension arrangements or nonqualified deferred compensation plans or arrangements to our executive officers.</w:t>
      </w:r>
    </w:p>
    <w:p>
      <w:pPr>
        <w:spacing w:after="0" w:line="78"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Nominal Special Health or Welfare Benefits</w:t>
      </w:r>
      <w:r>
        <w:rPr>
          <w:rFonts w:ascii="Times New Roman" w:cs="Times New Roman" w:eastAsia="Times New Roman" w:hAnsi="Times New Roman"/>
          <w:sz w:val="18"/>
          <w:szCs w:val="18"/>
          <w:color w:val="auto"/>
        </w:rPr>
        <w:t>. Our executive officers participate in broad-based company-sponsored health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85" w:lineRule="exact"/>
        <w:rPr>
          <w:rFonts w:ascii="Times New Roman" w:cs="Times New Roman" w:eastAsia="Times New Roman" w:hAnsi="Times New Roman"/>
          <w:sz w:val="18"/>
          <w:szCs w:val="18"/>
          <w:color w:val="auto"/>
        </w:rPr>
      </w:pPr>
    </w:p>
    <w:p>
      <w:pPr>
        <w:ind w:left="1540" w:right="400" w:hanging="331"/>
        <w:spacing w:after="0" w:line="284" w:lineRule="auto"/>
        <w:tabs>
          <w:tab w:leader="none" w:pos="1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Post-Employment Tax Reimbursements</w:t>
      </w:r>
      <w:r>
        <w:rPr>
          <w:rFonts w:ascii="Times New Roman" w:cs="Times New Roman" w:eastAsia="Times New Roman" w:hAnsi="Times New Roman"/>
          <w:sz w:val="18"/>
          <w:szCs w:val="18"/>
          <w:color w:val="auto"/>
        </w:rPr>
        <w:t>. We do not provide any tax reimbursement payments (including “gross-ups”)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or change-in-control payments or benefits.</w:t>
      </w:r>
    </w:p>
    <w:p>
      <w:pPr>
        <w:spacing w:after="0" w:line="63"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Options Granted with Exercise Price Below Fair Market Value, with Pre-Offering Fair Market Value determined based on Third-Party Valuations</w:t>
      </w:r>
      <w:r>
        <w:rPr>
          <w:rFonts w:ascii="Times New Roman" w:cs="Times New Roman" w:eastAsia="Times New Roman" w:hAnsi="Times New Roman"/>
          <w:sz w:val="18"/>
          <w:szCs w:val="18"/>
          <w:color w:val="auto"/>
        </w:rPr>
        <w:t>. All options have been granted with exercise prices equal to the fair market value of our Membership Units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this offering, the Board determined 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540" w:right="180" w:hanging="331"/>
        <w:spacing w:after="0" w:line="261" w:lineRule="auto"/>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Multi-Year Time Vesting and Performance Vesting Requirements for Equity Awards</w:t>
      </w:r>
      <w:r>
        <w:rPr>
          <w:rFonts w:ascii="Times New Roman" w:cs="Times New Roman" w:eastAsia="Times New Roman" w:hAnsi="Times New Roman"/>
          <w:sz w:val="18"/>
          <w:szCs w:val="18"/>
          <w:color w:val="auto"/>
        </w:rPr>
        <w:t>. The options and restricted units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85" w:lineRule="exact"/>
        <w:rPr>
          <w:rFonts w:ascii="Times New Roman" w:cs="Times New Roman" w:eastAsia="Times New Roman" w:hAnsi="Times New Roman"/>
          <w:sz w:val="18"/>
          <w:szCs w:val="18"/>
          <w:color w:val="auto"/>
        </w:rPr>
      </w:pPr>
    </w:p>
    <w:p>
      <w:pPr>
        <w:ind w:left="1540" w:right="620" w:hanging="331"/>
        <w:spacing w:after="0" w:line="284" w:lineRule="auto"/>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and Pledging Prohibited</w:t>
      </w:r>
      <w:r>
        <w:rPr>
          <w:rFonts w:ascii="Times New Roman" w:cs="Times New Roman" w:eastAsia="Times New Roman" w:hAnsi="Times New Roman"/>
          <w:sz w:val="18"/>
          <w:szCs w:val="18"/>
          <w:color w:val="auto"/>
        </w:rPr>
        <w:t>. We prohibit our executive officers from hedging our securities, pledging our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for loans, or holding our securities in margin accounts.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key elements of our executive officer compensation program for our Named Executive Officers:</w:t>
      </w:r>
    </w:p>
    <w:p>
      <w:pPr>
        <w:spacing w:after="0" w:line="246" w:lineRule="exact"/>
        <w:rPr>
          <w:sz w:val="20"/>
          <w:szCs w:val="20"/>
          <w:color w:val="auto"/>
        </w:rPr>
      </w:pPr>
    </w:p>
    <w:p>
      <w:pPr>
        <w:ind w:left="120"/>
        <w:spacing w:after="0"/>
        <w:tabs>
          <w:tab w:leader="none" w:pos="1980" w:val="left"/>
          <w:tab w:leader="none" w:pos="68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Purpose</w:t>
      </w:r>
      <w:r>
        <w:rPr>
          <w:sz w:val="20"/>
          <w:szCs w:val="20"/>
          <w:color w:val="auto"/>
        </w:rPr>
        <w:tab/>
      </w:r>
      <w:r>
        <w:rPr>
          <w:rFonts w:ascii="Times New Roman" w:cs="Times New Roman" w:eastAsia="Times New Roman" w:hAnsi="Times New Roman"/>
          <w:sz w:val="14"/>
          <w:szCs w:val="14"/>
          <w:b w:val="1"/>
          <w:bCs w:val="1"/>
          <w:color w:val="auto"/>
        </w:rPr>
        <w:t>Overview</w:t>
      </w:r>
    </w:p>
    <w:p>
      <w:pPr>
        <w:sectPr>
          <w:pgSz w:w="11900" w:h="16838" w:orient="portrait"/>
          <w:cols w:equalWidth="0" w:num="1">
            <w:col w:w="11100"/>
          </w:cols>
          <w:pgMar w:left="320" w:top="455" w:right="479" w:bottom="1440" w:gutter="0" w:footer="0" w:header="0"/>
        </w:sectPr>
      </w:pP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7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201"/>
        </w:trPr>
        <w:tc>
          <w:tcPr>
            <w:tcW w:w="18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Compensate for services rendered each year</w:t>
            </w:r>
          </w:p>
        </w:tc>
      </w:tr>
      <w:tr>
        <w:trPr>
          <w:trHeight w:val="39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cash</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Encourage achievement of our corporate performance</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 bonus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objectives</w:t>
            </w: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Reward those individuals who significantly impact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results</w:t>
            </w:r>
          </w:p>
        </w:tc>
      </w:tr>
      <w:tr>
        <w:trPr>
          <w:trHeight w:val="641"/>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Align executive officer and equityholder interests by</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creating a link between executive compensation and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61" w:right="260" w:hanging="361"/>
        <w:spacing w:after="0" w:line="261" w:lineRule="auto"/>
        <w:tabs>
          <w:tab w:leader="none" w:pos="3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position, experience, job responsibilities, and performance</w:t>
      </w:r>
    </w:p>
    <w:p>
      <w:pPr>
        <w:ind w:left="341" w:hanging="341"/>
        <w:spacing w:after="0"/>
        <w:tabs>
          <w:tab w:leader="none" w:pos="3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(90% weighting)</w:t>
      </w:r>
    </w:p>
    <w:p>
      <w:pPr>
        <w:spacing w:after="0" w:line="9" w:lineRule="exact"/>
        <w:rPr>
          <w:rFonts w:ascii="Times New Roman" w:cs="Times New Roman" w:eastAsia="Times New Roman" w:hAnsi="Times New Roman"/>
          <w:sz w:val="18"/>
          <w:szCs w:val="18"/>
          <w:color w:val="auto"/>
        </w:rPr>
      </w:pPr>
    </w:p>
    <w:p>
      <w:pPr>
        <w:ind w:left="721" w:right="740" w:hanging="361"/>
        <w:spacing w:after="0" w:line="250" w:lineRule="auto"/>
        <w:tabs>
          <w:tab w:leader="none" w:pos="70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EBITDA Dollars (40% weighting)</w:t>
      </w:r>
    </w:p>
    <w:p>
      <w:pPr>
        <w:ind w:left="701" w:hanging="341"/>
        <w:spacing w:after="0"/>
        <w:tabs>
          <w:tab w:leader="none" w:pos="70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Sales (weighted 40%)</w:t>
      </w:r>
    </w:p>
    <w:p>
      <w:pPr>
        <w:spacing w:after="0" w:line="9" w:lineRule="exact"/>
        <w:rPr>
          <w:rFonts w:ascii="Times New Roman" w:cs="Times New Roman" w:eastAsia="Times New Roman" w:hAnsi="Times New Roman"/>
          <w:sz w:val="18"/>
          <w:szCs w:val="18"/>
          <w:color w:val="auto"/>
        </w:rPr>
      </w:pPr>
    </w:p>
    <w:p>
      <w:pPr>
        <w:ind w:left="701" w:hanging="341"/>
        <w:spacing w:after="0"/>
        <w:tabs>
          <w:tab w:leader="none" w:pos="70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10%)</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(10% weighting)</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2"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-1382395</wp:posOffset>
            </wp:positionV>
            <wp:extent cx="27260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6620" w:space="219"/>
            <w:col w:w="4261"/>
          </w:cols>
          <w:pgMar w:left="320" w:top="455" w:right="479" w:bottom="1440" w:gutter="0" w:footer="0" w:header="0"/>
          <w:type w:val="continuous"/>
        </w:sect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addition to these key compensation elements, our Named Executive Officers are provided certain other compensation including perquisites and other benefits, as described in “—Other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 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type w:val="continuous"/>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2018 Base</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2019 Base</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12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seek to have a significant portion of the compensation of our executive officers, including the Named Executive Officers, tied to performance.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accomplish this objective, we provide our executive officers with the opportunity to earn cash bonuses to encourage the achievement of both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individual performance objectives and to reward those individuals who significantly impact our corporate results.</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 EBITDA Dollars, and total Company sales, and of individual performance targets, other than his own, are recommended by Mr. Hicks to the Compensation Committee for its final approval.</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metrics, the weighting of each metric and the minimum, target, and maximum levels of achievement (in each case, expressed as a percentage of the target payout), as well as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of Target Bonus Payout</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22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0"/>
                <w:szCs w:val="10"/>
                <w:color w:val="auto"/>
              </w:rPr>
            </w:pP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CEO</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Others</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Borders>
              <w:top w:val="single" w:sz="8" w:color="auto"/>
            </w:tcBorders>
            <w:shd w:val="clear" w:color="auto" w:fill="CCEEFF"/>
          </w:tcPr>
          <w:p>
            <w:pPr>
              <w:spacing w:after="0"/>
              <w:rPr>
                <w:sz w:val="10"/>
                <w:szCs w:val="10"/>
                <w:color w:val="auto"/>
              </w:rPr>
            </w:pPr>
          </w:p>
        </w:tc>
        <w:tc>
          <w:tcPr>
            <w:tcW w:w="29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Company EBITDA Dollars</w:t>
            </w:r>
          </w:p>
        </w:tc>
        <w:tc>
          <w:tcPr>
            <w:tcW w:w="2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40%</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90%</w:t>
            </w: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300%</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65"/>
        </w:trPr>
        <w:tc>
          <w:tcPr>
            <w:tcW w:w="106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Company Sales</w:t>
            </w:r>
          </w:p>
        </w:tc>
        <w:tc>
          <w:tcPr>
            <w:tcW w:w="840" w:type="dxa"/>
            <w:vAlign w:val="bottom"/>
            <w:gridSpan w:val="2"/>
            <w:vMerge w:val="restart"/>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5"/>
                <w:szCs w:val="5"/>
                <w:color w:val="auto"/>
              </w:rPr>
            </w:pPr>
          </w:p>
        </w:tc>
        <w:tc>
          <w:tcPr>
            <w:tcW w:w="7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shd w:val="clear" w:color="auto" w:fill="CCEEFF"/>
          </w:tcPr>
          <w:p>
            <w:pPr>
              <w:spacing w:after="0"/>
              <w:rPr>
                <w:sz w:val="7"/>
                <w:szCs w:val="7"/>
                <w:color w:val="auto"/>
              </w:rPr>
            </w:pPr>
          </w:p>
        </w:tc>
        <w:tc>
          <w:tcPr>
            <w:tcW w:w="290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ROIC %</w:t>
            </w:r>
          </w:p>
        </w:tc>
        <w:tc>
          <w:tcPr>
            <w:tcW w:w="84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64"/>
        </w:trPr>
        <w:tc>
          <w:tcPr>
            <w:tcW w:w="1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Does not</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Meets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0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9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Individual Goals</w:t>
            </w:r>
          </w:p>
        </w:tc>
        <w:tc>
          <w:tcPr>
            <w:tcW w:w="840" w:type="dxa"/>
            <w:vAlign w:val="bottom"/>
            <w:gridSpan w:val="2"/>
            <w:vMerge w:val="restart"/>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5"/>
                <w:szCs w:val="5"/>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meet all</w:t>
            </w:r>
          </w:p>
        </w:tc>
        <w:tc>
          <w:tcPr>
            <w:tcW w:w="94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expectations</w:t>
            </w: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expectations</w:t>
            </w:r>
          </w:p>
        </w:tc>
        <w:tc>
          <w:tcPr>
            <w:tcW w:w="9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Performance Metrics</w:t>
      </w:r>
    </w:p>
    <w:p>
      <w:pPr>
        <w:spacing w:after="0" w:line="11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at 10%. The level of achievement of these targets is subject to the final determination and approval of the Compensation Committee.</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Individual Performance Metrics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Executive Team Bonus Plan, there is an individual performance component that represents 10% of each Named Executive Officer’s annual bonus opportunity. The maximum payout under the individual 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 (iv) 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Achievement of Performance Goals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2019 Company performance metric results: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Achievement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3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4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 of</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0" w:type="dxa"/>
            <w:vAlign w:val="bottom"/>
            <w:tcBorders>
              <w:top w:val="single" w:sz="8" w:color="auto"/>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$317.3 million</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72"/>
        </w:trPr>
        <w:tc>
          <w:tcPr>
            <w:tcW w:w="13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Sales</w:t>
            </w:r>
          </w:p>
        </w:tc>
        <w:tc>
          <w:tcPr>
            <w:tcW w:w="320" w:type="dxa"/>
            <w:vAlign w:val="bottom"/>
            <w:shd w:val="clear" w:color="auto" w:fill="CCEEFF"/>
          </w:tcPr>
          <w:p>
            <w:pPr>
              <w:spacing w:after="0"/>
              <w:rPr>
                <w:sz w:val="6"/>
                <w:szCs w:val="6"/>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$4.94 billion</w:t>
            </w:r>
          </w:p>
        </w:tc>
        <w:tc>
          <w:tcPr>
            <w:tcW w:w="340" w:type="dxa"/>
            <w:vAlign w:val="bottom"/>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$4.83 billion</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97.9%</w:t>
            </w:r>
          </w:p>
        </w:tc>
        <w:tc>
          <w:tcPr>
            <w:tcW w:w="0" w:type="dxa"/>
            <w:vAlign w:val="bottom"/>
          </w:tcPr>
          <w:p>
            <w:pPr>
              <w:spacing w:after="0"/>
              <w:rPr>
                <w:sz w:val="1"/>
                <w:szCs w:val="1"/>
                <w:color w:val="auto"/>
              </w:rPr>
            </w:pPr>
          </w:p>
        </w:tc>
      </w:tr>
      <w:tr>
        <w:trPr>
          <w:trHeight w:val="144"/>
        </w:trPr>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20" w:type="dxa"/>
            <w:vAlign w:val="bottom"/>
            <w:shd w:val="clear" w:color="auto" w:fill="CCEEFF"/>
          </w:tcPr>
          <w:p>
            <w:pPr>
              <w:spacing w:after="0"/>
              <w:rPr>
                <w:sz w:val="12"/>
                <w:szCs w:val="12"/>
                <w:color w:val="auto"/>
              </w:rPr>
            </w:pPr>
          </w:p>
        </w:tc>
        <w:tc>
          <w:tcPr>
            <w:tcW w:w="54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ROIC %</w:t>
            </w:r>
          </w:p>
        </w:tc>
        <w:tc>
          <w:tcPr>
            <w:tcW w:w="138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13.7%</w:t>
            </w:r>
          </w:p>
        </w:tc>
        <w:tc>
          <w:tcPr>
            <w:tcW w:w="1400" w:type="dxa"/>
            <w:vAlign w:val="bottom"/>
            <w:gridSpan w:val="2"/>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8"/>
                <w:szCs w:val="18"/>
                <w:color w:val="auto"/>
                <w:w w:val="98"/>
              </w:rPr>
              <w:t>14.0%</w:t>
            </w:r>
          </w:p>
        </w:tc>
        <w:tc>
          <w:tcPr>
            <w:tcW w:w="32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80" w:type="dxa"/>
            <w:vAlign w:val="bottom"/>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was determined that each Named Executive Officers achieved his applicable individual performance goals at the targeted level of performance for 2019.</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12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 Bonus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0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82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Factor (%)</w:t>
            </w:r>
          </w:p>
        </w:tc>
        <w:tc>
          <w:tcPr>
            <w:tcW w:w="9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Achieved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1,650,000</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169.9</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487,822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487,822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505,353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690,730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828,876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858,663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463,840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463,840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480,509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446,495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446,495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462,541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160" w:hanging="424"/>
        <w:spacing w:after="0" w:line="256"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Sign-on Bonus Payment</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twelve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85"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desire to motivate, retain, and reward executive talent;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remain competitive in recruiting;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the dilution of equityholders’ interests.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Equity Plan, became effective on August 30, 2011 and has been subsequently amended on multiple occasions to increase the number of Membership Units available for issuance thereunder, most recently on August 26,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(defined below), no further awards will be granted under the 2011 Equity Plan. However, all outstanding awards granted under the 2011 Equity Plan will continue to be governed by the existing terms of the 2011 Equity Plan and the applicable award agreements. 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(defined below) to be adopted in connection with this offering.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regarding long-term equity incentive compensation, see “—Equity Compensation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under 2011 Equity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Option Agreement</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2018 CEO Option Agreement provides:</w:t>
      </w:r>
    </w:p>
    <w:p>
      <w:pPr>
        <w:spacing w:after="0" w:line="131" w:lineRule="exact"/>
        <w:rPr>
          <w:sz w:val="20"/>
          <w:szCs w:val="20"/>
          <w:color w:val="auto"/>
        </w:rPr>
      </w:pPr>
    </w:p>
    <w:p>
      <w:pPr>
        <w:ind w:left="1080" w:right="5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080" w:right="32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6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81" w:lineRule="exact"/>
        <w:rPr>
          <w:rFonts w:ascii="Times New Roman" w:cs="Times New Roman" w:eastAsia="Times New Roman" w:hAnsi="Times New Roman"/>
          <w:sz w:val="18"/>
          <w:szCs w:val="18"/>
          <w:color w:val="auto"/>
        </w:rPr>
      </w:pPr>
    </w:p>
    <w:p>
      <w:pPr>
        <w:ind w:left="1540" w:right="80" w:hanging="331"/>
        <w:spacing w:after="0" w:line="256" w:lineRule="auto"/>
        <w:tabs>
          <w:tab w:leader="none" w:pos="15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92" w:lineRule="exact"/>
        <w:rPr>
          <w:rFonts w:ascii="Times New Roman" w:cs="Times New Roman" w:eastAsia="Times New Roman" w:hAnsi="Times New Roman"/>
          <w:sz w:val="18"/>
          <w:szCs w:val="18"/>
          <w:color w:val="auto"/>
        </w:rPr>
      </w:pPr>
    </w:p>
    <w:p>
      <w:pPr>
        <w:ind w:left="2200" w:right="40" w:hanging="545"/>
        <w:spacing w:after="0" w:line="258" w:lineRule="auto"/>
        <w:tabs>
          <w:tab w:leader="none" w:pos="220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88" w:lineRule="exact"/>
        <w:rPr>
          <w:rFonts w:ascii="Times New Roman" w:cs="Times New Roman" w:eastAsia="Times New Roman" w:hAnsi="Times New Roman"/>
          <w:sz w:val="18"/>
          <w:szCs w:val="18"/>
          <w:color w:val="auto"/>
        </w:rPr>
      </w:pPr>
    </w:p>
    <w:p>
      <w:pPr>
        <w:ind w:left="2200" w:hanging="545"/>
        <w:spacing w:after="0" w:line="256" w:lineRule="auto"/>
        <w:tabs>
          <w:tab w:leader="none" w:pos="220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2" w:lineRule="exact"/>
        <w:rPr>
          <w:rFonts w:ascii="Times New Roman" w:cs="Times New Roman" w:eastAsia="Times New Roman" w:hAnsi="Times New Roman"/>
          <w:sz w:val="18"/>
          <w:szCs w:val="18"/>
          <w:color w:val="auto"/>
        </w:rPr>
      </w:pPr>
    </w:p>
    <w:p>
      <w:pPr>
        <w:ind w:left="2200" w:right="20" w:hanging="545"/>
        <w:spacing w:after="0" w:line="256" w:lineRule="auto"/>
        <w:tabs>
          <w:tab w:leader="none" w:pos="220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92"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during the Option Grant Year, then any then-outstanding and unvested portion of the Performance Options shall become vested and exercisable as to 100%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Membership Units that are subject to such unvested portion, immediately prior to such Change of Control.</w:t>
      </w:r>
    </w:p>
    <w:p>
      <w:pPr>
        <w:spacing w:after="0" w:line="131" w:lineRule="exact"/>
        <w:rPr>
          <w:sz w:val="20"/>
          <w:szCs w:val="20"/>
          <w:color w:val="auto"/>
        </w:rPr>
      </w:pPr>
    </w:p>
    <w:p>
      <w:pPr>
        <w:ind w:left="1540" w:hanging="331"/>
        <w:spacing w:after="0" w:line="258" w:lineRule="auto"/>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CEO Option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2019 CEO Option Agreement is substantially similar to the 2018 CEO Option Agreement, except that (i) vesting is measured from the grant date (not an earlier vesting commencement date), and (ii) with respect to 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80" w:lineRule="exact"/>
        <w:rPr>
          <w:sz w:val="20"/>
          <w:szCs w:val="20"/>
          <w:color w:val="auto"/>
        </w:rPr>
      </w:pPr>
    </w:p>
    <w:p>
      <w:pPr>
        <w:jc w:val="both"/>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Option Agreement</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870,757 Time Options with an exercise price of $5.49 to Mr. Hicks pursuant to an Option Agreement under the 2011 Equity Plan, or the 2020 CEO Option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of Time Options, the 2020 CEO Option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shall be vested and exercisable on the date of such termination.</w:t>
      </w:r>
    </w:p>
    <w:p>
      <w:pPr>
        <w:spacing w:after="0" w:line="85"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Option immediately following the date of such termination, had he remained in service through such vesting date, will become vested and exercisable as of such termination.</w:t>
      </w:r>
    </w:p>
    <w:p>
      <w:pPr>
        <w:spacing w:after="0" w:line="67" w:lineRule="exact"/>
        <w:rPr>
          <w:sz w:val="20"/>
          <w:szCs w:val="20"/>
          <w:color w:val="auto"/>
        </w:rPr>
      </w:pPr>
    </w:p>
    <w:p>
      <w:pPr>
        <w:ind w:left="1080" w:right="200" w:hanging="424"/>
        <w:spacing w:after="0" w:line="312" w:lineRule="auto"/>
        <w:tabs>
          <w:tab w:leader="none" w:pos="10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2016 Executive Option Agreement</w:t>
      </w:r>
    </w:p>
    <w:p>
      <w:pPr>
        <w:spacing w:after="0" w:line="11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2016 Executive Option Agreement is substantially similar to the 2018 CEO Option Agreement, except that it contains the following vesting schedule with respect to the Time Options:</w:t>
      </w:r>
    </w:p>
    <w:p>
      <w:pPr>
        <w:spacing w:after="0" w:line="67" w:lineRule="exact"/>
        <w:rPr>
          <w:sz w:val="20"/>
          <w:szCs w:val="20"/>
          <w:color w:val="auto"/>
        </w:rPr>
      </w:pPr>
    </w:p>
    <w:p>
      <w:pPr>
        <w:ind w:left="1080" w:right="6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Mr. Attaway’s continued service through the applicable vesting date.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2017 Executive Option Agreement</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67" w:lineRule="exact"/>
        <w:rPr>
          <w:sz w:val="20"/>
          <w:szCs w:val="20"/>
          <w:color w:val="auto"/>
        </w:rPr>
      </w:pPr>
    </w:p>
    <w:p>
      <w:pPr>
        <w:ind w:left="108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(repriced down from $6.03 by the Compensation Committee in 2018) to Mr. Mullican;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(repriced down from $6.03 by the Compensation Committee in 2018) to Mr. Johnson; and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123,154 Time Options and 61,576 Performance Options with an exercise price of $5.30 (repriced down from $6.03 by the Compensation Committee in 2018) to Mr. Attaway.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Time Options:</w:t>
      </w:r>
    </w:p>
    <w:p>
      <w:pPr>
        <w:spacing w:after="0" w:line="131" w:lineRule="exact"/>
        <w:rPr>
          <w:sz w:val="20"/>
          <w:szCs w:val="20"/>
          <w:color w:val="auto"/>
        </w:rPr>
      </w:pPr>
    </w:p>
    <w:p>
      <w:pPr>
        <w:ind w:left="1080" w:right="1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Performance Options:</w:t>
      </w:r>
    </w:p>
    <w:p>
      <w:pPr>
        <w:spacing w:after="0" w:line="131" w:lineRule="exact"/>
        <w:rPr>
          <w:sz w:val="20"/>
          <w:szCs w:val="20"/>
          <w:color w:val="auto"/>
        </w:rPr>
      </w:pPr>
    </w:p>
    <w:p>
      <w:pPr>
        <w:ind w:left="1080" w:right="2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85" w:lineRule="exact"/>
        <w:rPr>
          <w:sz w:val="20"/>
          <w:szCs w:val="20"/>
          <w:color w:val="auto"/>
        </w:rPr>
      </w:pPr>
    </w:p>
    <w:p>
      <w:pPr>
        <w:ind w:left="1080" w:hanging="424"/>
        <w:spacing w:after="0" w:line="258"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-852170</wp:posOffset>
            </wp:positionV>
            <wp:extent cx="285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Option Agreement</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67" w:lineRule="exact"/>
        <w:rPr>
          <w:sz w:val="20"/>
          <w:szCs w:val="20"/>
          <w:color w:val="auto"/>
        </w:rPr>
      </w:pPr>
    </w:p>
    <w:p>
      <w:pPr>
        <w:ind w:left="1080" w:right="3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128,825 Time Options and 64,412 Performance Options with an exercise price of $5.23 to Mr. Mullican;</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104,670 Time Options and 52,335 Performance Options with an exercise price of $5.23 to Mr. Johnson;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112,722 Time Options and 56,361 Performance Options with an exercise price of $5.23 to Mr. Attaway.</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67"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2019,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138,861 Time Options and 68,393 Performance Options with an exercise price of $5.26 to Mr. Mullican;</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121,504 Time Options and 59,844 Performance Options with an exercise price of $5.26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67"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217,689 Time Options with an exercise price of $5.49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2020 Executive Option Agreement provides:</w:t>
      </w:r>
    </w:p>
    <w:p>
      <w:pPr>
        <w:spacing w:after="0" w:line="131" w:lineRule="exact"/>
        <w:rPr>
          <w:sz w:val="20"/>
          <w:szCs w:val="20"/>
          <w:color w:val="auto"/>
        </w:rPr>
      </w:pPr>
    </w:p>
    <w:p>
      <w:pPr>
        <w:ind w:left="1080" w:right="4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80"/>
          </w:cols>
          <w:pgMar w:left="320" w:top="455" w:right="5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424"/>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consummation of this offering), the Company will record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Independent Non-Employee Director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162"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Restricted Unit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2018 CEO Restricted Unit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and (ii) the date of a Change of Control, any of the foregoing (i) and (ii) being an Initial Vesting Event, if Mr. Hicks is in continuous service on the date of the Initial Vesting Event.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60"/>
          </w:cols>
          <w:pgMar w:left="320" w:top="455" w:right="51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540" w:right="260" w:hanging="331"/>
        <w:spacing w:after="0" w:line="282" w:lineRule="auto"/>
        <w:tabs>
          <w:tab w:leader="none" w:pos="1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(June 22, 2018), the total number of Restricted Units that will vest on the Initial Vesting Event shall be increased by 1/24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vesting commencement date, and</w:t>
      </w:r>
    </w:p>
    <w:p>
      <w:pPr>
        <w:spacing w:after="0" w:line="81"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all of the Restricted Units will vest on the Initial Vesting Event;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80" w:hanging="331"/>
        <w:spacing w:after="0" w:line="272" w:lineRule="auto"/>
        <w:tabs>
          <w:tab w:leader="none" w:pos="15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ind w:left="1540" w:right="120" w:hanging="331"/>
        <w:spacing w:after="0" w:line="266"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Restricted Units as of such date, vesting will continue under the Time and Service Based Requirement as set forth in clause (2) above, each vesting date a Subsequent Vesting Event. If his service is terminated at any time following this offering, any then-unvested Restricted Units shall be forfeited as of the date of his termination of service.</w:t>
      </w:r>
    </w:p>
    <w:p>
      <w:pPr>
        <w:spacing w:after="0" w:line="180"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w:t>
      </w:r>
    </w:p>
    <w:p>
      <w:pPr>
        <w:spacing w:after="0" w:line="2" w:lineRule="exact"/>
        <w:rPr>
          <w:sz w:val="20"/>
          <w:szCs w:val="20"/>
          <w:color w:val="auto"/>
        </w:rPr>
      </w:pPr>
    </w:p>
    <w:p>
      <w:pPr>
        <w:ind w:left="120" w:right="80" w:hanging="4"/>
        <w:spacing w:after="0" w:line="260" w:lineRule="auto"/>
        <w:tabs>
          <w:tab w:leader="none" w:pos="3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after the consummation of the IPO or (y) March 15th of the calendar year following the calendar year in which the IPO is consummated.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Restricted Unit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303,279 Restricted Units to Mr. Hicks pursuant to a Restricted Unit Agreement under the 2011 Equity Plan, or the 2020 CEO Restricted Unit Agreement.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2020 CEO Restricted Unit Agreement provides that only “Earned Restricted Units” are eligible to become vested in accordance with the vesting schedule set forth therein. Restricted Units become “Earned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Company’s actual consolidated Adjusted EBITDA for the RU Grant Year is: (i) equal to or greater than the “high performance target,” then</w:t>
      </w:r>
    </w:p>
    <w:p>
      <w:pPr>
        <w:spacing w:after="0" w:line="27" w:lineRule="exact"/>
        <w:rPr>
          <w:sz w:val="20"/>
          <w:szCs w:val="20"/>
          <w:color w:val="auto"/>
        </w:rPr>
      </w:pPr>
    </w:p>
    <w:p>
      <w:pPr>
        <w:ind w:left="120" w:right="400"/>
        <w:spacing w:after="0" w:line="255" w:lineRule="auto"/>
        <w:rPr>
          <w:sz w:val="20"/>
          <w:szCs w:val="20"/>
          <w:color w:val="auto"/>
        </w:rPr>
      </w:pPr>
      <w:r>
        <w:rPr>
          <w:rFonts w:ascii="Times New Roman" w:cs="Times New Roman" w:eastAsia="Times New Roman" w:hAnsi="Times New Roman"/>
          <w:sz w:val="18"/>
          <w:szCs w:val="18"/>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8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1"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Mr. Hicks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line="258" w:lineRule="auto"/>
        <w:tabs>
          <w:tab w:leader="none" w:pos="220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the total number of Earned Restricted Units that will vest on the Initial Vesting Event shall be increased by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Earned Restricted Units will vest on the Initial Vesting Event, and</w:t>
      </w:r>
    </w:p>
    <w:p>
      <w:pPr>
        <w:spacing w:after="0" w:line="88"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all of the Earned Restricted Units will vest on the Initial Vesting Event;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58" w:lineRule="auto"/>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(such as this offering),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88"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after IPO.</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Earned Restricted Units as of such date, vesting will continue under the Time and Service Based Requirement schedule as set forth in clause (2) above, each vesting date, a Subsequent Vesting Event. If his service is terminated at any time following this offering, any then-unvested Earned Restricted Units shall be forfeited as of the date of his termination of service.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2020 CEO Restricted Unit Agreement provides that within 30 days following the occurrence of the Initial Vesting Event or any Subsequent Vesting Event as set forth above, Earned Restricted Units that vest as of the Initial Vesting Event or any Subsequent Vesting Event shall be settled; provided, that if the Initial Vesting Event is an IPO (such as this offering),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67"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22, 2018,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377,359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235,850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2018 Executive Restricted Unit Agreement provides:</w:t>
      </w:r>
    </w:p>
    <w:p>
      <w:pPr>
        <w:spacing w:after="0" w:line="131" w:lineRule="exact"/>
        <w:rPr>
          <w:sz w:val="20"/>
          <w:szCs w:val="20"/>
          <w:color w:val="auto"/>
        </w:rPr>
      </w:pPr>
    </w:p>
    <w:p>
      <w:pPr>
        <w:jc w:val="both"/>
        <w:ind w:left="1080" w:right="160" w:hanging="424"/>
        <w:spacing w:after="0" w:line="266"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Requirement and (ii) a liquidity event requirement, or the Liquidity Event Requirement, each as described in clauses (1) and (2) below:</w:t>
      </w:r>
    </w:p>
    <w:p>
      <w:pPr>
        <w:spacing w:after="0" w:line="131" w:lineRule="exact"/>
        <w:rPr>
          <w:sz w:val="20"/>
          <w:szCs w:val="20"/>
          <w:color w:val="auto"/>
        </w:rPr>
      </w:pPr>
    </w:p>
    <w:p>
      <w:pPr>
        <w:ind w:left="1540" w:right="40" w:hanging="331"/>
        <w:spacing w:after="0" w:line="266"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the grantee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25% on or after the first anniversary of the grant date but prior to the second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25% on or after the second anniversary of the grant date but prior to the third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25% on or after the third anniversary of the grant date but prior to the fourth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25% on or after the fourth anniversary of the grant date;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320" w:hanging="331"/>
        <w:spacing w:after="0" w:line="272" w:lineRule="auto"/>
        <w:tabs>
          <w:tab w:leader="none" w:pos="154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 is in continuous service on the date of the Initial Vesting Event, then (i) if the Initial Vesting Event is a Change of Control, all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jc w:val="both"/>
        <w:ind w:left="1540" w:right="160" w:hanging="331"/>
        <w:spacing w:after="0" w:line="266"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at any time following this offering, any then-unvested Restricted Units shall be forfeited as of the date of the grantee’s termination of service.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740" w:right="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Restricted Unit Agreement</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Restricted Unit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Lawrence, Johnson, and Attaway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2020 Executive Restricted Unit Agreement:</w:t>
      </w:r>
    </w:p>
    <w:p>
      <w:pPr>
        <w:spacing w:after="0" w:line="112"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 Restricted Units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39,427 Restricted Units to Mr. Attaway.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67" w:lineRule="exact"/>
        <w:rPr>
          <w:sz w:val="20"/>
          <w:szCs w:val="20"/>
          <w:color w:val="auto"/>
        </w:rPr>
      </w:pPr>
    </w:p>
    <w:p>
      <w:pPr>
        <w:ind w:left="1080" w:right="58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1540" w:right="240" w:hanging="331"/>
        <w:spacing w:after="0" w:line="312" w:lineRule="auto"/>
        <w:tabs>
          <w:tab w:leader="none" w:pos="15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45" w:lineRule="exact"/>
        <w:rPr>
          <w:rFonts w:ascii="Times New Roman" w:cs="Times New Roman" w:eastAsia="Times New Roman" w:hAnsi="Times New Roman"/>
          <w:sz w:val="17"/>
          <w:szCs w:val="17"/>
          <w:color w:val="auto"/>
        </w:rPr>
      </w:pPr>
    </w:p>
    <w:p>
      <w:pPr>
        <w:ind w:left="1540" w:right="240" w:hanging="331"/>
        <w:spacing w:after="0" w:line="282"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50% on or after the second anniversary of the vesting commencement date but prior to the third anniversary of the vesting commencement date,</w:t>
      </w:r>
    </w:p>
    <w:p>
      <w:pPr>
        <w:spacing w:after="0" w:line="6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75% on or after the third anniversary of the vesting commencement date but prior to the fourth anniversary of the vesting commencement date,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100% on or after the fourth anniversary of the vesting commencement date.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Restricted Unit Awards Granted in 2020</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26, 2020, the Company granted the following awards of Restricted Units to each of the Named Executive Officers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August 2020 Restricted Unit Agreement:</w:t>
      </w:r>
    </w:p>
    <w:p>
      <w:pPr>
        <w:spacing w:after="0" w:line="112"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777,203 to Mr. Hicks;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Mullican;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Lawrence;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Johnson;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86,356 to Mr. Attaway.</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820"/>
          </w:cols>
          <w:pgMar w:left="320" w:top="455" w:right="7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August 2020 Restricted Unit Agreement provides:</w:t>
      </w:r>
    </w:p>
    <w:p>
      <w:pPr>
        <w:spacing w:after="0" w:line="131" w:lineRule="exact"/>
        <w:rPr>
          <w:sz w:val="20"/>
          <w:szCs w:val="20"/>
          <w:color w:val="auto"/>
        </w:rPr>
      </w:pPr>
    </w:p>
    <w:p>
      <w:pPr>
        <w:ind w:left="1080" w:right="120" w:hanging="424"/>
        <w:spacing w:after="0" w:line="257"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tenth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below:</w:t>
      </w:r>
    </w:p>
    <w:p>
      <w:pPr>
        <w:spacing w:after="0" w:line="112" w:lineRule="exact"/>
        <w:rPr>
          <w:sz w:val="20"/>
          <w:szCs w:val="20"/>
          <w:color w:val="auto"/>
        </w:rPr>
      </w:pPr>
    </w:p>
    <w:p>
      <w:pPr>
        <w:ind w:left="1540" w:right="60" w:hanging="331"/>
        <w:spacing w:after="0" w:line="258"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(ii) the consummation of an acquisition of the Company or one of its affiliates by, or merger of the Company or one of its affiliates with, a publicly traded special purpose acquisition company, which consummation does not thereupon result in a Change of Control, or a SPAC Event, and (iii) the date of a Change of Control, any of the foregoing (i) to (iii) being an Initial Vesting Event, if the executive is in continuous service on the date of the Initial Vesting Event.</w:t>
      </w:r>
    </w:p>
    <w:p>
      <w:pPr>
        <w:spacing w:after="0" w:line="88"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executive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on or after the first anniversary of the grant date but prior to the second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on or after the second anniversary of the grant date;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that, if the executive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58" w:lineRule="auto"/>
        <w:tabs>
          <w:tab w:leader="none" w:pos="15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in continuous service on the date of the Initial Vesting Event, then (i) if the Initial Vesting Event is a Change of Control, all (100%) of the Restricted Units will become vested upon the Change of Control, and (ii) if the Initial Vesting Event is a SPAC Event or an IPO (such as this offering), the Restricted Units shall become vested as of the SPAC Event or IPO based on the vesting schedule set forth in clause (2) above and any then-unvested Restricted Units shall be subject to continued vesting on the vesting schedule set forth below with regard to “Restricted Units Vested after SPAC Event or IPO”, if applicable.</w:t>
      </w:r>
    </w:p>
    <w:p>
      <w:pPr>
        <w:spacing w:after="0" w:line="88"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continuous service terminates for any reason prior to the date of the Initial Vesting Event, then all Restricted Units, including those Restricted Units that met the Time and Service Based Requirement at the time of the termination of service, will be forfeited as of the date of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SPAC Event or IPO.</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61" w:lineRule="auto"/>
        <w:tabs>
          <w:tab w:leader="none" w:pos="15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in continuous service on the date of the SPAC Event or this offering, then with respect to any unvested Restricted Units as of such date, vesting will continue under the Time and Service Based Requirement as set forth in clause (2) above, each vesting date a Subsequent Vesting Event. If the executive’s service is terminated at any time following the SPAC Event or this offering, any then-unvested Restricted Units shall be forfeited as of the date of termination of service.</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August 2020 Restricted Unit Agreement provides that within 30 days following the occurrence of the Initial Vesting Event or any Subsequent Vesting Event as set forth above, Restricted Units that vest as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Equity Awards under 2020 Equity Plan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Company’s 2020 Omnibus Incentive Plan, or the 2020 Equity Plan. Equity awards under the 2020 Equity Plan will be designed to reward our Named Executive Officers for long-term equityholder value creation. In determining equity awards, we anticipate that our Compensation Committee will take into account the Company’s overall financial performance as well as its performance versus competitor firms.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 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Pension Benefits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Nonqualified Deferred Compensation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Benefits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Benefits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benefits described below are provided to the Named Executive Officers to eliminate potential distractions from performing their regular job duties and to promote productivity, health and wellbeing. We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Hicks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80" w:hanging="4"/>
        <w:spacing w:after="0" w:line="282" w:lineRule="auto"/>
        <w:tabs>
          <w:tab w:leader="none" w:pos="7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53" w:lineRule="exact"/>
        <w:rPr>
          <w:rFonts w:ascii="Times New Roman" w:cs="Times New Roman" w:eastAsia="Times New Roman" w:hAnsi="Times New Roman"/>
          <w:sz w:val="18"/>
          <w:szCs w:val="18"/>
          <w:color w:val="auto"/>
        </w:rPr>
      </w:pPr>
    </w:p>
    <w:p>
      <w:pPr>
        <w:ind w:left="560" w:hanging="4"/>
        <w:spacing w:after="0" w:line="282" w:lineRule="auto"/>
        <w:tabs>
          <w:tab w:leader="none" w:pos="82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have use of a company-owned vehicle when in Katy, Texas with satellite radio and all maintenance and insurance costs with respect to such vehicle; and</w:t>
      </w:r>
    </w:p>
    <w:p>
      <w:pPr>
        <w:spacing w:after="0" w:line="53"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Johnson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2019, pursuant to his employment agreement, the Company provided Mr. Johnson reimbursement for relocation expenses, with a tax gross-up.</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Attaway</w:t>
      </w:r>
    </w:p>
    <w:p>
      <w:pPr>
        <w:spacing w:after="0" w:line="119"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In 2019, Mr. Attaway received tax preparation reimbursement regarding his Allstar Managers unit subscription, which was offered to all employees who subscribed for units at that time. This benefit will cease to apply in 2020 by mutual agreement of the Company and Mr. Attaway.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Each Named Executive Officer is entitled to receive severance benefits under the terms of his employment agreement upon either termination by us without cause or a resignation by the Named Executive Officer for good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total compensation earned by our Named Executive Officers in the fiscal year ended February 1, 2020 (or</w:t>
      </w:r>
    </w:p>
    <w:p>
      <w:pPr>
        <w:spacing w:after="0" w:line="27"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 Equity</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00" w:type="dxa"/>
            <w:vAlign w:val="bottom"/>
            <w:vMerge w:val="restart"/>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86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94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Ken C. Hicks</w:t>
            </w:r>
          </w:p>
        </w:tc>
        <w:tc>
          <w:tcPr>
            <w:tcW w:w="360" w:type="dxa"/>
            <w:vAlign w:val="bottom"/>
            <w:tcBorders>
              <w:top w:val="single" w:sz="8" w:color="auto"/>
            </w:tcBorders>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1,100,000</w:t>
            </w: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2,808,290</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1,868,667</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1,089,042</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6,865,999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P. Mullican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487,827</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571,336</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505,353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1,588,183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Chief Financial Officer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P. Lawrence</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677,596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1,428,983</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858,663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3,165,242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Merchandising Officer(7)</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Samuel J. Johnson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463,884</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499,922</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480,509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1,498,182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Retail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Kenneth D. Attaway</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446,500</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464,211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462,541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1,399,456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Operations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Named Executive Officer’s base salary earned during 2019.</w:t>
      </w:r>
    </w:p>
    <w:p>
      <w:pPr>
        <w:spacing w:after="0" w:line="162"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6" w:lineRule="exact"/>
        <w:rPr>
          <w:sz w:val="20"/>
          <w:szCs w:val="20"/>
          <w:color w:val="auto"/>
        </w:rPr>
      </w:pPr>
    </w:p>
    <w:p>
      <w:pPr>
        <w:ind w:left="540" w:right="20" w:hanging="424"/>
        <w:spacing w:after="0" w:line="267" w:lineRule="auto"/>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spacing w:after="0" w:line="1" w:lineRule="exact"/>
        <w:rPr>
          <w:rFonts w:ascii="Times New Roman" w:cs="Times New Roman" w:eastAsia="Times New Roman" w:hAnsi="Times New Roman"/>
          <w:sz w:val="16"/>
          <w:szCs w:val="16"/>
          <w:color w:val="auto"/>
        </w:rPr>
      </w:pPr>
    </w:p>
    <w:p>
      <w:pPr>
        <w:ind w:left="540" w:right="120" w:hanging="424"/>
        <w:spacing w:after="0" w:line="264" w:lineRule="auto"/>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ind w:left="540" w:hanging="424"/>
        <w:spacing w:after="0" w:line="264" w:lineRule="auto"/>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6"/>
          <w:szCs w:val="16"/>
          <w:i w:val="1"/>
          <w:iCs w:val="1"/>
          <w:color w:val="auto"/>
        </w:rPr>
        <w:t>Equity and Unit-Based Compensation</w:t>
      </w:r>
      <w:r>
        <w:rPr>
          <w:rFonts w:ascii="Times New Roman" w:cs="Times New Roman" w:eastAsia="Times New Roman" w:hAnsi="Times New Roman"/>
          <w:sz w:val="16"/>
          <w:szCs w:val="16"/>
          <w:color w:val="auto"/>
        </w:rPr>
        <w:t xml:space="preserve"> to our audited consolidated financial statements included in our Annual Report,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ind w:left="540" w:right="380" w:hanging="424"/>
        <w:spacing w:after="0" w:line="264" w:lineRule="auto"/>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description of our perquisites, see “Other Compensation—Perquisites and Other Benefits” in this Compensation Discussion and Analysis.</w:t>
      </w:r>
    </w:p>
    <w:p>
      <w:pPr>
        <w:spacing w:after="0" w:line="118" w:lineRule="exact"/>
        <w:rPr>
          <w:rFonts w:ascii="Times New Roman" w:cs="Times New Roman" w:eastAsia="Times New Roman" w:hAnsi="Times New Roman"/>
          <w:sz w:val="16"/>
          <w:szCs w:val="16"/>
          <w:color w:val="auto"/>
        </w:rPr>
      </w:pPr>
    </w:p>
    <w:p>
      <w:pPr>
        <w:ind w:left="560" w:right="42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for Mr. Hicks includes the following perquisites, pursuant to Mr. Hicks’ employment agreement and which were approved by the Compensation Committee:</w:t>
      </w:r>
    </w:p>
    <w:p>
      <w:pPr>
        <w:spacing w:after="0" w:line="56" w:lineRule="exact"/>
        <w:rPr>
          <w:rFonts w:ascii="Times New Roman" w:cs="Times New Roman" w:eastAsia="Times New Roman" w:hAnsi="Times New Roman"/>
          <w:sz w:val="16"/>
          <w:szCs w:val="16"/>
          <w:color w:val="auto"/>
        </w:rPr>
      </w:pPr>
    </w:p>
    <w:p>
      <w:pPr>
        <w:ind w:left="1000" w:right="80" w:hanging="3"/>
        <w:spacing w:after="0" w:line="298" w:lineRule="auto"/>
        <w:tabs>
          <w:tab w:leader="none" w:pos="1194"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56" w:lineRule="exact"/>
        <w:rPr>
          <w:rFonts w:ascii="Times New Roman" w:cs="Times New Roman" w:eastAsia="Times New Roman" w:hAnsi="Times New Roman"/>
          <w:sz w:val="16"/>
          <w:szCs w:val="16"/>
          <w:color w:val="auto"/>
        </w:rPr>
      </w:pPr>
    </w:p>
    <w:p>
      <w:pPr>
        <w:ind w:left="1000" w:right="340" w:hanging="3"/>
        <w:spacing w:after="0" w:line="298" w:lineRule="auto"/>
        <w:tabs>
          <w:tab w:leader="none" w:pos="1239"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56" w:lineRule="exact"/>
        <w:rPr>
          <w:rFonts w:ascii="Times New Roman" w:cs="Times New Roman" w:eastAsia="Times New Roman" w:hAnsi="Times New Roman"/>
          <w:sz w:val="16"/>
          <w:szCs w:val="16"/>
          <w:color w:val="auto"/>
        </w:rPr>
      </w:pPr>
    </w:p>
    <w:p>
      <w:pPr>
        <w:jc w:val="both"/>
        <w:ind w:left="1000" w:right="60" w:hanging="3"/>
        <w:spacing w:after="0" w:line="281" w:lineRule="auto"/>
        <w:tabs>
          <w:tab w:leader="none" w:pos="1284"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69" w:lineRule="exact"/>
        <w:rPr>
          <w:sz w:val="20"/>
          <w:szCs w:val="20"/>
          <w:color w:val="auto"/>
        </w:rPr>
      </w:pPr>
    </w:p>
    <w:p>
      <w:pPr>
        <w:ind w:left="560" w:right="80"/>
        <w:spacing w:after="0" w:line="298" w:lineRule="auto"/>
        <w:rPr>
          <w:sz w:val="20"/>
          <w:szCs w:val="20"/>
          <w:color w:val="auto"/>
        </w:rPr>
      </w:pPr>
      <w:r>
        <w:rPr>
          <w:rFonts w:ascii="Times New Roman" w:cs="Times New Roman" w:eastAsia="Times New Roman" w:hAnsi="Times New Roman"/>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56" w:lineRule="exact"/>
        <w:rPr>
          <w:sz w:val="20"/>
          <w:szCs w:val="20"/>
          <w:color w:val="auto"/>
        </w:rPr>
      </w:pPr>
    </w:p>
    <w:p>
      <w:pPr>
        <w:ind w:left="560" w:right="40"/>
        <w:spacing w:after="0" w:line="281" w:lineRule="auto"/>
        <w:rPr>
          <w:sz w:val="20"/>
          <w:szCs w:val="20"/>
          <w:color w:val="auto"/>
        </w:rPr>
      </w:pPr>
      <w:r>
        <w:rPr>
          <w:rFonts w:ascii="Times New Roman" w:cs="Times New Roman" w:eastAsia="Times New Roman" w:hAnsi="Times New Roman"/>
          <w:sz w:val="16"/>
          <w:szCs w:val="16"/>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69" w:lineRule="exact"/>
        <w:rPr>
          <w:sz w:val="20"/>
          <w:szCs w:val="20"/>
          <w:color w:val="auto"/>
        </w:rPr>
      </w:pPr>
    </w:p>
    <w:p>
      <w:pPr>
        <w:ind w:left="560" w:right="220"/>
        <w:spacing w:after="0" w:line="298" w:lineRule="auto"/>
        <w:rPr>
          <w:sz w:val="20"/>
          <w:szCs w:val="20"/>
          <w:color w:val="auto"/>
        </w:rPr>
      </w:pPr>
      <w:r>
        <w:rPr>
          <w:rFonts w:ascii="Times New Roman" w:cs="Times New Roman" w:eastAsia="Times New Roman" w:hAnsi="Times New Roman"/>
          <w:sz w:val="16"/>
          <w:szCs w:val="16"/>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56" w:lineRule="exact"/>
        <w:rPr>
          <w:sz w:val="20"/>
          <w:szCs w:val="20"/>
          <w:color w:val="auto"/>
        </w:rPr>
      </w:pPr>
    </w:p>
    <w:p>
      <w:pPr>
        <w:ind w:left="560" w:right="60"/>
        <w:spacing w:after="0" w:line="298" w:lineRule="auto"/>
        <w:rPr>
          <w:sz w:val="20"/>
          <w:szCs w:val="20"/>
          <w:color w:val="auto"/>
        </w:rPr>
      </w:pPr>
      <w:r>
        <w:rPr>
          <w:rFonts w:ascii="Times New Roman" w:cs="Times New Roman" w:eastAsia="Times New Roman" w:hAnsi="Times New Roman"/>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6" w:lineRule="exact"/>
        <w:rPr>
          <w:sz w:val="20"/>
          <w:szCs w:val="20"/>
          <w:color w:val="auto"/>
        </w:rPr>
      </w:pPr>
    </w:p>
    <w:p>
      <w:pPr>
        <w:ind w:left="560" w:right="260"/>
        <w:spacing w:after="0" w:line="298" w:lineRule="auto"/>
        <w:rPr>
          <w:sz w:val="20"/>
          <w:szCs w:val="20"/>
          <w:color w:val="auto"/>
        </w:rPr>
      </w:pPr>
      <w:r>
        <w:rPr>
          <w:rFonts w:ascii="Times New Roman" w:cs="Times New Roman" w:eastAsia="Times New Roman" w:hAnsi="Times New Roman"/>
          <w:sz w:val="16"/>
          <w:szCs w:val="16"/>
          <w:color w:val="auto"/>
        </w:rPr>
        <w:t>“All Other Compensation” for Mr. Attaway includes: (i) $16,859 for the employer matching contribution by the Company under our 401(k) plan; (ii) $1,800 in connection with an executive physical; (iii) $5,000 in connection with financial planning; and (iv) $2,545 in connection with tax preparation assistance.</w:t>
      </w:r>
    </w:p>
    <w:p>
      <w:pPr>
        <w:spacing w:after="0" w:line="56" w:lineRule="exact"/>
        <w:rPr>
          <w:sz w:val="20"/>
          <w:szCs w:val="20"/>
          <w:color w:val="auto"/>
        </w:rPr>
      </w:pPr>
    </w:p>
    <w:p>
      <w:pPr>
        <w:ind w:left="560" w:right="40"/>
        <w:spacing w:after="0" w:line="275" w:lineRule="auto"/>
        <w:rPr>
          <w:sz w:val="20"/>
          <w:szCs w:val="20"/>
          <w:color w:val="auto"/>
        </w:rPr>
      </w:pPr>
      <w:r>
        <w:rPr>
          <w:rFonts w:ascii="Times New Roman" w:cs="Times New Roman" w:eastAsia="Times New Roman" w:hAnsi="Times New Roman"/>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88"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Lawrence commenced employment with us on February 11, 2019, after the beginning of the 2019 fiscal year. He did not participate in the 401(k) plan in 2019.</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 WITH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Each of Messrs. Hicks, Mullican, Lawrence, and Johnson are subject to the following restrictive covenants under their applicable employment agreements: (i) confidentiality during employment and perpetually upon termination, (ii) irrevocable assignment of all rights of any intellectual property created during employment to the Company, (iii) non-competition during employment and for 24 months following termination, and</w:t>
      </w:r>
    </w:p>
    <w:p>
      <w:pPr>
        <w:spacing w:after="0" w:line="1" w:lineRule="exact"/>
        <w:rPr>
          <w:sz w:val="20"/>
          <w:szCs w:val="20"/>
          <w:color w:val="auto"/>
        </w:rPr>
      </w:pPr>
    </w:p>
    <w:p>
      <w:pPr>
        <w:ind w:left="120" w:right="640" w:hanging="4"/>
        <w:spacing w:after="0" w:line="250" w:lineRule="auto"/>
        <w:tabs>
          <w:tab w:leader="none" w:pos="42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no hire, and non-solicitation of customers for 24 months following termination. Mr. Attaway is subject to the following restrictive covenants under his employment agreement: (i) confidentiality during employment and perpetually upon termination,</w:t>
      </w:r>
    </w:p>
    <w:p>
      <w:pPr>
        <w:ind w:left="120" w:right="140" w:hanging="4"/>
        <w:spacing w:after="0" w:line="253" w:lineRule="auto"/>
        <w:tabs>
          <w:tab w:leader="none" w:pos="3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below, each of the employment agreements also provides for certain severance payments that may be due following termination of employment under certain circumstances, subject to execution of a release of claims and compliance with certain restrictive covenants, described under the heading “Potential Payments upon Termination of Employment or Change of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Hicks Employment Agreement</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Hicks Employment Agreement has no specified employment term and may be terminated by either the Company or Mr. Hicks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76" w:lineRule="exact"/>
        <w:rPr>
          <w:sz w:val="20"/>
          <w:szCs w:val="20"/>
          <w:color w:val="auto"/>
        </w:rPr>
      </w:pPr>
    </w:p>
    <w:p>
      <w:pPr>
        <w:ind w:left="120" w:right="200" w:firstLine="440"/>
        <w:spacing w:after="0" w:line="276" w:lineRule="auto"/>
        <w:rPr>
          <w:sz w:val="20"/>
          <w:szCs w:val="20"/>
          <w:color w:val="auto"/>
        </w:rPr>
      </w:pPr>
      <w:r>
        <w:rPr>
          <w:rFonts w:ascii="Times New Roman" w:cs="Times New Roman" w:eastAsia="Times New Roman" w:hAnsi="Times New Roman"/>
          <w:sz w:val="17"/>
          <w:szCs w:val="17"/>
          <w:color w:val="auto"/>
        </w:rPr>
        <w:t>During Mr. Hicks’ employment: (i) 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1" w:lineRule="exact"/>
        <w:rPr>
          <w:sz w:val="20"/>
          <w:szCs w:val="20"/>
          <w:color w:val="auto"/>
        </w:rPr>
      </w:pPr>
    </w:p>
    <w:p>
      <w:pPr>
        <w:ind w:left="120" w:right="80" w:hanging="4"/>
        <w:spacing w:after="0" w:line="271" w:lineRule="auto"/>
        <w:tabs>
          <w:tab w:leader="none" w:pos="38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Mullican Employment Agreement</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Lawrence Employment Agreement</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Lawrence Employment Agreement has no specified employment term and may be terminated by either the Company or Mr. Lawrence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Johnson Employment Agreement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Johnson Employment Agreement provides that Mr. Johnson’s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Johnson.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Attaway Employment Agreement</w:t>
      </w:r>
    </w:p>
    <w:p>
      <w:pPr>
        <w:spacing w:after="0" w:line="121"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60"/>
          </w:cols>
          <w:pgMar w:left="320" w:top="455" w:right="51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 BASED AWARDS IN 2019</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 information regarding equity incentive plan awards, please see “Long-Term Equity Incentive Compensation—Equity Awards under 2011 Equity Plan.”</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 Based Awards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w:t>
            </w:r>
          </w:p>
        </w:tc>
        <w:tc>
          <w:tcPr>
            <w:tcW w:w="22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Incentive Plan Awards(3)</w:t>
            </w: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Date(2)</w:t>
            </w: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Annual</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694,301</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1,881,555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119,962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341,969</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926,735</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P. Mullican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243,911</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487,822</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975,644</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138,861</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383,256</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23,992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68,393</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188,080</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414,438</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828,876</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1,657,752</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411,270</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1,135,105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37,488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106,865</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293,878</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Restricted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Units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142,586</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 J. Johnson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231,920</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463,840</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927,680</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121,504</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335,351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20,993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59,844</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164,571</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223,247</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446,495</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892,990</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112,824</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311,394</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19,493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55,570</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152,817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line="226"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 Named Executive Officers are set forth in the “Summary Compensation Table” above and the calculation of the actual amounts paid is discussed more fully in “—Executive Team Bonus Plan” above.</w:t>
      </w:r>
    </w:p>
    <w:p>
      <w:pPr>
        <w:ind w:left="54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schedule applicable to each Time Option, Performance Option, and Restricted Unit award is set forth in the “—Outstanding Equity Awards at Fiscal Year End Table” table.</w:t>
      </w:r>
    </w:p>
    <w:p>
      <w:pPr>
        <w:ind w:left="54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level of achievement is the highest level of achievement possible under the equity incentive plan awards listed in this table.</w:t>
      </w:r>
    </w:p>
    <w:p>
      <w:pPr>
        <w:ind w:left="540" w:right="8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4"/>
          <w:szCs w:val="14"/>
          <w:i w:val="1"/>
          <w:iCs w:val="1"/>
          <w:color w:val="auto"/>
        </w:rPr>
        <w:t>Equity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Unit-Based Compensation </w:t>
      </w:r>
      <w:r>
        <w:rPr>
          <w:rFonts w:ascii="Times New Roman" w:cs="Times New Roman" w:eastAsia="Times New Roman" w:hAnsi="Times New Roman"/>
          <w:sz w:val="14"/>
          <w:szCs w:val="14"/>
          <w:color w:val="auto"/>
        </w:rPr>
        <w:t>to our audited consolidated financial statements incorporated by reference in this prospectus. The grant date fair value of the Performance Options,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1" w:lineRule="exact"/>
        <w:rPr>
          <w:rFonts w:ascii="Times New Roman" w:cs="Times New Roman" w:eastAsia="Times New Roman" w:hAnsi="Times New Roman"/>
          <w:sz w:val="14"/>
          <w:szCs w:val="14"/>
          <w:color w:val="auto"/>
        </w:rPr>
      </w:pPr>
    </w:p>
    <w:p>
      <w:pPr>
        <w:ind w:left="540" w:right="20" w:hanging="424"/>
        <w:spacing w:after="0" w:line="227"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with regard to each outstanding equity award held by the Named Executive Officers on February 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1040" w:type="dxa"/>
            <w:vAlign w:val="bottom"/>
            <w:gridSpan w:val="3"/>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Date(4)</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1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9/16/2018</w:t>
            </w:r>
          </w:p>
        </w:tc>
        <w:tc>
          <w:tcPr>
            <w:tcW w:w="1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center"/>
              <w:ind w:left="18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3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200"/>
              <w:spacing w:after="0" w:line="113" w:lineRule="exact"/>
              <w:rPr>
                <w:sz w:val="20"/>
                <w:szCs w:val="20"/>
                <w:color w:val="auto"/>
              </w:rPr>
            </w:pPr>
            <w:r>
              <w:rPr>
                <w:rFonts w:ascii="Times New Roman" w:cs="Times New Roman" w:eastAsia="Times New Roman" w:hAnsi="Times New Roman"/>
                <w:sz w:val="13"/>
                <w:szCs w:val="13"/>
                <w:color w:val="auto"/>
              </w:rPr>
              <w:t>735,295</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4,036,769</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226,674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291,461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259,068</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144,640</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549,661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3/7/2019(10)</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341,969</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Michael P. Mullican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9"/>
              </w:rPr>
              <w:t>3/23/2017(11)</w:t>
            </w:r>
          </w:p>
        </w:tc>
        <w:tc>
          <w:tcPr>
            <w:tcW w:w="180" w:type="dxa"/>
            <w:vAlign w:val="bottom"/>
          </w:tcPr>
          <w:p>
            <w:pPr>
              <w:spacing w:after="0"/>
              <w:rPr>
                <w:sz w:val="10"/>
                <w:szCs w:val="10"/>
                <w:color w:val="auto"/>
              </w:rPr>
            </w:pPr>
          </w:p>
        </w:tc>
        <w:tc>
          <w:tcPr>
            <w:tcW w:w="80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49,261</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49,262</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3/23/2017(12)</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21,429</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4/5/2018(13)</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32,206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96,619</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4/5/2018(14)</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64,412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2,071,700</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3/7/2019(15)</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138,861</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3/7/2019(16)</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68,393</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3/7/2019</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142,586</w:t>
            </w:r>
          </w:p>
        </w:tc>
        <w:tc>
          <w:tcPr>
            <w:tcW w:w="7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782,797</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3/7/2019(17)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411,270</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106,865</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Sam J. Johnson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6/6/2017(19)</w:t>
            </w:r>
          </w:p>
        </w:tc>
        <w:tc>
          <w:tcPr>
            <w:tcW w:w="980" w:type="dxa"/>
            <w:vAlign w:val="bottom"/>
            <w:gridSpan w:val="3"/>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6/6/2017(20)</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10,436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10,438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16,072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4/5/2018(21)</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26,167</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78,503</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4/5/2018(22)</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52,335</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1,294,816</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3/7/2019(23)</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121,504</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3/7/2019(24)</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59,844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7/2/2015(25)</w:t>
            </w:r>
          </w:p>
        </w:tc>
        <w:tc>
          <w:tcPr>
            <w:tcW w:w="9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7/2/2015(26)</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3/27/2016(27)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88,752</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29,585</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3/27/2026</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61,576</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61,578</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17,394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17,396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26,786</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28,180</w:t>
            </w:r>
          </w:p>
        </w:tc>
        <w:tc>
          <w:tcPr>
            <w:tcW w:w="4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84,542</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56,361</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141,510</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776,889</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3/7/2019(32)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112,824</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3/7/2019(33)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55,570</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vested Time Options and vested Performance Options as of February 1, 2020.</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(i) unvested Time Options as of February 1, 2020, or (ii) Performance Options which became Earned and are subject to time vesting.</w:t>
      </w: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unvested Performance Options that are not Earned as of February 1, 2020.</w:t>
      </w: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for each of the Options is the date that is ten years after the initial grant date.</w:t>
      </w:r>
    </w:p>
    <w:p>
      <w:pPr>
        <w:ind w:left="540" w:right="160" w:hanging="424"/>
        <w:spacing w:after="0" w:line="239"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Restricted Units granted to each Named Executive Officer are reported in this column because they are subject to a liquidity event-based vesting condition which will only be satisfied upon the closing of this offering, in addition to any other vesting conditions that continue to</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300"/>
        <w:spacing w:after="0" w:line="233" w:lineRule="auto"/>
        <w:rPr>
          <w:sz w:val="20"/>
          <w:szCs w:val="20"/>
          <w:color w:val="auto"/>
        </w:rPr>
      </w:pPr>
      <w:r>
        <w:rPr>
          <w:rFonts w:ascii="Times New Roman" w:cs="Times New Roman" w:eastAsia="Times New Roman" w:hAnsi="Times New Roman"/>
          <w:sz w:val="14"/>
          <w:szCs w:val="14"/>
          <w:color w:val="auto"/>
        </w:rPr>
        <w:t>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ind w:left="540" w:right="22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ind w:left="540" w:right="66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2018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vesting commencement date (April 5, 2018), subject to continued employment through the applicable vesting date.</w:t>
      </w:r>
    </w:p>
    <w:p>
      <w:pPr>
        <w:ind w:left="540" w:right="10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66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2019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grant date, subject to continued employment through the applicable vesting date.</w:t>
      </w:r>
    </w:p>
    <w:p>
      <w:pPr>
        <w:ind w:left="540" w:right="6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39"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80" w:hanging="424"/>
        <w:spacing w:after="0" w:line="224"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jc w:val="both"/>
        <w:ind w:left="540" w:right="4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ind w:left="540" w:right="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8"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100" w:hanging="424"/>
        <w:spacing w:after="0" w:line="233" w:lineRule="auto"/>
        <w:tabs>
          <w:tab w:leader="none" w:pos="5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120" w:hanging="424"/>
        <w:spacing w:after="0" w:line="228" w:lineRule="auto"/>
        <w:tabs>
          <w:tab w:leader="none" w:pos="5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Fiscal 2019 Restricted Units Vested Table</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Units</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Vesting (#)(1)</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80" w:hanging="424"/>
        <w:spacing w:after="0" w:line="261"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ind w:left="540" w:right="160" w:hanging="424"/>
        <w:spacing w:after="0" w:line="290" w:lineRule="auto"/>
        <w:tabs>
          <w:tab w:leader="none" w:pos="5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Equity Plan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 (i) exercise all of the powers granted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it under the 2011 Equity Plan, (ii) construe, interpret and implement the 2011 Equity Plan and any award agreement, (iii) prescribe, amend and rescind rules and regulations relating to the 2011 Equity Plan, including rules governing its own operations, (iv) 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Membership Unit Reserve</w:t>
      </w:r>
    </w:p>
    <w:p>
      <w:pPr>
        <w:spacing w:after="0" w:line="119" w:lineRule="exact"/>
        <w:rPr>
          <w:sz w:val="20"/>
          <w:szCs w:val="20"/>
          <w:color w:val="auto"/>
        </w:rPr>
      </w:pPr>
    </w:p>
    <w:p>
      <w:pPr>
        <w:ind w:left="700" w:right="1000" w:hanging="143"/>
        <w:spacing w:after="0" w:line="282" w:lineRule="auto"/>
        <w:rPr>
          <w:sz w:val="20"/>
          <w:szCs w:val="20"/>
          <w:color w:val="auto"/>
        </w:rPr>
      </w:pPr>
      <w:r>
        <w:rPr>
          <w:rFonts w:ascii="Times New Roman" w:cs="Times New Roman" w:eastAsia="Times New Roman" w:hAnsi="Times New Roman"/>
          <w:sz w:val="18"/>
          <w:szCs w:val="18"/>
          <w:color w:val="auto"/>
        </w:rPr>
        <w:t>There are a total of 38,097,431 Membership Units available for awards under the 2011 Equity Plan. As of August 26, 2020, there are Membership Units that are authorized and available for the grant of awards under the 2011 Equity Plan.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2011 Equity Plan</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 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and Distributions of Awards</w:t>
      </w:r>
    </w:p>
    <w:p>
      <w:pPr>
        <w:spacing w:after="0" w:line="11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2011 Equity Plan and Awards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 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Treatment of Awards upon Change of Control</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the 2011 Equity Plan, “Change of Control” is generally defined as (a) the sale of all or substantially all of the assets of the Company or Allstar LLC, or the Managing Member, to any “Person,” as such 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 (B) 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2020 Equity Plan. Equity awards under the 2020 Equity Plan will be designed to reward our Named Executive Officers for long-term equityholder value creation. The following summary is qualified in its entirety by reference to the 2020 Equity Plan that has been adopted by the Board.</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2020 Equity Plan will be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 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2020 Equity Plan</w:t>
      </w:r>
    </w:p>
    <w:p>
      <w:pPr>
        <w:sectPr>
          <w:pgSz w:w="11900" w:h="16838" w:orient="portrait"/>
          <w:cols w:equalWidth="0" w:num="1">
            <w:col w:w="11060"/>
          </w:cols>
          <w:pgMar w:left="320" w:top="455" w:right="51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Equity Plan provides that the total number of shares of common stock that may be issued under the 2020 Equity Plan 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Absolute Share Limit. No more than the number of shares of common stock equal to the Absolute Share Limit may be issued in the aggregate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exercise of incentive stock options. The maximum number of shares of common stock granted during a single fiscal year to</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or</w:t>
      </w:r>
    </w:p>
    <w:p>
      <w:pPr>
        <w:spacing w:after="0" w:line="600" w:lineRule="exact"/>
        <w:rPr>
          <w:sz w:val="20"/>
          <w:szCs w:val="20"/>
          <w:color w:val="auto"/>
        </w:rPr>
      </w:pPr>
    </w:p>
    <w:p>
      <w:pPr>
        <w:sectPr>
          <w:pgSz w:w="11900" w:h="16838" w:orient="portrait"/>
          <w:cols w:equalWidth="0" w:num="2">
            <w:col w:w="10580" w:space="60"/>
            <w:col w:w="420"/>
          </w:cols>
          <w:pgMar w:left="320" w:top="455" w:right="51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60"/>
          </w:cols>
          <w:pgMar w:left="320" w:top="455" w:right="519" w:bottom="1440" w:gutter="0" w:footer="0" w:header="0"/>
          <w:type w:val="continuous"/>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any non-employee director, taken together with any cash fees paid to such non-employee director during the fiscal year, may not exceed $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effective date (as defined therein), but awards granted before then may extend beyond that date.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The Compensation Committee may grant non-qualified stock options and incentive stock options, under the 2020 Equity Plan, with terms and conditions determined by the Compensation Committee that are not 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will be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w:t>
      </w:r>
    </w:p>
    <w:p>
      <w:pPr>
        <w:spacing w:after="0" w:line="7" w:lineRule="exact"/>
        <w:rPr>
          <w:sz w:val="20"/>
          <w:szCs w:val="20"/>
          <w:color w:val="auto"/>
        </w:rPr>
      </w:pPr>
    </w:p>
    <w:p>
      <w:pPr>
        <w:ind w:left="120" w:right="180" w:hanging="4"/>
        <w:spacing w:after="0" w:line="260" w:lineRule="auto"/>
        <w:tabs>
          <w:tab w:leader="none" w:pos="40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“net exercise” procedure effected by withholding the minimum number of shares needed to pay the exercise price. Any fractional shares of common stock will be settled in cash.</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Shares and Restricted Stock Units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Equity-Based Awards and Cash-Based Awards</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2020 Equity Plan and Awards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any change of control, the Compensation Committee may, in its sole discretion, provide for any one or more of the following:</w:t>
      </w:r>
    </w:p>
    <w:p>
      <w:pPr>
        <w:spacing w:after="0" w:line="27" w:lineRule="exact"/>
        <w:rPr>
          <w:sz w:val="20"/>
          <w:szCs w:val="20"/>
          <w:color w:val="auto"/>
        </w:rPr>
      </w:pPr>
    </w:p>
    <w:p>
      <w:pPr>
        <w:ind w:left="120" w:right="100" w:hanging="4"/>
        <w:spacing w:after="0" w:line="251" w:lineRule="auto"/>
        <w:tabs>
          <w:tab w:leader="none" w:pos="33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5" w:right="49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 and Dividend Equivalents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Clawback/Repayment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the Board will adopt, and we expect our equityholders to approve, the Company’s 2020 Employee Stock Purchase Plan, or the ESPP. The following summary is qualified in its entirety by reference to the ESPP that has been adopted by the Board.</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ESPP is intended to give eligible employees an opportunity to acquire shares of our common stock and promote our best interests and enhance our long-term performance. We believe that allowing our employees to participate in the ESPP provides them with a further incentive towards ensuring our success and accomplishing our corporate goals. The ESPP is intended to qualify as an “employee stock purchase plan” under Section 423 of the Code. We may authorize offerings under the ESPP that are not intended to comply with Section 423 of the Code, which offerings will be made pursuant to any rules, procedures or sub-plans adopted by the committee for such purpose.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number of shares of our common stock that may be issued under the ESPP may not exceed shares, which number will be</w:t>
      </w:r>
    </w:p>
    <w:p>
      <w:pPr>
        <w:spacing w:after="0" w:line="2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automatically increased on the first day of each fiscal year beginning in in an amount equal to the least of (i) shares of our common 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ESPP will be administered by the Compensation Committee, or such other committee as may be designated by the Board, or the Board (such administering body, the “Administrator”). The Administrator will have full authority to make, administer and interpret such terms, rules and regulations regarding administration of the ESPP as it may deem advisable, and such decisions are final and binding.</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ESPP will have a term of ten years unless earlier terminated (i) on the date on which all the shares of common stock available for issuance under the ESPP have been issued or (ii) by the Administrator in accordance with the terms of the ESPP.</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Eligible Employees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Subject to the Administrator’s ability to exclude certain groups of employees on a uniform and nondiscriminatory basis, including Section 16 officers and/or non-U.S. employees, generally, all of our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60"/>
          </w:cols>
          <w:pgMar w:left="320" w:top="455" w:right="51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employees will be eligible to participate if they are employed by us or any participating subsidiary or affiliate for more than 12 consecutive months, or any lesser number of hours per week and/or number of days established by the Administrator. In no event will an employee who is deemed to own 5% or more of the total combined voting power or value of all classes of our capital stock or the capital stock of any parent or subsidiary be eligible to participate in the ESPP, and no participant in the ESPP may purchase shares of our common stock under any employee stock purchase plans of our Company to the extent the option to purchase shares accrue at a rate that exceeds $25,000 of the fair market value of such shares of our common stock, determined as of the first day of the offering period, for each calendar year in which such option is outstanding.</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Offering periods under the ESPP will be 6 months long, except that the first offering period will run from the date of completion of this offering and end on June 30, 2021. Commencing in 2021, a new offering period will commence on each of January 5 and July 5 of each calendar year. The Administrator may choose to start a new offering period as it may determine from time to time as appropriate and offering periods may overlap or be consecutive. During each offering period, there will be one 6 month purchase period, which will have the same duration and coincide with the length of the offering period.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who participate will receive an option to purchase shares of our common stock at a purchase price equal to the lower of 85% of (i) the closing price per share of our common stock on the date of purchase or (ii) the closing price per share of our common stock on the first day of the applicable offering period (or, in the case of the first offering period, the price per share at which shares of our common stock are first sold to the public in connection with this offering). Eligible employees participate by authorizing payroll deductions before the beginning of an offering period, which deduction may not exceed 15% of such employee’s cash compensation.</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Contributions and Grants</w:t>
      </w:r>
    </w:p>
    <w:p>
      <w:pPr>
        <w:spacing w:after="0" w:line="119"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Eligible employees participate by authorizing payroll deductions before the beginning of an offering period, which deduction may not exceed 15% of such employee’s cash compensation. In addition, the maximum number of shares of our common stock that may be purchased by all participants in</w:t>
      </w:r>
    </w:p>
    <w:p>
      <w:pPr>
        <w:spacing w:after="0" w:line="1"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any particular purchase period is limited to shares (subject to adjustment as provided in the ESPP), and the maximum number of shares of our common stock that may be purchased by any participant during any one year period is limited to shares. The Administrator may modify this limit from time to time by resolution or otherwise.</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Cancellation of Election to Purchase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participant may cancel his or her participation entirely at any time prior to the last 30 days of the applicable offering period by withdrawing all, but not less than all, of his or her contributions credited to his or her account and not yet used to exercise his or her option under the ESPP. Participation will end automatically upon termination of employment with us.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a Change in Control</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(as defined under the ESPP), the Administrator may in its discretion provide, without limitation, that each outstanding option be assumed, or an equivalent option be substituted by the successor corporation or a parent or subsidiary of the successor corporation and, if not so assumed or substituted, the offering period for that option be shortened by setting a new exercise date on which the offering period will end; terminate outstanding options and refund accumulated contributions to participants; or continue outstanding options unchanged.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as Stockholder</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participant will have no rights as a stockholder with respect to the shares of our common stock that the participant has an option to purchase in any offering until those shares have been issued to the participant.</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 not Transferable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participant’s option under the ESPP will be exercisable only by the participant and may not be sold, transferred, pledged or assigned in any manner other than by will or the laws of descent and distribution.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or Termination</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in its sole discretion, may amend, alter, suspend or terminate the ESPP, or any option subject thereto, at any time and for any reason as long as such amendment or termination of an option does not materially adversely affect the rights of a participant with respect to the option without the written consent of such participant.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S-8</w:t>
      </w:r>
    </w:p>
    <w:p>
      <w:pPr>
        <w:spacing w:after="0" w:line="121"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w:t>
      </w:r>
    </w:p>
    <w:p>
      <w:pPr>
        <w:spacing w:after="0" w:line="9" w:lineRule="exact"/>
        <w:rPr>
          <w:sz w:val="20"/>
          <w:szCs w:val="20"/>
          <w:color w:val="auto"/>
        </w:rPr>
      </w:pPr>
    </w:p>
    <w:p>
      <w:pPr>
        <w:ind w:left="120"/>
        <w:spacing w:after="0"/>
        <w:tabs>
          <w:tab w:leader="none" w:pos="3140" w:val="left"/>
        </w:tabs>
        <w:rPr>
          <w:sz w:val="20"/>
          <w:szCs w:val="20"/>
          <w:color w:val="auto"/>
        </w:rPr>
      </w:pPr>
      <w:r>
        <w:rPr>
          <w:rFonts w:ascii="Times New Roman" w:cs="Times New Roman" w:eastAsia="Times New Roman" w:hAnsi="Times New Roman"/>
          <w:sz w:val="18"/>
          <w:szCs w:val="18"/>
          <w:color w:val="auto"/>
        </w:rPr>
        <w:t>statement on Form S-8 will cover</w:t>
      </w:r>
      <w:r>
        <w:rPr>
          <w:sz w:val="20"/>
          <w:szCs w:val="20"/>
          <w:color w:val="auto"/>
        </w:rPr>
        <w:tab/>
      </w:r>
      <w:r>
        <w:rPr>
          <w:rFonts w:ascii="Times New Roman" w:cs="Times New Roman" w:eastAsia="Times New Roman" w:hAnsi="Times New Roman"/>
          <w:sz w:val="18"/>
          <w:szCs w:val="18"/>
          <w:color w:val="auto"/>
        </w:rPr>
        <w:t>shares of our common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 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calculated the acceleration value of Options and Restricted Units in the tables below using the Market Value Per Membership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Hicks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Hicks is not entitled to any severance payments or benefits if he is terminated for Cause or resigns without Good Reason.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3" w:lineRule="exact"/>
        <w:rPr>
          <w:sz w:val="20"/>
          <w:szCs w:val="20"/>
          <w:color w:val="auto"/>
        </w:rPr>
      </w:pPr>
    </w:p>
    <w:p>
      <w:pPr>
        <w:ind w:left="120" w:right="100" w:hanging="4"/>
        <w:spacing w:after="0" w:line="255" w:lineRule="auto"/>
        <w:tabs>
          <w:tab w:leader="none" w:pos="3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w:t>
      </w:r>
    </w:p>
    <w:p>
      <w:pPr>
        <w:spacing w:after="0" w:line="54" w:lineRule="exact"/>
        <w:rPr>
          <w:sz w:val="20"/>
          <w:szCs w:val="20"/>
          <w:color w:val="auto"/>
        </w:rPr>
      </w:pPr>
    </w:p>
    <w:p>
      <w:pPr>
        <w:ind w:left="560" w:hanging="4"/>
        <w:spacing w:after="0" w:line="253" w:lineRule="auto"/>
        <w:tabs>
          <w:tab w:leader="none" w:pos="7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83" w:lineRule="exact"/>
        <w:rPr>
          <w:rFonts w:ascii="Times New Roman" w:cs="Times New Roman" w:eastAsia="Times New Roman" w:hAnsi="Times New Roman"/>
          <w:sz w:val="18"/>
          <w:szCs w:val="18"/>
          <w:color w:val="auto"/>
        </w:rPr>
      </w:pPr>
    </w:p>
    <w:p>
      <w:pPr>
        <w:ind w:left="560" w:right="20" w:hanging="4"/>
        <w:spacing w:after="0" w:line="253" w:lineRule="auto"/>
        <w:tabs>
          <w:tab w:leader="none" w:pos="82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83"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the Hicks Employment Agreement, the Company may terminate Mr. Hicks’ employment for “Cause” if he: (i) commits gross negligence or willful misconduct, an act of fraud, embezzlement, theft or other criminal 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 his employment agreement, Mr. Hicks will have 30 days after receiving notice of a termination for Cause to cure or remedy any breach pursuant to items (iii) or (iv) of the preceding sentence.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1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the 2019 CEO Option Agreement. The Time Options vest as 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6" w:lineRule="auto"/>
        <w:tabs>
          <w:tab w:leader="none" w:pos="220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80" w:hanging="545"/>
        <w:spacing w:after="0" w:line="266" w:lineRule="auto"/>
        <w:tabs>
          <w:tab w:leader="none" w:pos="220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200" w:hanging="545"/>
        <w:spacing w:after="0" w:line="258" w:lineRule="auto"/>
        <w:tabs>
          <w:tab w:leader="none" w:pos="220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Hicks upon Termination or Change of Control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3"/>
                <w:szCs w:val="13"/>
                <w:color w:val="auto"/>
              </w:rPr>
            </w:pPr>
          </w:p>
        </w:tc>
        <w:tc>
          <w:tcPr>
            <w:tcW w:w="152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620" w:type="dxa"/>
            <w:vAlign w:val="bottom"/>
            <w:vMerge w:val="restart"/>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for Termination</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160" w:type="dxa"/>
            <w:vAlign w:val="bottom"/>
            <w:gridSpan w:val="2"/>
          </w:tcPr>
          <w:p>
            <w:pPr>
              <w:jc w:val="center"/>
              <w:ind w:left="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5,937,334</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(4)</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1,703,900</w:t>
            </w:r>
            <w:r>
              <w:rPr>
                <w:rFonts w:ascii="Times New Roman" w:cs="Times New Roman" w:eastAsia="Times New Roman" w:hAnsi="Times New Roman"/>
                <w:sz w:val="15"/>
                <w:szCs w:val="15"/>
                <w:color w:val="auto"/>
              </w:rPr>
              <w:t>(1)</w:t>
            </w:r>
          </w:p>
        </w:tc>
        <w:tc>
          <w:tcPr>
            <w:tcW w:w="1700" w:type="dxa"/>
            <w:vAlign w:val="bottom"/>
            <w:gridSpan w:val="3"/>
          </w:tcPr>
          <w:p>
            <w:pPr>
              <w:jc w:val="right"/>
              <w:ind w:right="284"/>
              <w:spacing w:after="0"/>
              <w:rPr>
                <w:sz w:val="20"/>
                <w:szCs w:val="20"/>
                <w:color w:val="auto"/>
              </w:rPr>
            </w:pPr>
            <w:r>
              <w:rPr>
                <w:rFonts w:ascii="Times New Roman" w:cs="Times New Roman" w:eastAsia="Times New Roman" w:hAnsi="Times New Roman"/>
                <w:sz w:val="18"/>
                <w:szCs w:val="18"/>
                <w:color w:val="auto"/>
              </w:rPr>
              <w:t>1,868,667</w:t>
            </w:r>
            <w:r>
              <w:rPr>
                <w:rFonts w:ascii="Times New Roman" w:cs="Times New Roman" w:eastAsia="Times New Roman" w:hAnsi="Times New Roman"/>
                <w:sz w:val="15"/>
                <w:szCs w:val="15"/>
                <w:color w:val="auto"/>
              </w:rPr>
              <w:t>(5)</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3,865</w:t>
            </w:r>
            <w:r>
              <w:rPr>
                <w:rFonts w:ascii="Times New Roman" w:cs="Times New Roman" w:eastAsia="Times New Roman" w:hAnsi="Times New Roman"/>
                <w:sz w:val="15"/>
                <w:szCs w:val="15"/>
                <w:color w:val="auto"/>
              </w:rPr>
              <w:t>(2)</w:t>
            </w:r>
          </w:p>
        </w:tc>
        <w:tc>
          <w:tcPr>
            <w:tcW w:w="180" w:type="dxa"/>
            <w:vAlign w:val="bottom"/>
          </w:tcPr>
          <w:p>
            <w:pPr>
              <w:spacing w:after="0"/>
              <w:rPr>
                <w:sz w:val="18"/>
                <w:szCs w:val="18"/>
                <w:color w:val="auto"/>
              </w:rPr>
            </w:pPr>
          </w:p>
        </w:tc>
        <w:tc>
          <w:tcPr>
            <w:tcW w:w="152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140,995</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78,652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4,036,769</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1,708,035</w:t>
            </w:r>
          </w:p>
        </w:tc>
        <w:tc>
          <w:tcPr>
            <w:tcW w:w="3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  7,806,239</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4,256,416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80" w:hanging="424"/>
        <w:spacing w:after="0" w:line="256"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540"/>
        <w:spacing w:after="0" w:line="257" w:lineRule="auto"/>
        <w:rPr>
          <w:sz w:val="20"/>
          <w:szCs w:val="20"/>
          <w:color w:val="auto"/>
        </w:rPr>
      </w:pPr>
      <w:r>
        <w:rPr>
          <w:rFonts w:ascii="Times New Roman" w:cs="Times New Roman" w:eastAsia="Times New Roman" w:hAnsi="Times New Roman"/>
          <w:sz w:val="18"/>
          <w:szCs w:val="18"/>
          <w:color w:val="auto"/>
        </w:rPr>
        <w:t>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 w:lineRule="exact"/>
        <w:rPr>
          <w:sz w:val="20"/>
          <w:szCs w:val="20"/>
          <w:color w:val="auto"/>
        </w:rPr>
      </w:pPr>
    </w:p>
    <w:p>
      <w:pPr>
        <w:ind w:left="540" w:right="60" w:hanging="424"/>
        <w:spacing w:after="0" w:line="250"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 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right="20" w:hanging="424"/>
        <w:spacing w:after="0" w:line="250"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3"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 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2"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65" w:lineRule="auto"/>
        <w:tabs>
          <w:tab w:leader="none" w:pos="54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ind w:left="540" w:right="260"/>
        <w:spacing w:after="0" w:line="250" w:lineRule="auto"/>
        <w:rPr>
          <w:sz w:val="20"/>
          <w:szCs w:val="20"/>
          <w:color w:val="auto"/>
        </w:rPr>
      </w:pPr>
      <w:r>
        <w:rPr>
          <w:rFonts w:ascii="Times New Roman" w:cs="Times New Roman" w:eastAsia="Times New Roman" w:hAnsi="Times New Roman"/>
          <w:sz w:val="18"/>
          <w:szCs w:val="18"/>
          <w:color w:val="auto"/>
        </w:rPr>
        <w:t>(B) 291,461 Time Options (the unvested portion under the 2018 CEO Option Agreement immediately prior to February 1, 2020); and (ii) $126,422, which is the product of (A) the difference between the Market Value Per Membership Interest and the exercise price ($5.26), and (B) 549,661 Time Options (the unvested portion under the 2019 CEO Option Agreement immediately prior to February 1, 2020).</w:t>
      </w:r>
    </w:p>
    <w:p>
      <w:pPr>
        <w:spacing w:after="0" w:line="1" w:lineRule="exact"/>
        <w:rPr>
          <w:sz w:val="20"/>
          <w:szCs w:val="20"/>
          <w:color w:val="auto"/>
        </w:rPr>
      </w:pPr>
    </w:p>
    <w:p>
      <w:pPr>
        <w:ind w:left="540" w:right="100" w:hanging="424"/>
        <w:spacing w:after="0" w:line="255"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Options (the unvested portion under the 2019 CEO Option Agreement immediately prior to February 1, 2020, which is the entire grant because the Change of Control occurs during the Option Grant Year).</w:t>
      </w:r>
    </w:p>
    <w:p>
      <w:pPr>
        <w:ind w:left="540" w:right="140" w:hanging="424"/>
        <w:spacing w:after="0" w:line="253"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Mullican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Mullican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Mullican’s employment without Cause or Mr. Mullican resigns for Good Reason, the Company shall pay:</w:t>
      </w:r>
    </w:p>
    <w:p>
      <w:pPr>
        <w:spacing w:after="0" w:line="117" w:lineRule="exact"/>
        <w:rPr>
          <w:sz w:val="20"/>
          <w:szCs w:val="20"/>
          <w:color w:val="auto"/>
        </w:rPr>
      </w:pPr>
    </w:p>
    <w:p>
      <w:pPr>
        <w:ind w:left="560" w:right="100" w:hanging="4"/>
        <w:spacing w:after="0" w:line="255" w:lineRule="auto"/>
        <w:tabs>
          <w:tab w:leader="none" w:pos="77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61" w:lineRule="auto"/>
        <w:tabs>
          <w:tab w:leader="none" w:pos="82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5" w:lineRule="exact"/>
        <w:rPr>
          <w:sz w:val="20"/>
          <w:szCs w:val="20"/>
          <w:color w:val="auto"/>
        </w:rPr>
      </w:pPr>
    </w:p>
    <w:p>
      <w:pPr>
        <w:ind w:left="560" w:right="160" w:hanging="4"/>
        <w:spacing w:after="0" w:line="253" w:lineRule="auto"/>
        <w:tabs>
          <w:tab w:leader="none" w:pos="87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Mullican and his covered dependents medical insurance benefits, contingent on Mr. Mullican electing continuation 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5" w:lineRule="exact"/>
        <w:rPr>
          <w:rFonts w:ascii="Times New Roman" w:cs="Times New Roman" w:eastAsia="Times New Roman" w:hAnsi="Times New Roman"/>
          <w:sz w:val="18"/>
          <w:szCs w:val="18"/>
          <w:color w:val="auto"/>
        </w:rPr>
      </w:pPr>
    </w:p>
    <w:p>
      <w:pPr>
        <w:jc w:val="both"/>
        <w:ind w:left="56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6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5" w:right="49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Mullican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1,327,936</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456,570</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92,908</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21,037</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66,418</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1,322</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18,374</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2,071,700</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$ 478,929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1,443,092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2,156,492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 portion under the 2019 Executive Option Agreement that would have become vested on the vesting date immediately following termination had Mr. Mullican remained employed).</w:t>
      </w:r>
    </w:p>
    <w:p>
      <w:pPr>
        <w:spacing w:after="0" w:line="3"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($489,500 for 2019) and (B) the average annual bonus paid to (or earned by, to the extent not yet paid as of the termination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500"/>
        <w:spacing w:after="0" w:line="261" w:lineRule="auto"/>
        <w:rPr>
          <w:sz w:val="20"/>
          <w:szCs w:val="20"/>
          <w:color w:val="auto"/>
        </w:rPr>
      </w:pPr>
      <w:r>
        <w:rPr>
          <w:rFonts w:ascii="Times New Roman" w:cs="Times New Roman" w:eastAsia="Times New Roman" w:hAnsi="Times New Roman"/>
          <w:sz w:val="18"/>
          <w:szCs w:val="18"/>
          <w:color w:val="auto"/>
        </w:rPr>
        <w:t>date) him under the Executive Team Bonus Plan for the two fiscal years of the Company immediately preceding the fiscal year in which the termination date occurs ($256,028 for 2017 and $92,908 for 2018).</w:t>
      </w:r>
    </w:p>
    <w:p>
      <w:pPr>
        <w:ind w:left="540" w:right="2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ind w:left="540" w:right="1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Mullican’s portion of such premiums as if Mr. Mullican was an active employee, which payment shall be paid in advance on the first payroll day of each month during the such 24-month period ($912 per month).</w:t>
      </w:r>
    </w:p>
    <w:p>
      <w:pPr>
        <w:ind w:left="540" w:right="10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 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Lawrence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Lawrence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 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Lawrence’s employment without Cause or Mr. Lawrence resigns for Good Reason, the Company shall pay:</w:t>
      </w:r>
    </w:p>
    <w:p>
      <w:pPr>
        <w:spacing w:after="0" w:line="117" w:lineRule="exact"/>
        <w:rPr>
          <w:sz w:val="20"/>
          <w:szCs w:val="20"/>
          <w:color w:val="auto"/>
        </w:rPr>
      </w:pPr>
    </w:p>
    <w:p>
      <w:pPr>
        <w:ind w:left="560" w:right="100" w:hanging="4"/>
        <w:spacing w:after="0" w:line="255" w:lineRule="auto"/>
        <w:tabs>
          <w:tab w:leader="none" w:pos="7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2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hanging="4"/>
        <w:spacing w:after="0" w:line="254" w:lineRule="auto"/>
        <w:tabs>
          <w:tab w:leader="none" w:pos="87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6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Lawrence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7, 2019, the Company granted 411,270 Time Options and 106,865 Performance Options with an exercise price of $5.26 to</w:t>
      </w:r>
    </w:p>
    <w:p>
      <w:pPr>
        <w:spacing w:after="0" w:line="27"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1" w:lineRule="auto"/>
        <w:tabs>
          <w:tab w:leader="none" w:pos="220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80"/>
          </w:cols>
          <w:pgMar w:left="320" w:top="455" w:right="49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540" w:hanging="331"/>
        <w:spacing w:after="0"/>
        <w:tabs>
          <w:tab w:leader="none" w:pos="15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Lawrence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1,410,000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756,646</w:t>
            </w:r>
            <w:r>
              <w:rPr>
                <w:rFonts w:ascii="Times New Roman" w:cs="Times New Roman" w:eastAsia="Times New Roman" w:hAnsi="Times New Roman"/>
                <w:sz w:val="15"/>
                <w:szCs w:val="15"/>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23,647</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94,592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24,578</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782,797</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$ 780,293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1,432,248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901,967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840" w:hanging="424"/>
        <w:spacing w:after="0" w:line="282"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 Mr. Lawrence or his designated beneficiary or legal representative (if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w:t>
      </w:r>
    </w:p>
    <w:p>
      <w:pPr>
        <w:spacing w:after="0" w:line="3" w:lineRule="exact"/>
        <w:rPr>
          <w:sz w:val="20"/>
          <w:szCs w:val="20"/>
          <w:color w:val="auto"/>
        </w:rPr>
      </w:pPr>
    </w:p>
    <w:p>
      <w:pPr>
        <w:ind w:left="540" w:right="60"/>
        <w:spacing w:after="0" w:line="250" w:lineRule="auto"/>
        <w:rPr>
          <w:sz w:val="20"/>
          <w:szCs w:val="20"/>
          <w:color w:val="auto"/>
        </w:rPr>
      </w:pPr>
      <w:r>
        <w:rPr>
          <w:rFonts w:ascii="Times New Roman" w:cs="Times New Roman" w:eastAsia="Times New Roman" w:hAnsi="Times New Roman"/>
          <w:sz w:val="18"/>
          <w:szCs w:val="18"/>
          <w:color w:val="auto"/>
        </w:rPr>
        <w:t>(y) a fraction, the numerator of which is equal to the number of days between and including his commencement date of February 11, 2019 and the termination date (356 days), and the denominator of which is equal to 365.</w:t>
      </w:r>
    </w:p>
    <w:p>
      <w:pPr>
        <w:ind w:left="540" w:right="140" w:hanging="424"/>
        <w:spacing w:after="0" w:line="25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right="40" w:hanging="424"/>
        <w:spacing w:after="0" w:line="25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 date) him under the Executive Team Bonus Plan for the two fiscal years of the Company immediately preceding the fiscal year in which the termination date occurs ($0 for 2017 and $0 for 2018).</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Options (the unvested portion under the 2019 Executive Option Agreement immediately prior to February 1, 2020, which is the entire grant).</w:t>
      </w:r>
    </w:p>
    <w:p>
      <w:pPr>
        <w:spacing w:after="0" w:line="27" w:lineRule="exact"/>
        <w:rPr>
          <w:sz w:val="20"/>
          <w:szCs w:val="20"/>
          <w:color w:val="auto"/>
        </w:rPr>
      </w:pPr>
    </w:p>
    <w:p>
      <w:pPr>
        <w:ind w:left="540" w:right="220" w:hanging="424"/>
        <w:spacing w:after="0" w:line="253"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Johnson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Johnson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3" w:lineRule="exact"/>
        <w:rPr>
          <w:sz w:val="20"/>
          <w:szCs w:val="20"/>
          <w:color w:val="auto"/>
        </w:rPr>
      </w:pPr>
    </w:p>
    <w:p>
      <w:pPr>
        <w:ind w:left="120" w:right="80" w:hanging="4"/>
        <w:spacing w:after="0" w:line="255" w:lineRule="auto"/>
        <w:tabs>
          <w:tab w:leader="none" w:pos="37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Johnson’s employment without Cause or Mr. Johnson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61" w:lineRule="auto"/>
        <w:tabs>
          <w:tab w:leader="none" w:pos="8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5" w:lineRule="exact"/>
        <w:rPr>
          <w:sz w:val="20"/>
          <w:szCs w:val="20"/>
          <w:color w:val="auto"/>
        </w:rPr>
      </w:pPr>
    </w:p>
    <w:p>
      <w:pPr>
        <w:ind w:left="560" w:hanging="4"/>
        <w:spacing w:after="0" w:line="253" w:lineRule="auto"/>
        <w:tabs>
          <w:tab w:leader="none" w:pos="87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 during the 24 month period following the termination date; and</w:t>
      </w:r>
    </w:p>
    <w:p>
      <w:pPr>
        <w:spacing w:after="0" w:line="98" w:lineRule="exact"/>
        <w:rPr>
          <w:rFonts w:ascii="Times New Roman" w:cs="Times New Roman" w:eastAsia="Times New Roman" w:hAnsi="Times New Roman"/>
          <w:sz w:val="18"/>
          <w:szCs w:val="18"/>
          <w:color w:val="auto"/>
        </w:rPr>
      </w:pPr>
    </w:p>
    <w:p>
      <w:pPr>
        <w:ind w:left="560" w:right="140" w:hanging="4"/>
        <w:spacing w:after="0" w:line="266" w:lineRule="auto"/>
        <w:tabs>
          <w:tab w:leader="none" w:pos="8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 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9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60"/>
          </w:cols>
          <w:pgMar w:left="320" w:top="455" w:right="51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00" w:hanging="545"/>
        <w:spacing w:after="0" w:line="266" w:lineRule="auto"/>
        <w:tabs>
          <w:tab w:leader="none" w:pos="22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20" w:hanging="545"/>
        <w:spacing w:after="0" w:line="258" w:lineRule="auto"/>
        <w:tabs>
          <w:tab w:leader="none" w:pos="22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60"/>
          </w:cols>
          <w:pgMar w:left="320" w:top="455" w:right="51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Johnson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1,316,378</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434,125</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87,284</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17,299</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55,376</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15,747</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1,294,816</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$ 452,415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1,425,910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1,365,939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2"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6"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20" w:hanging="424"/>
        <w:spacing w:after="0" w:line="254"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Johnson’s portion of such premiums as if Mr. Johnson was an active employee, which payment shall be paid in advance on the first payroll day of each month during the such 24-month period ($912 per month).</w:t>
      </w:r>
    </w:p>
    <w:p>
      <w:pPr>
        <w:ind w:left="540" w:right="2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36,946 Time Options (the unvested portion under the 2017 Executive Option Agreement immediately prior to February 1, 2020); (ii)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Attaway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Attaway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54" w:lineRule="exact"/>
        <w:rPr>
          <w:sz w:val="20"/>
          <w:szCs w:val="20"/>
          <w:color w:val="auto"/>
        </w:rPr>
      </w:pPr>
    </w:p>
    <w:p>
      <w:pPr>
        <w:ind w:left="560" w:right="20" w:hanging="4"/>
        <w:spacing w:after="0" w:line="261" w:lineRule="auto"/>
        <w:tabs>
          <w:tab w:leader="none" w:pos="7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times his base salary as in effect on the termination date,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1" w:lineRule="exact"/>
        <w:rPr>
          <w:rFonts w:ascii="Times New Roman" w:cs="Times New Roman" w:eastAsia="Times New Roman" w:hAnsi="Times New Roman"/>
          <w:sz w:val="18"/>
          <w:szCs w:val="18"/>
          <w:color w:val="auto"/>
        </w:rPr>
      </w:pPr>
    </w:p>
    <w:p>
      <w:pPr>
        <w:ind w:left="560" w:hanging="4"/>
        <w:spacing w:after="0" w:line="256" w:lineRule="auto"/>
        <w:tabs>
          <w:tab w:leader="none" w:pos="82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bonus earned by him under the Executive Team Bonus Plan for the fiscal year of the Company immediately preceding the fiscal year of the Company in which the termination date occurs,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Such payment is in lieu of the bonus that would have otherwise been due to him under the Executive Team Bonus Plan for the performance period in which the termination date occurs.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Attaway’s employment without Cause or Mr. Attaway resigns for Good Reason, the Company shall pay:</w:t>
      </w:r>
    </w:p>
    <w:p>
      <w:pPr>
        <w:spacing w:after="0" w:line="117" w:lineRule="exact"/>
        <w:rPr>
          <w:sz w:val="20"/>
          <w:szCs w:val="20"/>
          <w:color w:val="auto"/>
        </w:rPr>
      </w:pPr>
    </w:p>
    <w:p>
      <w:pPr>
        <w:ind w:left="560" w:right="60" w:hanging="4"/>
        <w:spacing w:after="0" w:line="255" w:lineRule="auto"/>
        <w:tabs>
          <w:tab w:leader="none" w:pos="7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380" w:hanging="4"/>
        <w:spacing w:after="0" w:line="282" w:lineRule="auto"/>
        <w:tabs>
          <w:tab w:leader="none" w:pos="8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Attaway and his covered dependents medical insurance benefits, contingent on Mr. Attaway electing continuation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 Mr. Attaway during the 24 month period following the termination date; and</w:t>
      </w:r>
    </w:p>
    <w:p>
      <w:pPr>
        <w:spacing w:after="0" w:line="81" w:lineRule="exact"/>
        <w:rPr>
          <w:sz w:val="20"/>
          <w:szCs w:val="20"/>
          <w:color w:val="auto"/>
        </w:rPr>
      </w:pPr>
    </w:p>
    <w:p>
      <w:pPr>
        <w:ind w:left="560" w:right="180" w:hanging="4"/>
        <w:spacing w:after="0" w:line="266" w:lineRule="auto"/>
        <w:tabs>
          <w:tab w:leader="none" w:pos="86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Attaway Employment Agreement contains the same definition of “Cause” provided in the Hicks Employment Agreement.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 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6" w:lineRule="auto"/>
        <w:tabs>
          <w:tab w:leader="none" w:pos="220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1" w:lineRule="auto"/>
        <w:tabs>
          <w:tab w:leader="none" w:pos="220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20" w:hanging="545"/>
        <w:spacing w:after="0" w:line="266" w:lineRule="auto"/>
        <w:tabs>
          <w:tab w:leader="none" w:pos="220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40" w:hanging="545"/>
        <w:spacing w:after="0" w:line="258" w:lineRule="auto"/>
        <w:tabs>
          <w:tab w:leader="none" w:pos="220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5" w:right="49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Attaway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531,677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1,244,520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83,677</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20,856</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25,285</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65,251</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1,652</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16,086</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776,889</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$ 558,614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1,349,413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858,226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3"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twelve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twelve months following the termination date in accordance with the Company’s normal payroll cycle and procedures ($83,677 for 2018).</w:t>
      </w:r>
    </w:p>
    <w:p>
      <w:pPr>
        <w:spacing w:after="0" w:line="5"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 the exercise price ($5.30), and (B) 30,789 Time Options (the portion under the 2017 Executive Option Agreement that would have become vested on the vesting date immediately following termination had 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1" w:lineRule="exact"/>
        <w:rPr>
          <w:rFonts w:ascii="Times New Roman" w:cs="Times New Roman" w:eastAsia="Times New Roman" w:hAnsi="Times New Roman"/>
          <w:sz w:val="17"/>
          <w:szCs w:val="17"/>
          <w:color w:val="auto"/>
        </w:rPr>
      </w:pPr>
    </w:p>
    <w:p>
      <w:pPr>
        <w:ind w:left="540" w:right="22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40" w:hanging="424"/>
        <w:spacing w:after="0" w:line="265" w:lineRule="auto"/>
        <w:tabs>
          <w:tab w:leader="none" w:pos="5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at the rate in effect as of the last day of the year immediately preceding the termination date ($448,000 as of the last day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200"/>
        <w:spacing w:after="0" w:line="257" w:lineRule="auto"/>
        <w:rPr>
          <w:sz w:val="20"/>
          <w:szCs w:val="20"/>
          <w:color w:val="auto"/>
        </w:rPr>
      </w:pPr>
      <w:r>
        <w:rPr>
          <w:rFonts w:ascii="Times New Roman" w:cs="Times New Roman" w:eastAsia="Times New Roman" w:hAnsi="Times New Roman"/>
          <w:sz w:val="18"/>
          <w:szCs w:val="18"/>
          <w:color w:val="auto"/>
        </w:rPr>
        <w:t>of 2018) and (B) the average annual bonus paid to (or earned by, to the extent not yet paid as of the termination date) him under the Executive Team Bonus Plan for the two fiscal years of the Company immediately preceding the fiscal year in which the termination date occurs ($264,844 for 2017 and $83,677 for 2018).</w:t>
      </w:r>
    </w:p>
    <w:p>
      <w:pPr>
        <w:spacing w:after="0" w:line="1" w:lineRule="exact"/>
        <w:rPr>
          <w:sz w:val="20"/>
          <w:szCs w:val="20"/>
          <w:color w:val="auto"/>
        </w:rPr>
      </w:pPr>
    </w:p>
    <w:p>
      <w:pPr>
        <w:ind w:left="540" w:right="2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0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ind w:left="540" w:right="40" w:firstLine="8"/>
        <w:spacing w:after="0" w:line="265" w:lineRule="auto"/>
        <w:tabs>
          <w:tab w:leader="none" w:pos="825"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29,585 Time Options (the unvested portion under the 2016 Executive Option Agreement immediately prior to February 1, 2020); (ii) $11,699, which is the product of (A) the difference between the Market Value Per Membership Interest and the exercise price ($5.30), and (B) 61,578 Time Options (the unvested portion under the 2017 Executive 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w:t>
      </w:r>
    </w:p>
    <w:p>
      <w:pPr>
        <w:ind w:left="540" w:right="60" w:firstLine="8"/>
        <w:spacing w:after="0" w:line="250" w:lineRule="auto"/>
        <w:tabs>
          <w:tab w:leader="none" w:pos="835"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Market Value Per Membership Interest and the exercise price ($5.26), and (B) 112,824 Time Options (the unvested portion under the 2019 Executive Option Agreement immediately prior to February 1, 2020, which is the entire grant).</w:t>
      </w:r>
    </w:p>
    <w:p>
      <w:pPr>
        <w:ind w:left="540" w:hanging="424"/>
        <w:spacing w:after="0" w:line="250" w:lineRule="auto"/>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 Compensation Table for 2019</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20" w:type="dxa"/>
            <w:vAlign w:val="bottom"/>
          </w:tcPr>
          <w:p>
            <w:pPr>
              <w:spacing w:after="0"/>
              <w:rPr>
                <w:sz w:val="15"/>
                <w:szCs w:val="15"/>
                <w:color w:val="auto"/>
              </w:rPr>
            </w:pPr>
          </w:p>
        </w:tc>
        <w:tc>
          <w:tcPr>
            <w:tcW w:w="6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amount of cash retainers paid during 2019.</w:t>
      </w:r>
    </w:p>
    <w:p>
      <w:pPr>
        <w:spacing w:after="0" w:line="27"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Times New Roman" w:cs="Times New Roman" w:eastAsia="Times New Roman" w:hAnsi="Times New Roman"/>
          <w:sz w:val="18"/>
          <w:szCs w:val="18"/>
          <w:i w:val="1"/>
          <w:iCs w:val="1"/>
          <w:color w:val="auto"/>
        </w:rPr>
        <w:t>Equity and Unit-Based Compensation</w:t>
      </w:r>
      <w:r>
        <w:rPr>
          <w:rFonts w:ascii="Times New Roman" w:cs="Times New Roman" w:eastAsia="Times New Roman" w:hAnsi="Times New Roman"/>
          <w:sz w:val="18"/>
          <w:szCs w:val="18"/>
          <w:color w:val="auto"/>
        </w:rPr>
        <w:t xml:space="preserve"> to our consolidated financial statements included in this prospectus for the assumptions used in calculating these values.</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has been granted Restricted Units pursuant to a Restricted Unit Agreement under the 2011 Equity Plan, which contains the following vesting terms: subject to the grantee’s continued service on such date, 100% of the Restricted Units vest on the earliest of</w:t>
      </w:r>
    </w:p>
    <w:p>
      <w:pPr>
        <w:ind w:left="5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 Marley and Simon was granted 18,215 Restricted Units, all of which vest on the earliest of (i) the first anniversary of the grant date, (ii) the grantee’s death or disability or (iii) a Change of Control.</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60"/>
          </w:cols>
          <w:pgMar w:left="320" w:top="455" w:right="51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stockholders agreement with our stockholders party thereto. We intend to describe the material terms of this agreement in a subsequent pre-effective amendment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will amend and restate the registration rights agreement among New Academy Holding Company, LLC and Allstar LLC and Allstar Managers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Monitoring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and approximately $1.8 million in each of the twenty-six weeks ended August 1, 2020 and August 3, 2019. These expenses are included in SG&amp;A expenses in the consolidated statements of income.</w:t>
      </w:r>
    </w:p>
    <w:p>
      <w:pPr>
        <w:spacing w:after="0" w:line="188"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Monitoring Agreement terminates automatically upon the consummation of an initial public offering, including this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In connection with this offering, the Monitoring Agreement will terminate automatically in accordance with its terms and we expect to pay termination fees</w:t>
      </w:r>
    </w:p>
    <w:p>
      <w:pPr>
        <w:spacing w:after="0" w:line="3"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of approximately $ million to Adviser. Pursuant to a separate agreement, the Adviser is expected to share $ million of such termination fee with the Gochman Investors.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Purchases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2019, Allstar Managers repurchased at fair market value approximately $0.5 million of Redeemable Membership Units from a director and an executive of the Company for cash. New Academy Holding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LLC concurrently repurchased from Allstar Managers for cash, at fair market value, a number of its membership units equal to the number for Redeemable Membership Units repurchased from the director and executive.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KKR Capstone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Receivable from Member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current limited liability company agreement for New Academy Holding Company, LLC, each of the Gochman Investors may require the Company to provide a tax loan on their behalf under certain circumstances. On April 10, 2019, the Company loaned $4.0 million with a note receivable issued to one of the Gochman Investors. The note receivable bears semi-annual compounding interest at 2.5% per annum with outstanding principal and interest due on April 10, 2022, and is recorded in other non-current assets in the consolidated balance sheet. On April 5, 2018, the Company loaned $4.1 million with a note receivable issued to one of the Gochman Investors. The note receivable bears semi-annual compounding interest at 2.1% per annum, with outstanding principal and interest due on April 5, 2021. These notes receivable have been recorded in other non-current assets in the consolidated balance sheets. All of the outstanding notes receivables owed by the Gochman Investors were offset against the special distribution on August 28, 2020 and are no longer outstanding.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certain agreements with our officers which are described in the section entitled “Executive Compensation.”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Unitholders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Managers,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following the initial public offering of our common stock, the directors and executive officers party to the Management Unitholders Agreement will have limited “piggyback” registration rights with respect to their shares of common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00"/>
          </w:cols>
          <w:pgMar w:left="320" w:top="455" w:right="47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Distribution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and/or improper valuation (or the perception thereof). Prior to the completion of this offering, our board of directors will adopt a written statement of policy regarding transactions with related persons, which we refer to as our “related person policy,” that is in conformity with the requirements upon issuers having publicly-held common stock that is listed on Nasdaq.</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related person policy will require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5" w:right="49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by (1) each person known to us to beneficially own more than 5% of our voting securities, (2) each of our directors, (3) each of our named executive officers and (4) all directors and executive officers as a group.</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outstanding and percentage of beneficial ownership before this offering are based on the number of shares to be issued and outstanding immediately prior to the consummation of this offering, including after giving effect to the Reorganization Transactions. The number of shares of common stock and percentage of beneficial ownership after the consummation of this offering set forth below are based on the number of shares to be issued and outstanding immediately after the consummation of this offering.</w:t>
      </w:r>
    </w:p>
    <w:p>
      <w:pPr>
        <w:spacing w:after="0" w:line="180"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8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8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tcPr>
          <w:p>
            <w:pPr>
              <w:spacing w:after="0"/>
              <w:rPr>
                <w:sz w:val="10"/>
                <w:szCs w:val="10"/>
                <w:color w:val="auto"/>
              </w:rPr>
            </w:pPr>
          </w:p>
        </w:tc>
        <w:tc>
          <w:tcPr>
            <w:tcW w:w="1780" w:type="dxa"/>
            <w:vAlign w:val="bottom"/>
            <w:tcBorders>
              <w:top w:val="single" w:sz="8" w:color="auto"/>
            </w:tcBorders>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After the</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 is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860" w:type="dxa"/>
            <w:vAlign w:val="bottom"/>
          </w:tcPr>
          <w:p>
            <w:pPr>
              <w:spacing w:after="0"/>
              <w:rPr>
                <w:sz w:val="12"/>
                <w:szCs w:val="12"/>
                <w:color w:val="auto"/>
              </w:rPr>
            </w:pPr>
          </w:p>
        </w:tc>
        <w:tc>
          <w:tcPr>
            <w:tcW w:w="17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Option is Not</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73"/>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2"/>
                <w:szCs w:val="12"/>
                <w:b w:val="1"/>
                <w:bCs w:val="1"/>
                <w:color w:val="auto"/>
              </w:rPr>
              <w:t>(1)</w:t>
            </w:r>
          </w:p>
        </w:tc>
        <w:tc>
          <w:tcPr>
            <w:tcW w:w="3240" w:type="dxa"/>
            <w:vAlign w:val="bottom"/>
            <w:vMerge w:val="restart"/>
          </w:tcPr>
          <w:p>
            <w:pPr>
              <w:spacing w:after="0"/>
              <w:rPr>
                <w:sz w:val="15"/>
                <w:szCs w:val="15"/>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60" w:type="dxa"/>
            <w:vAlign w:val="bottom"/>
          </w:tcPr>
          <w:p>
            <w:pPr>
              <w:spacing w:after="0"/>
              <w:rPr>
                <w:sz w:val="15"/>
                <w:szCs w:val="15"/>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Full</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spacing w:after="0"/>
              <w:rPr>
                <w:sz w:val="12"/>
                <w:szCs w:val="12"/>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60" w:type="dxa"/>
            <w:vAlign w:val="bottom"/>
          </w:tcPr>
          <w:p>
            <w:pPr>
              <w:spacing w:after="0"/>
              <w:rPr>
                <w:sz w:val="12"/>
                <w:szCs w:val="12"/>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8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Greater than 5% Stockholders</w:t>
            </w:r>
          </w:p>
        </w:tc>
        <w:tc>
          <w:tcPr>
            <w:tcW w:w="7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KKR Stockholders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MSI 2011 LLC (a Gochman Investor)</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Named Executive Officers: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 C. Hicks</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P. Mullican</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Steven P. Lawrence</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Samuel J. Johnson</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Kenneth D. Attaway</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Brian T. Marley</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Vishal V. Patel</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William S. Simon</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Nathaniel H. Taylor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Aileen X. Yan</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Directors and executive officers as a group (fourteen</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 of common stock outstanding.</w:t>
      </w:r>
    </w:p>
    <w:p>
      <w:pPr>
        <w:spacing w:after="0" w:line="27" w:lineRule="exact"/>
        <w:rPr>
          <w:sz w:val="20"/>
          <w:szCs w:val="20"/>
          <w:color w:val="auto"/>
        </w:rPr>
      </w:pPr>
    </w:p>
    <w:p>
      <w:pPr>
        <w:ind w:left="540" w:right="560" w:hanging="424"/>
        <w:spacing w:after="0" w:line="260" w:lineRule="auto"/>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below, the address of each of the individuals named above is: c/o Academy Sports + Outdoors, Attention: General Counsel, 1800 North Mason Road, Katy, Texas 77449.</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Upon</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consummation of this offering, our authorized capital stock will consist of shares of common stock, par value $0.01 per share, and shares of preferred stock. Immediately following the completion of this offering, there are expected to be outstanding shares of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40" w:firstLine="440"/>
        <w:spacing w:after="0" w:line="233" w:lineRule="auto"/>
        <w:rPr>
          <w:sz w:val="20"/>
          <w:szCs w:val="20"/>
          <w:color w:val="auto"/>
        </w:rPr>
      </w:pPr>
      <w:r>
        <w:rPr>
          <w:rFonts w:ascii="Times New Roman" w:cs="Times New Roman" w:eastAsia="Times New Roman" w:hAnsi="Times New Roman"/>
          <w:sz w:val="17"/>
          <w:szCs w:val="17"/>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vote of the then outstanding shares of our common stock is required, the affirmative vote of a majority in voting power of shares present at a meeting of the holders of our common stock is required.</w:t>
      </w:r>
    </w:p>
    <w:p>
      <w:pPr>
        <w:spacing w:after="0" w:line="19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conversion rights. There are no redemption or sinking fund provisions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preferred stock outstanding. However, our amended and restated certificate of incorporation will authorize our board of directors to establish one or more series of preferred stock (including convertible preferred stock). Unless required by law or by Nasdaq, the authorized shares of preferred stock will be available for issuance without further action by you. Our board of directors will be able to determine, with respect to any series of preferred stock, the terms and rights of that series, including:</w:t>
      </w:r>
    </w:p>
    <w:p>
      <w:pPr>
        <w:spacing w:after="0" w:line="85" w:lineRule="exact"/>
        <w:rPr>
          <w:sz w:val="20"/>
          <w:szCs w:val="20"/>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81" w:lineRule="exact"/>
        <w:rPr>
          <w:sz w:val="20"/>
          <w:szCs w:val="20"/>
          <w:color w:val="auto"/>
        </w:rPr>
      </w:pPr>
    </w:p>
    <w:p>
      <w:pPr>
        <w:ind w:left="1080" w:right="320" w:hanging="532"/>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7"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any of KKR Stockholders and their affiliates and any of their respective direct or indirect transferees and any group as to which such persons are a party do not constitute “interested stockholders” for purposes of this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KKR Stockholders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will not apply to KKR Stockholders and their affiliates for as long as the stockholders agreement to be entered into in connection with this offering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KKR Stockholders and their affiliates beneficially own, in the aggregate, less than 40% of the voting power of all outstanding shares of stock entitled to vote generally in the election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21" w:lineRule="exact"/>
        <w:rPr>
          <w:sz w:val="20"/>
          <w:szCs w:val="20"/>
          <w:color w:val="auto"/>
        </w:rPr>
      </w:pPr>
    </w:p>
    <w:p>
      <w:pPr>
        <w:ind w:left="120" w:right="40" w:firstLine="440"/>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voting power of all the then-outstanding shares of stock entitled to vote generally in the election of directors, voting together as a single class.</w:t>
      </w:r>
    </w:p>
    <w:p>
      <w:pPr>
        <w:spacing w:after="0" w:line="19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once KKR Stockholders and their affiliates beneficially own, in the aggregate, less than 40% of the voting power of all outstanding shares of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right="40"/>
        <w:spacing w:after="0" w:line="213" w:lineRule="auto"/>
        <w:rPr>
          <w:sz w:val="20"/>
          <w:szCs w:val="20"/>
          <w:color w:val="auto"/>
        </w:rPr>
      </w:pPr>
      <w:r>
        <w:rPr>
          <w:rFonts w:ascii="Times New Roman" w:cs="Times New Roman" w:eastAsia="Times New Roman" w:hAnsi="Times New Roman"/>
          <w:sz w:val="18"/>
          <w:szCs w:val="18"/>
          <w:color w:val="auto"/>
        </w:rPr>
        <w:t>entitled to vote generally in the election of directors, the following provisions in our amended and restated certificate of incorporation may be amended, altered, repealed or rescinded only by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the voting power of all outstanding shares of stock entitled to vote generally in the election of directors, voting together as a single class:</w:t>
      </w:r>
    </w:p>
    <w:p>
      <w:pPr>
        <w:spacing w:after="0" w:line="3" w:lineRule="exact"/>
        <w:rPr>
          <w:sz w:val="20"/>
          <w:szCs w:val="20"/>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 for stockholders to amend our amended and restated bylaws;</w:t>
      </w:r>
    </w:p>
    <w:p>
      <w:pPr>
        <w:spacing w:after="0" w:line="1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w:t>
      </w:r>
    </w:p>
    <w:p>
      <w:pPr>
        <w:spacing w:after="0" w:line="20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hanging="4"/>
        <w:spacing w:after="0" w:line="251" w:lineRule="auto"/>
        <w:tabs>
          <w:tab w:leader="none" w:pos="3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apply to have our common stock listed on Nasdaq under the symbol “ASO.”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or as amended, the ABL Facility, to increase the commitments under the facility from $650 million to $1 billion. The ABL Facility matures on May 22, 2023, subject to a springing maturity clause which is triggered 91 days before the July 2, 2022 maturity of the Term Loan Facility should it not be paid off or extended at least 91 days beyond the May 22, 2023 maturity date of the ABL Facility. Academy, Ltd. has the option to increase the commitments under the ABL Facility by $250 million, subject to the satisfaction of certain conditions under the credit agreement governing the ABL Facility.</w:t>
      </w:r>
    </w:p>
    <w:p>
      <w:pPr>
        <w:spacing w:after="0" w:line="18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90% of the net orderly liquidation value percentage of our eligible inventory on a consolidated basis,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then applicable amount of all reserves.</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2020, we had outstanding letters of credit of approximately $29.7 million, of which $19.9 million were issued under the ABL Facility, and no borrowings outstanding under the ABL Facility, leaving the available borrowing capacity under the ABL Facility of $694.1 million (which is subject to customary borrowing conditions, including a borrowing base).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August 1, 2020, no future prepayments of outstanding loans have been triggered under the terms and conditions of the ABL Facility.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Term Loan Facility, with Morgan Stanley Senior Funding, Inc., as the administrative and collateral agent, and other lenders. The Term Loan Facility matures on July 2, 2022. The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August 1, 2020, the weighted average interest rate was 5.00%, with interest payable monthly. The terms and conditions of the Term Loan Facility also require that outstanding loans under the Term Loan Facility are prepaid under certain circumstances. As of August 1, 2020, no prepayments of outstanding loans have been triggered under the terms and conditions of the Term Loan Facility.</w:t>
      </w:r>
    </w:p>
    <w:p>
      <w:pPr>
        <w:spacing w:after="0" w:line="19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Beginning in the third quarter of 2017 through the end of 2017, we repurchased a total of $26.2 million of principal of the Term Loan Facility, which was trading at a discount, for $19.7 million in open market transactions and recognized a related net gain of $6.3 million. In 2019, we repurchased $147.7 million of principal of the Term Loan Facility, which was trading at a discount, for $104.6 million in open market transactions and recognized a net gain of $42.3 million. As of August 1, 2020, there was $1,434.0 million of principal outstanding under the Term Loan Facility, net of discount.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Liens and Guarantees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All obligations under the Term Loan Facility and the guarantees of those obligations are secured by:</w:t>
      </w:r>
    </w:p>
    <w:p>
      <w:pPr>
        <w:spacing w:after="0" w:line="81" w:lineRule="exact"/>
        <w:rPr>
          <w:sz w:val="20"/>
          <w:szCs w:val="20"/>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ABL Facility and the Term Loan Facility are each guaranteed on a senior secured basis by New Academy Holding Company, LLC and all of its subsidiaries, except for Academy International Limited, a Hong Kong limited liability company and subsidiary of Academy, Ltd.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agreements governing ABL Facility and the Term Loan Facility contain covenants, including, among other things, covenants that restrict Academy, Ltd.’s and its restricted subsidiaries’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certain minimum adjusted fixed charge coverage ratio. These covenants are subject to certain qualifications and limitations. We were in compliance with these covenants as of August 1,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ABL Facility and the Term Loan Facility contain customary events of default including, but not limited to,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We cannot predict the effect, if any, future sales of shares of common stock, or the availability for future sale of shares of common stock, will have on the market price of shares of our common stock prevailing from time to time. Future 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owners in the public market following this offering could cause the market price of our common stock to decline.”</w:t>
      </w:r>
    </w:p>
    <w:p>
      <w:pPr>
        <w:spacing w:after="0" w:line="188" w:lineRule="exact"/>
        <w:rPr>
          <w:sz w:val="20"/>
          <w:szCs w:val="20"/>
          <w:color w:val="auto"/>
        </w:rPr>
      </w:pPr>
    </w:p>
    <w:p>
      <w:pPr>
        <w:ind w:left="880" w:right="60" w:hanging="323"/>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have a total of</w:t>
      </w:r>
      <w:r>
        <w:rPr>
          <w:sz w:val="20"/>
          <w:szCs w:val="20"/>
          <w:color w:val="auto"/>
        </w:rPr>
        <w:t xml:space="preserve"> </w:t>
      </w:r>
      <w:r>
        <w:rPr>
          <w:rFonts w:ascii="Times New Roman" w:cs="Times New Roman" w:eastAsia="Times New Roman" w:hAnsi="Times New Roman"/>
          <w:sz w:val="18"/>
          <w:szCs w:val="18"/>
          <w:color w:val="auto"/>
        </w:rPr>
        <w:t>shares of our common stock outstanding. Of the outstanding shares, the shares sold in this offering (or shares if the underwriters exercise in full their over-allotment option) will be freely tradable without</w:t>
      </w: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restriction or further registration under the Securities Act, except that any shares held by our affiliates, as that term is defined under Rule 144, including our directors, executive officers and other affiliates (including our existing owners), may be sold only in compliance with the limitations described below.</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our executive officers, directors and certain of our existing owners will agree, subject to certain exceptions, not to sell, dispose of or hedge any shares of our common stock or securities convertible into or exchangeable for shares of our common stock, without, in each case, the prior written consent of Credit Suisse Securities (USA) LLC and J.P. Morgan Securities LLC, for a period of 180 days after the date of this prospectus. See “Underwriting.”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beginning 90 days after the date of this prospectus, a number of shares that does not exceed the greater of:</w:t>
      </w:r>
    </w:p>
    <w:p>
      <w:pPr>
        <w:sectPr>
          <w:pgSz w:w="11900" w:h="16838" w:orient="portrait"/>
          <w:cols w:equalWidth="0" w:num="1">
            <w:col w:w="11120"/>
          </w:cols>
          <w:pgMar w:left="320" w:top="455" w:right="459" w:bottom="1440" w:gutter="0" w:footer="0" w:header="0"/>
        </w:sectPr>
      </w:pP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this offering; 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w:t>
      </w:r>
    </w:p>
    <w:p>
      <w:pPr>
        <w:spacing w:after="0" w:line="357" w:lineRule="exact"/>
        <w:rPr>
          <w:sz w:val="20"/>
          <w:szCs w:val="20"/>
          <w:color w:val="auto"/>
        </w:rPr>
      </w:pPr>
    </w:p>
    <w:p>
      <w:pPr>
        <w:sectPr>
          <w:pgSz w:w="11900" w:h="16838" w:orient="portrait"/>
          <w:cols w:equalWidth="0" w:num="3">
            <w:col w:w="620" w:space="460"/>
            <w:col w:w="7280" w:space="720"/>
            <w:col w:w="2040"/>
          </w:cols>
          <w:pgMar w:left="320" w:top="455" w:right="459" w:bottom="1440" w:gutter="0" w:footer="0" w:header="0"/>
          <w:type w:val="continuous"/>
        </w:sectPr>
      </w:pPr>
    </w:p>
    <w:p>
      <w:pPr>
        <w:ind w:left="1080" w:right="420" w:hanging="532"/>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Nasdaq during the four calendar weeks preceding the filing of a notice on Form 144 with respect to such 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type w:val="continuous"/>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2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issuance under the existing 2011 Equity Plan and the 2020 Equity Plan and the ESPP to be adopted in connection with this offering. Any such Form S-8 registration statement will automatically become effective upon filing. Accordingly shares of our common stock registered under such registration</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statements will be available for sale in the open market. We expect that the initial registration statement on Form S-8 will cover shares of our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rights some holders of common stock will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of common stock also</w:t>
      </w: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may be sold under Rule 144, depending on their holding period and subject to restrictions in the case of shares held by persons deemed to be our affiliates.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67" w:lineRule="exact"/>
        <w:rPr>
          <w:sz w:val="20"/>
          <w:szCs w:val="20"/>
          <w:color w:val="auto"/>
        </w:rPr>
      </w:pPr>
    </w:p>
    <w:p>
      <w:pPr>
        <w:ind w:left="1080" w:hanging="532"/>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jc w:val="both"/>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67" w:lineRule="exact"/>
        <w:rPr>
          <w:sz w:val="20"/>
          <w:szCs w:val="20"/>
          <w:color w:val="auto"/>
        </w:rPr>
      </w:pPr>
    </w:p>
    <w:p>
      <w:pPr>
        <w:ind w:left="1080" w:right="42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not and do not anticipate becoming a “U.S. real property holding corporation” for U.S. federal income tax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560"/>
        <w:spacing w:after="0"/>
        <w:tabs>
          <w:tab w:leader="none" w:pos="7920" w:val="left"/>
        </w:tabs>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w:t>
      </w:r>
      <w:r>
        <w:rPr>
          <w:sz w:val="20"/>
          <w:szCs w:val="20"/>
          <w:color w:val="auto"/>
        </w:rPr>
        <w:tab/>
      </w:r>
      <w:r>
        <w:rPr>
          <w:rFonts w:ascii="Times New Roman" w:cs="Times New Roman" w:eastAsia="Times New Roman" w:hAnsi="Times New Roman"/>
          <w:sz w:val="17"/>
          <w:szCs w:val="17"/>
          <w:color w:val="auto"/>
        </w:rPr>
        <w:t>, 2020, we have agreed to sell to the</w:t>
      </w:r>
    </w:p>
    <w:p>
      <w:pPr>
        <w:spacing w:after="0" w:line="27"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underwriters named below, for whom Credit Suisse Securities (USA) LLC and J.P. Morgan Securities LLC are acting as representatives, the following respective numbers of shares of common stock:</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Underwriter</w:t>
            </w: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320" w:type="dxa"/>
            <w:vAlign w:val="bottom"/>
          </w:tcPr>
          <w:p>
            <w:pPr>
              <w:spacing w:after="0"/>
              <w:rPr>
                <w:sz w:val="20"/>
                <w:szCs w:val="20"/>
                <w:color w:val="auto"/>
              </w:rPr>
            </w:pPr>
          </w:p>
        </w:tc>
      </w:tr>
      <w:tr>
        <w:trPr>
          <w:trHeight w:val="209"/>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KKR Capital Markets LLC</w:t>
            </w:r>
          </w:p>
        </w:tc>
        <w:tc>
          <w:tcPr>
            <w:tcW w:w="25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r>
      <w:tr>
        <w:trPr>
          <w:trHeight w:val="22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198"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additional shares at the initial public offering price less the underwriting discounts and commissions. The option may be exercised only to cover any over-allotments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propose to offer the shares of common stock initially at the public offering price on the cover page of this prospectus and to</w:t>
      </w:r>
    </w:p>
    <w:p>
      <w:pPr>
        <w:spacing w:after="0" w:line="27"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selling group members at that price less a selling concession of up to $ per share. After the initial public offering the representatives may change the public offering price and concession.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will pay:</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spacing w:after="0"/>
              <w:rPr>
                <w:sz w:val="15"/>
                <w:szCs w:val="15"/>
                <w:color w:val="auto"/>
              </w:rPr>
            </w:pPr>
          </w:p>
        </w:tc>
        <w:tc>
          <w:tcPr>
            <w:tcW w:w="22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3900" w:type="dxa"/>
            <w:vAlign w:val="bottom"/>
          </w:tcPr>
          <w:p>
            <w:pPr>
              <w:spacing w:after="0"/>
              <w:rPr>
                <w:sz w:val="10"/>
                <w:szCs w:val="10"/>
                <w:color w:val="auto"/>
              </w:rPr>
            </w:pPr>
          </w:p>
        </w:tc>
        <w:tc>
          <w:tcPr>
            <w:tcW w:w="94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8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800" w:type="dxa"/>
            <w:vAlign w:val="bottom"/>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420" w:type="dxa"/>
            <w:vAlign w:val="bottom"/>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8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7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Underwriting Discounts and Commissions</w:t>
            </w: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right w:val="single" w:sz="8" w:color="CCEEFF"/>
            </w:tcBorders>
            <w:shd w:val="clear" w:color="auto" w:fill="CCEEFF"/>
          </w:tcPr>
          <w:p>
            <w:pPr>
              <w:spacing w:after="0"/>
              <w:rPr>
                <w:sz w:val="15"/>
                <w:szCs w:val="15"/>
                <w:color w:val="auto"/>
              </w:rPr>
            </w:pPr>
          </w:p>
        </w:tc>
        <w:tc>
          <w:tcPr>
            <w:tcW w:w="420" w:type="dxa"/>
            <w:vAlign w:val="bottom"/>
          </w:tcPr>
          <w:p>
            <w:pPr>
              <w:spacing w:after="0"/>
              <w:rPr>
                <w:sz w:val="15"/>
                <w:szCs w:val="15"/>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4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have also agreed to reimburse the underwriters for up to $</w:t>
            </w:r>
          </w:p>
        </w:tc>
        <w:tc>
          <w:tcPr>
            <w:tcW w:w="5700" w:type="dxa"/>
            <w:vAlign w:val="bottom"/>
            <w:gridSpan w:val="7"/>
          </w:tcPr>
          <w:p>
            <w:pPr>
              <w:jc w:val="center"/>
              <w:ind w:left="275"/>
              <w:spacing w:after="0"/>
              <w:rPr>
                <w:sz w:val="20"/>
                <w:szCs w:val="20"/>
                <w:color w:val="auto"/>
              </w:rPr>
            </w:pPr>
            <w:r>
              <w:rPr>
                <w:rFonts w:ascii="Times New Roman" w:cs="Times New Roman" w:eastAsia="Times New Roman" w:hAnsi="Times New Roman"/>
                <w:sz w:val="18"/>
                <w:szCs w:val="18"/>
                <w:color w:val="auto"/>
              </w:rPr>
              <w:t>of expenses related to the review of this offering by the Financial Industry</w:t>
            </w:r>
          </w:p>
        </w:tc>
      </w:tr>
    </w:tbl>
    <w:p>
      <w:pPr>
        <w:ind w:left="120" w:right="620"/>
        <w:spacing w:after="0" w:line="260" w:lineRule="auto"/>
        <w:rPr>
          <w:sz w:val="20"/>
          <w:szCs w:val="20"/>
          <w:color w:val="auto"/>
        </w:rPr>
      </w:pPr>
      <w:r>
        <w:rPr>
          <w:rFonts w:ascii="Times New Roman" w:cs="Times New Roman" w:eastAsia="Times New Roman" w:hAnsi="Times New Roman"/>
          <w:sz w:val="18"/>
          <w:szCs w:val="18"/>
          <w:color w:val="auto"/>
        </w:rPr>
        <w:t>Regulatory Authority, Inc., or FINRA. In accordance with FINRA Rule 5110, this reimbursed fee is deemed underwriting compensation for this offering.</w:t>
      </w:r>
    </w:p>
    <w:p>
      <w:pPr>
        <w:spacing w:after="0" w:line="18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J.P. Morgan Securities LLC for a period of 180 days after the date of this prospectus.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executive officers, directors and certain of our existing owners have agreed that they will not offer, sell, contract to sell, pledge or otherwise dispose of, directly or indirectly, any shares of our common stock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right="140"/>
        <w:spacing w:after="0" w:line="257" w:lineRule="auto"/>
        <w:rPr>
          <w:sz w:val="20"/>
          <w:szCs w:val="20"/>
          <w:color w:val="auto"/>
        </w:rPr>
      </w:pPr>
      <w:r>
        <w:rPr>
          <w:rFonts w:ascii="Times New Roman" w:cs="Times New Roman" w:eastAsia="Times New Roman" w:hAnsi="Times New Roman"/>
          <w:sz w:val="18"/>
          <w:szCs w:val="18"/>
          <w:color w:val="auto"/>
        </w:rPr>
        <w:t>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w:t>
      </w:r>
    </w:p>
    <w:p>
      <w:pPr>
        <w:spacing w:after="0" w:line="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publicly disclose the intention to make any such offer, sale, pledge or disposition, or to enter into any such transaction, swap, hedge or other arrangement, without, in each case, the prior written consent of Credit Suisse Securities (USA) LLC and J.P. Morgan Securities LLC for a period of 180 days after the date of this prospectus, subject to certain exceptions.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apply to list the shares of common stock on Nasdaq, under the symbol “ASO.”</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among us and the representatives and will not necessarily reflect the market price of the common stock following this offering. The principal factors that were considered in determining the initial public offering price included:</w:t>
      </w:r>
    </w:p>
    <w:p>
      <w:pPr>
        <w:spacing w:after="0" w:line="81" w:lineRule="exact"/>
        <w:rPr>
          <w:sz w:val="20"/>
          <w:szCs w:val="20"/>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presented in this prospectus and otherwise available to the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prospects for, the industry in which we will compete;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results of operations and our current financial condition;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2"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Affiliates of KKR beneficially own in excess of 10% of our issued and outstanding common stock. Because KKR Capital Markets LLC, an affiliate of KKR, is an underwriter in this offering and its affiliates own in excess of 10% of our issued and outstanding common stock, KKR Capital Markets LLC is deemed to have a ‘‘conflict of interest’’ under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 (f)(12)(E) of Rule 5121. KKR Capital Markets LLC will not confirm sales of the securities to any account over which it exercises discretionary authority without the specific written approval of the account holder.</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1080" w:right="40" w:hanging="532"/>
        <w:spacing w:after="0" w:line="261"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85"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5" w:lineRule="exact"/>
        <w:rPr>
          <w:sz w:val="20"/>
          <w:szCs w:val="20"/>
          <w:color w:val="auto"/>
        </w:rPr>
      </w:pPr>
    </w:p>
    <w:p>
      <w:pPr>
        <w:ind w:left="1080" w:hanging="532"/>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or SFA,</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1080" w:right="20" w:hanging="532"/>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does not constitute an offer in Australia other than to persons who do not require disclosure under Part 6D.2 of the Corporations Act 2001 (Cth) and who are wholesale clients for the purposes of section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we will be subject to the informational reporting requirements of the Exchange Act and, in accordance with the Exchange Act, we will file annual, quarterly and current reports, proxy statements and other information with the SEC. Our filings with the SEC will be available to the public on the SEC’s website at http://www.sec.gov. Those filings will also be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intend to make available to our common stockholders annual reports containing consolidated financial statements audited by an independent registered public accounting firm.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20" w:type="dxa"/>
            <w:vAlign w:val="bottom"/>
          </w:tcPr>
          <w:p>
            <w:pPr>
              <w:spacing w:after="0"/>
              <w:rPr>
                <w:sz w:val="20"/>
                <w:szCs w:val="20"/>
                <w:color w:val="auto"/>
              </w:rPr>
            </w:pPr>
          </w:p>
        </w:tc>
      </w:tr>
      <w:tr>
        <w:trPr>
          <w:trHeight w:val="441"/>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tc>
        <w:tc>
          <w:tcPr>
            <w:tcW w:w="520" w:type="dxa"/>
            <w:vAlign w:val="bottom"/>
          </w:tcPr>
          <w:p>
            <w:pPr>
              <w:spacing w:after="0"/>
              <w:rPr>
                <w:sz w:val="24"/>
                <w:szCs w:val="24"/>
                <w:color w:val="auto"/>
              </w:rPr>
            </w:pPr>
          </w:p>
        </w:tc>
      </w:tr>
      <w:tr>
        <w:trPr>
          <w:trHeight w:val="21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520" w:type="dxa"/>
            <w:vAlign w:val="bottom"/>
          </w:tcPr>
          <w:p>
            <w:pPr>
              <w:spacing w:after="0"/>
              <w:rPr>
                <w:sz w:val="18"/>
                <w:szCs w:val="18"/>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30">
              <w:r>
                <w:rPr>
                  <w:rFonts w:ascii="Times New Roman" w:cs="Times New Roman" w:eastAsia="Times New Roman" w:hAnsi="Times New Roman"/>
                  <w:sz w:val="18"/>
                  <w:szCs w:val="18"/>
                  <w:u w:val="single" w:color="auto"/>
                  <w:color w:val="0000EE"/>
                </w:rPr>
                <w:t>Unaudited Consolidated Balance Sheets as of August 1, 2020, February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Unaudited Consolidated Statements of Income for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Unaudited Consolidated Statements of Partners’ Equity for the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35">
              <w:r>
                <w:rPr>
                  <w:rFonts w:ascii="Times New Roman" w:cs="Times New Roman" w:eastAsia="Times New Roman" w:hAnsi="Times New Roman"/>
                  <w:sz w:val="18"/>
                  <w:szCs w:val="18"/>
                  <w:u w:val="single" w:color="auto"/>
                  <w:color w:val="0000EE"/>
                </w:rPr>
                <w:t>Unaudited Consolidated Statements of Cash Flows for the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36">
              <w:r>
                <w:rPr>
                  <w:rFonts w:ascii="Times New Roman" w:cs="Times New Roman" w:eastAsia="Times New Roman" w:hAnsi="Times New Roman"/>
                  <w:sz w:val="18"/>
                  <w:szCs w:val="18"/>
                  <w:u w:val="single" w:color="auto"/>
                  <w:color w:val="0000EE"/>
                </w:rPr>
                <w:t>Condensed 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0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520" w:type="dxa"/>
            <w:vAlign w:val="bottom"/>
          </w:tcPr>
          <w:p>
            <w:pPr>
              <w:spacing w:after="0"/>
              <w:rPr>
                <w:sz w:val="24"/>
                <w:szCs w:val="24"/>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51">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Consolidated Balance Sheets as of February 1, 2020 and February 2,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Consolidated Statements of Income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4"/>
        </w:trPr>
        <w:tc>
          <w:tcPr>
            <w:tcW w:w="10440" w:type="dxa"/>
            <w:vAlign w:val="bottom"/>
            <w:gridSpan w:val="5"/>
          </w:tcPr>
          <w:p>
            <w:pPr>
              <w:ind w:left="360"/>
              <w:spacing w:after="0" w:line="194"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Consolidated Statements of Comprehensive Income (Loss) for the fiscal year ended February 1, 2020, February 2, 2019 and February 3,</w:t>
              </w:r>
            </w:hyperlink>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2018</w:t>
              </w:r>
            </w:hyperlink>
          </w:p>
        </w:tc>
        <w:tc>
          <w:tcPr>
            <w:tcW w:w="92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8"/>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Consolidated Statements of Partners’ Equity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56">
              <w:r>
                <w:rPr>
                  <w:rFonts w:ascii="Times New Roman" w:cs="Times New Roman" w:eastAsia="Times New Roman" w:hAnsi="Times New Roman"/>
                  <w:sz w:val="18"/>
                  <w:szCs w:val="18"/>
                  <w:u w:val="single" w:color="auto"/>
                  <w:color w:val="0000EE"/>
                </w:rPr>
                <w:t>Consolidated Statements of Cash Flows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520" w:type="dxa"/>
            <w:vAlign w:val="bottom"/>
          </w:tcPr>
          <w:p>
            <w:pPr>
              <w:spacing w:after="0"/>
              <w:rPr>
                <w:sz w:val="24"/>
                <w:szCs w:val="24"/>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86">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87">
              <w:r>
                <w:rPr>
                  <w:rFonts w:ascii="Times New Roman" w:cs="Times New Roman" w:eastAsia="Times New Roman" w:hAnsi="Times New Roman"/>
                  <w:sz w:val="18"/>
                  <w:szCs w:val="18"/>
                  <w:u w:val="single" w:color="auto"/>
                  <w:color w:val="0000EE"/>
                </w:rPr>
                <w:t>Balance Sheet as of June 30, 2020</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88">
              <w:r>
                <w:rPr>
                  <w:rFonts w:ascii="Times New Roman" w:cs="Times New Roman" w:eastAsia="Times New Roman" w:hAnsi="Times New Roman"/>
                  <w:sz w:val="18"/>
                  <w:szCs w:val="18"/>
                  <w:u w:val="single" w:color="auto"/>
                  <w:color w:val="0000EE"/>
                </w:rPr>
                <w:t>Notes to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5"/>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August 1, 2020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38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3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ind w:left="24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884,029</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149,385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52,090</w:t>
            </w:r>
          </w:p>
        </w:tc>
        <w:tc>
          <w:tcPr>
            <w:tcW w:w="0" w:type="dxa"/>
            <w:vAlign w:val="bottom"/>
          </w:tcPr>
          <w:p>
            <w:pPr>
              <w:spacing w:after="0"/>
              <w:rPr>
                <w:sz w:val="1"/>
                <w:szCs w:val="1"/>
                <w:color w:val="auto"/>
              </w:rPr>
            </w:pPr>
          </w:p>
        </w:tc>
      </w:tr>
      <w:tr>
        <w:trPr>
          <w:trHeight w:val="198"/>
        </w:trPr>
        <w:tc>
          <w:tcPr>
            <w:tcW w:w="5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 less allowance for doubtful accounts of $3,323,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9,181</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$3,275 and $2,730,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13,999</w:t>
            </w: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899,086</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1,099,749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1,203,806</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30,495</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24,548</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59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1,824,554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1,289,444</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441,407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464,323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1,171,736</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1,145,705</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1,155,072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577,000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861,920</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11,079</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15,845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17,232</w:t>
            </w:r>
          </w:p>
        </w:tc>
        <w:tc>
          <w:tcPr>
            <w:tcW w:w="0" w:type="dxa"/>
            <w:vAlign w:val="bottom"/>
          </w:tcPr>
          <w:p>
            <w:pPr>
              <w:spacing w:after="0"/>
              <w:rPr>
                <w:sz w:val="1"/>
                <w:szCs w:val="1"/>
                <w:color w:val="auto"/>
              </w:rPr>
            </w:pPr>
          </w:p>
        </w:tc>
      </w:tr>
      <w:tr>
        <w:trPr>
          <w:trHeight w:val="223"/>
        </w:trPr>
        <w:tc>
          <w:tcPr>
            <w:tcW w:w="59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4,842,848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726,666</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428,823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474,275</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211,381</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216,840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76,485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76,329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86,145</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34,116</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1,066,473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750,649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795,510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1,412,800</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1,428,542</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1,470,108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1,181,819</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1,141,896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1,136,946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29,683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19,197</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20,578</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3,690,775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3,340,284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3,423,142</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1,157,435</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228,306,033; 228,274,749 and 228,346,526,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996,285</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931,586</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(8,339)</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(8,066)</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1,149,096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988,219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925,302</w:t>
            </w:r>
          </w:p>
        </w:tc>
        <w:tc>
          <w:tcPr>
            <w:tcW w:w="0" w:type="dxa"/>
            <w:vAlign w:val="bottom"/>
          </w:tcPr>
          <w:p>
            <w:pPr>
              <w:spacing w:after="0"/>
              <w:rPr>
                <w:sz w:val="1"/>
                <w:szCs w:val="1"/>
                <w:color w:val="auto"/>
              </w:rPr>
            </w:pPr>
          </w:p>
        </w:tc>
      </w:tr>
      <w:tr>
        <w:trPr>
          <w:trHeight w:val="223"/>
        </w:trPr>
        <w:tc>
          <w:tcPr>
            <w:tcW w:w="59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4,842,848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25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30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500" w:type="dxa"/>
            <w:vAlign w:val="bottom"/>
          </w:tcPr>
          <w:p>
            <w:pPr>
              <w:spacing w:after="0"/>
              <w:rPr>
                <w:sz w:val="12"/>
                <w:szCs w:val="12"/>
                <w:color w:val="auto"/>
              </w:rPr>
            </w:pPr>
          </w:p>
        </w:tc>
        <w:tc>
          <w:tcPr>
            <w:tcW w:w="13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1,606,420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1,237,410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2,742,721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1,109,919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852,206</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1,948,275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1,616,002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496,501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385,204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794,446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698,200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312,713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312,570</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596,636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614,172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183,788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72,634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197,810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84,028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23,566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25,549</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48,088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168,681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49,225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75,161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167,676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20"/>
                <w:szCs w:val="20"/>
                <w:color w:val="auto"/>
              </w:rPr>
              <w:t>48,347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157,656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73,753</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228,306,033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228,326,985</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228,300,128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228,308,074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234,485,451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234,700,060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234,635,551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235,511,210</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Unaudited Pro Forma Financial Information (NOTE 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 forma net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118,658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48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Diluted</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556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560" w:type="dxa"/>
            <w:vAlign w:val="bottom"/>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120" w:type="dxa"/>
            <w:vAlign w:val="bottom"/>
          </w:tcPr>
          <w:p>
            <w:pPr>
              <w:spacing w:after="0"/>
              <w:rPr>
                <w:sz w:val="12"/>
                <w:szCs w:val="12"/>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167,676</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48,347</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interest rate swaps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(9,632)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(5,040)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(13,142)</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(income) expense on interest rate swaps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4,767</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r>
      <w:tr>
        <w:trPr>
          <w:trHeight w:val="27"/>
        </w:trPr>
        <w:tc>
          <w:tcPr>
            <w:tcW w:w="5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38,007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157,383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59,021</w:t>
            </w: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4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6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40" w:type="dxa"/>
            <w:vAlign w:val="bottom"/>
            <w:gridSpan w:val="5"/>
            <w:vMerge w:val="continue"/>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227,763,225</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996,285</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988,219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(10,020)</w:t>
            </w:r>
          </w:p>
        </w:tc>
        <w:tc>
          <w:tcPr>
            <w:tcW w:w="200" w:type="dxa"/>
            <w:vAlign w:val="bottom"/>
          </w:tcPr>
          <w:p>
            <w:pPr>
              <w:spacing w:after="0"/>
              <w:rPr>
                <w:sz w:val="13"/>
                <w:szCs w:val="13"/>
                <w:color w:val="auto"/>
              </w:rPr>
            </w:pPr>
          </w:p>
        </w:tc>
        <w:tc>
          <w:tcPr>
            <w:tcW w:w="8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8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settlement of vested</w:t>
            </w: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38,024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200</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38,024</w:t>
            </w:r>
          </w:p>
        </w:tc>
        <w:tc>
          <w:tcPr>
            <w:tcW w:w="0" w:type="dxa"/>
            <w:vAlign w:val="bottom"/>
          </w:tcPr>
          <w:p>
            <w:pPr>
              <w:spacing w:after="0"/>
              <w:rPr>
                <w:sz w:val="1"/>
                <w:szCs w:val="1"/>
                <w:color w:val="auto"/>
              </w:rPr>
            </w:pPr>
          </w:p>
        </w:tc>
      </w:tr>
      <w:tr>
        <w:trPr>
          <w:trHeight w:val="171"/>
        </w:trPr>
        <w:tc>
          <w:tcPr>
            <w:tcW w:w="4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Restricted Units</w:t>
            </w: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6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(6,740)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6,740</w:t>
            </w:r>
          </w:p>
        </w:tc>
        <w:tc>
          <w:tcPr>
            <w:tcW w:w="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Managers</w:t>
            </w: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20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2, 2020</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542,808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227,763,225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988,178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(10,607)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977,571</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228,306,033</w:t>
            </w:r>
          </w:p>
        </w:tc>
        <w:tc>
          <w:tcPr>
            <w:tcW w:w="0" w:type="dxa"/>
            <w:vAlign w:val="bottom"/>
          </w:tcPr>
          <w:p>
            <w:pPr>
              <w:spacing w:after="0"/>
              <w:rPr>
                <w:sz w:val="1"/>
                <w:szCs w:val="1"/>
                <w:color w:val="auto"/>
              </w:rPr>
            </w:pPr>
          </w:p>
        </w:tc>
      </w:tr>
      <w:tr>
        <w:trPr>
          <w:trHeight w:val="156"/>
        </w:trPr>
        <w:tc>
          <w:tcPr>
            <w:tcW w:w="48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8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August 1, 2020</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542,808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2,977</w:t>
            </w:r>
          </w:p>
        </w:tc>
        <w:tc>
          <w:tcPr>
            <w:tcW w:w="20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227,763,225</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1,157,435</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(8,339)</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1,149,096</w:t>
            </w:r>
          </w:p>
        </w:tc>
        <w:tc>
          <w:tcPr>
            <w:tcW w:w="2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228,306,033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4,289,056</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$ 17,885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9"/>
              </w:rPr>
              <w:t>224,000,107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848,591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8,448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$ 857,039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228,289,163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8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25,406</w:t>
            </w:r>
          </w:p>
        </w:tc>
        <w:tc>
          <w:tcPr>
            <w:tcW w:w="200" w:type="dxa"/>
            <w:vAlign w:val="bottom"/>
          </w:tcPr>
          <w:p>
            <w:pPr>
              <w:spacing w:after="0"/>
              <w:rPr>
                <w:sz w:val="13"/>
                <w:szCs w:val="13"/>
                <w:color w:val="auto"/>
              </w:rPr>
            </w:pPr>
          </w:p>
        </w:tc>
        <w:tc>
          <w:tcPr>
            <w:tcW w:w="8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4, 2019</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4,289,056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$ 17,885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9"/>
              </w:rPr>
              <w:t>224,000,107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881,094</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4,056</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$ 885,150</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228,289,163</w:t>
            </w:r>
          </w:p>
        </w:tc>
        <w:tc>
          <w:tcPr>
            <w:tcW w:w="0" w:type="dxa"/>
            <w:vAlign w:val="bottom"/>
          </w:tcPr>
          <w:p>
            <w:pPr>
              <w:spacing w:after="0"/>
              <w:rPr>
                <w:sz w:val="1"/>
                <w:szCs w:val="1"/>
                <w:color w:val="auto"/>
              </w:rPr>
            </w:pPr>
          </w:p>
        </w:tc>
      </w:tr>
      <w:tr>
        <w:trPr>
          <w:trHeight w:val="156"/>
        </w:trPr>
        <w:tc>
          <w:tcPr>
            <w:tcW w:w="51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Borders>
              <w:top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8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48,347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48,347</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settlement of vested Restricted</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57,363</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1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7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August 3, 2019</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4,346,419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$ 18,185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224,000,107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931,586</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(6,284)</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$ 925,302</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228,346,526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7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1, 2020</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120" w:type="dxa"/>
            <w:vAlign w:val="bottom"/>
          </w:tcPr>
          <w:p>
            <w:pPr>
              <w:spacing w:after="0"/>
              <w:rPr>
                <w:sz w:val="12"/>
                <w:szCs w:val="12"/>
                <w:color w:val="auto"/>
              </w:rPr>
            </w:pP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54,151</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59,097</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14,049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compensation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3,690</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1,827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1,874</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gain on early retirement of debt,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(7,831)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Casualty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4,819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6,260</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200,647</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(69,650)</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(1,623)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(74)</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302,391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42,773</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32,335</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28,908</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11,568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7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773,621</w:t>
            </w:r>
          </w:p>
        </w:tc>
        <w:tc>
          <w:tcPr>
            <w:tcW w:w="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103,961</w:t>
            </w:r>
          </w:p>
        </w:tc>
        <w:tc>
          <w:tcPr>
            <w:tcW w:w="120" w:type="dxa"/>
            <w:vAlign w:val="bottom"/>
          </w:tcPr>
          <w:p>
            <w:pPr>
              <w:spacing w:after="0"/>
              <w:rPr>
                <w:sz w:val="20"/>
                <w:szCs w:val="20"/>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(13,850)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(27,802)</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member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(13,850)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(31,767)</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314,900</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(297,000)</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(25,090)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(113,695)</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Redeemable Membership Units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(37)</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(25,127)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(95,795)</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734,644</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149,385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75,691</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884,029</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1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46,694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50,798</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state and local income taxes</w:t>
            </w:r>
          </w:p>
        </w:tc>
        <w:tc>
          <w:tcPr>
            <w:tcW w:w="1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2,461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capital expenditures in accounts payable and accrued liabilities</w:t>
            </w:r>
          </w:p>
        </w:tc>
        <w:tc>
          <w:tcPr>
            <w:tcW w:w="1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4,547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r>
      <w:tr>
        <w:trPr>
          <w:trHeight w:val="238"/>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77,118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22,409</w:t>
            </w:r>
          </w:p>
        </w:tc>
      </w:tr>
    </w:tbl>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NEW ACADEMY HOLDING COMPANY, LLC CONDENSED NOTES TO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560" w:right="8940" w:hanging="444"/>
        <w:spacing w:after="0" w:line="400" w:lineRule="auto"/>
        <w:tabs>
          <w:tab w:leader="none" w:pos="552"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b w:val="1"/>
          <w:bCs w:val="1"/>
          <w:i w:val="1"/>
          <w:iCs w:val="1"/>
          <w:color w:val="auto"/>
        </w:rPr>
        <w:t>The Company</w:t>
      </w: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jc w:val="both"/>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August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324" w:lineRule="exact"/>
        <w:rPr>
          <w:sz w:val="20"/>
          <w:szCs w:val="20"/>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or GAAP, for complete financial statements. The information furnished herein reflects all normal recurring adjustments which are, in the opinion of management, necessary for a fair presentation of the results for the interim periods presented. The results of operations for the thirteen and twenty-six weeks ended August 1,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included for the year ended February 1, 2020.</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left="560" w:right="200" w:firstLine="42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100"/>
        <w:spacing w:after="0" w:line="289" w:lineRule="auto"/>
        <w:rPr>
          <w:sz w:val="20"/>
          <w:szCs w:val="20"/>
          <w:color w:val="auto"/>
        </w:rPr>
      </w:pPr>
      <w:r>
        <w:rPr>
          <w:rFonts w:ascii="Times New Roman" w:cs="Times New Roman" w:eastAsia="Times New Roman" w:hAnsi="Times New Roman"/>
          <w:sz w:val="17"/>
          <w:szCs w:val="17"/>
          <w:color w:val="auto"/>
        </w:rPr>
        <w:t>the financial statements involve difficult, subjective or complex judgments by management include the valuation of merchandise inventories and performing goodwill, intangible and long-lived asset impairment analyses. Given the global economic climate and additional unforseen effects from the COVID-19 pandemic, these estimates are becoming more challenging, and actual results could differ materially from our estimates.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left="560" w:right="200" w:firstLine="423"/>
        <w:spacing w:after="0" w:line="266" w:lineRule="auto"/>
        <w:rPr>
          <w:sz w:val="20"/>
          <w:szCs w:val="20"/>
          <w:color w:val="auto"/>
        </w:rPr>
      </w:pPr>
      <w:r>
        <w:rPr>
          <w:rFonts w:ascii="Times New Roman" w:cs="Times New Roman" w:eastAsia="Times New Roman" w:hAnsi="Times New Roman"/>
          <w:sz w:val="18"/>
          <w:szCs w:val="18"/>
          <w:color w:val="auto"/>
        </w:rPr>
        <w:t>In connection with the proposed initial public offering, or the IPO, of Academy Sports and Outdoors, Inc., a Delaware corporation, or an IPO issuer, we will undertake a series of reorganization transactions, or the Reorganization Transactions, that will result in, among other things, Holdco being contributed by its unitholders to the IPO issuer and becoming a wholly owned subsidiary of the IPO issuer.</w:t>
      </w:r>
    </w:p>
    <w:p>
      <w:pPr>
        <w:spacing w:after="0" w:line="176" w:lineRule="exact"/>
        <w:rPr>
          <w:sz w:val="20"/>
          <w:szCs w:val="20"/>
          <w:color w:val="auto"/>
        </w:rPr>
      </w:pPr>
    </w:p>
    <w:p>
      <w:pPr>
        <w:ind w:left="560" w:firstLine="423"/>
        <w:spacing w:after="0" w:line="273" w:lineRule="auto"/>
        <w:rPr>
          <w:sz w:val="20"/>
          <w:szCs w:val="20"/>
          <w:color w:val="auto"/>
        </w:rPr>
      </w:pPr>
      <w:r>
        <w:rPr>
          <w:rFonts w:ascii="Times New Roman" w:cs="Times New Roman" w:eastAsia="Times New Roman" w:hAnsi="Times New Roman"/>
          <w:sz w:val="17"/>
          <w:szCs w:val="17"/>
          <w:color w:val="auto"/>
        </w:rPr>
        <w:t>The unaudited pro forma financial information provided on the consolidated statements of income (loss) provides the estimated impact to net income (loss)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(loss).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7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On August 28, 2020, Holdco distributed a $257.0 million one-time special distribution (the “Distribution”) to existing unitholders of record as of August 25, 2020.</w:t>
      </w:r>
    </w:p>
    <w:p>
      <w:pPr>
        <w:spacing w:after="0" w:line="162"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0" w:lineRule="exact"/>
        <w:rPr>
          <w:sz w:val="20"/>
          <w:szCs w:val="20"/>
          <w:color w:val="auto"/>
        </w:rPr>
      </w:pPr>
    </w:p>
    <w:p>
      <w:pPr>
        <w:ind w:left="560" w:right="20" w:firstLine="423"/>
        <w:spacing w:after="0" w:line="257" w:lineRule="auto"/>
        <w:rPr>
          <w:sz w:val="20"/>
          <w:szCs w:val="20"/>
          <w:color w:val="auto"/>
        </w:rPr>
      </w:pPr>
      <w:r>
        <w:rPr>
          <w:rFonts w:ascii="Times New Roman" w:cs="Times New Roman" w:eastAsia="Times New Roman" w:hAnsi="Times New Roman"/>
          <w:sz w:val="18"/>
          <w:szCs w:val="18"/>
          <w:color w:val="auto"/>
        </w:rPr>
        <w:t>Unaudited basic and diluted pro forma net income per share data presented below assumed that (i) shares of common stock of the IPO issuer were issued and outstanding for the twenty-six weeks ended August 1, 2020 in connection with the contribution of Holdco by its unitholders and related Reorganization Transactions and related cancellation of all outstanding partners’ equity at Holdco in connection with the</w:t>
      </w:r>
    </w:p>
    <w:p>
      <w:pPr>
        <w:spacing w:after="0" w:line="1" w:lineRule="exact"/>
        <w:rPr>
          <w:sz w:val="20"/>
          <w:szCs w:val="20"/>
          <w:color w:val="auto"/>
        </w:rPr>
      </w:pPr>
    </w:p>
    <w:p>
      <w:pPr>
        <w:ind w:left="560"/>
        <w:spacing w:after="0" w:line="250" w:lineRule="auto"/>
        <w:rPr>
          <w:sz w:val="20"/>
          <w:szCs w:val="20"/>
          <w:color w:val="auto"/>
        </w:rPr>
      </w:pPr>
      <w:r>
        <w:rPr>
          <w:rFonts w:ascii="Times New Roman" w:cs="Times New Roman" w:eastAsia="Times New Roman" w:hAnsi="Times New Roman"/>
          <w:sz w:val="18"/>
          <w:szCs w:val="18"/>
          <w:color w:val="auto"/>
        </w:rPr>
        <w:t>IPO and (ii) an additional of the Company’s shares of common stock were outstanding for the twenty-six weeks ended August 1, 2020, which represents the number of shares of common stock that the Company would have been required to issue to fund the amount of the Distribution in excess of its net income for the twelve months ended August 1, 2020. The number of shares that the Company would have been required to issue to pay the Distribution was calculated by dividing the portion of the total $257.0 million Distribution in excess of the Company’s</w:t>
      </w:r>
    </w:p>
    <w:p>
      <w:pPr>
        <w:spacing w:after="0" w:line="2" w:lineRule="exact"/>
        <w:rPr>
          <w:sz w:val="20"/>
          <w:szCs w:val="20"/>
          <w:color w:val="auto"/>
        </w:rPr>
      </w:pPr>
    </w:p>
    <w:p>
      <w:pPr>
        <w:ind w:left="560" w:right="60"/>
        <w:spacing w:after="0" w:line="260" w:lineRule="auto"/>
        <w:rPr>
          <w:sz w:val="20"/>
          <w:szCs w:val="20"/>
          <w:color w:val="auto"/>
        </w:rPr>
      </w:pPr>
      <w:r>
        <w:rPr>
          <w:rFonts w:ascii="Times New Roman" w:cs="Times New Roman" w:eastAsia="Times New Roman" w:hAnsi="Times New Roman"/>
          <w:sz w:val="18"/>
          <w:szCs w:val="18"/>
          <w:color w:val="auto"/>
        </w:rPr>
        <w:t>net income for the twelve months ended August 1, 2020 by an assumed initial public offering price in the IPO of $ per share, representing the midpoint of the estimated price range set forth on the cover page of the prospectus.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computation of the Company’s unaudited basic and diluted pro forma net income per share for the twenty-six week period ended August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2820" w:type="dxa"/>
            <w:vAlign w:val="bottom"/>
          </w:tcPr>
          <w:p>
            <w:pPr>
              <w:spacing w:after="0"/>
              <w:rPr>
                <w:sz w:val="13"/>
                <w:szCs w:val="13"/>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00" w:type="dxa"/>
            <w:vAlign w:val="bottom"/>
          </w:tcPr>
          <w:p>
            <w:pPr>
              <w:spacing w:after="0"/>
              <w:rPr>
                <w:sz w:val="13"/>
                <w:szCs w:val="13"/>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80"/>
        </w:trPr>
        <w:tc>
          <w:tcPr>
            <w:tcW w:w="6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28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 forma net income</w:t>
            </w:r>
          </w:p>
        </w:tc>
        <w:tc>
          <w:tcPr>
            <w:tcW w:w="318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$ 118,658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$ 118,658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 to the Reorganization Transactions</w:t>
            </w: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 related to the Distribution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tc>
        <w:tc>
          <w:tcPr>
            <w:tcW w:w="282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2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1020" w:type="dxa"/>
            <w:vAlign w:val="bottom"/>
            <w:gridSpan w:val="8"/>
          </w:tcPr>
          <w:p>
            <w:pPr>
              <w:ind w:left="860"/>
              <w:spacing w:after="0"/>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balance sheet gives effect to the Distribution, including the use</w:t>
            </w:r>
          </w:p>
        </w:tc>
        <w:tc>
          <w:tcPr>
            <w:tcW w:w="0" w:type="dxa"/>
            <w:vAlign w:val="bottom"/>
          </w:tcPr>
          <w:p>
            <w:pPr>
              <w:spacing w:after="0"/>
              <w:rPr>
                <w:sz w:val="1"/>
                <w:szCs w:val="1"/>
                <w:color w:val="auto"/>
              </w:rPr>
            </w:pPr>
          </w:p>
        </w:tc>
      </w:tr>
      <w:tr>
        <w:trPr>
          <w:trHeight w:val="234"/>
        </w:trPr>
        <w:tc>
          <w:tcPr>
            <w:tcW w:w="6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of $248.0 million of cash to fund the Distribution and the related decrease of $</w:t>
            </w:r>
          </w:p>
        </w:tc>
        <w:tc>
          <w:tcPr>
            <w:tcW w:w="3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million in partners’ equity.</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3, 2019 for comparability purposes. This reclassification is in divisional presentation only and did not impact the overall net sales balances previously disclosed.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1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0" w:type="dxa"/>
            <w:vAlign w:val="bottom"/>
          </w:tcPr>
          <w:p>
            <w:pPr>
              <w:spacing w:after="0"/>
              <w:rPr>
                <w:sz w:val="10"/>
                <w:szCs w:val="10"/>
                <w:color w:val="auto"/>
              </w:rPr>
            </w:pPr>
          </w:p>
        </w:tc>
      </w:tr>
      <w:tr>
        <w:trPr>
          <w:trHeight w:val="173"/>
        </w:trPr>
        <w:tc>
          <w:tcPr>
            <w:tcW w:w="5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532,786</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961,591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637,346</w:t>
            </w: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360,828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656,173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524,882</w:t>
            </w: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412,595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620,662</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629,044</w:t>
            </w: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293,146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489,558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514,213</w:t>
            </w: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1,599,355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1,233,256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2,727,984</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2,305,485</w:t>
            </w:r>
          </w:p>
        </w:tc>
        <w:tc>
          <w:tcPr>
            <w:tcW w:w="4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14,737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8,717</w:t>
            </w: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1,606,420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1,237,410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2,742,721</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4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line="255" w:lineRule="auto"/>
        <w:tabs>
          <w:tab w:leader="none" w:pos="3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3, 2019 for comparability purposes. This reclassification is in divisional presentation only and did not impact the overall net sales balances previously disclosed (see Note 2).</w:t>
      </w:r>
    </w:p>
    <w:p>
      <w:pPr>
        <w:spacing w:after="0" w:line="2" w:lineRule="exact"/>
        <w:rPr>
          <w:rFonts w:ascii="Times New Roman" w:cs="Times New Roman" w:eastAsia="Times New Roman" w:hAnsi="Times New Roman"/>
          <w:sz w:val="15"/>
          <w:szCs w:val="15"/>
          <w:color w:val="auto"/>
        </w:rPr>
      </w:pPr>
    </w:p>
    <w:p>
      <w:pPr>
        <w:ind w:left="340" w:right="280" w:hanging="224"/>
        <w:spacing w:after="0" w:line="250" w:lineRule="auto"/>
        <w:tabs>
          <w:tab w:leader="none" w:pos="3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9.4% and 10.9% of merchandise sales for the thirteen and twenty-six weeks ended August 1, 2020, respectively, and 3.9% and 3.4% for the thirteen and twenty-six weeks ended August 3, 2019, respectively.</w:t>
      </w:r>
    </w:p>
    <w:p>
      <w:pPr>
        <w:ind w:left="340" w:right="460" w:hanging="224"/>
        <w:spacing w:after="0" w:line="260" w:lineRule="auto"/>
        <w:tabs>
          <w:tab w:leader="none" w:pos="3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4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$ 57,786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$ 54,523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32,614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2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(43,713)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9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(681)</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(1,484)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$ 55,410</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$ 50,631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55,410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92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color w:val="auto"/>
              </w:rPr>
              <w:t>F-11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3"/>
                <w:szCs w:val="13"/>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 discount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1,433,965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$2.0 million, $2.6 million and $3.1 million, 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1,474,986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1,433,965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1,412,800</w:t>
            </w:r>
          </w:p>
        </w:tc>
        <w:tc>
          <w:tcPr>
            <w:tcW w:w="3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1,428,542</w:t>
            </w:r>
          </w:p>
        </w:tc>
        <w:tc>
          <w:tcPr>
            <w:tcW w:w="3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1,470,108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These costs are related to the 2015 Term Loan Facility.</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seven-year $1.8 billion senior secured term loan facility, or the</w:t>
      </w:r>
    </w:p>
    <w:p>
      <w:pPr>
        <w:spacing w:after="0" w:line="31" w:lineRule="exact"/>
        <w:rPr>
          <w:sz w:val="20"/>
          <w:szCs w:val="20"/>
          <w:color w:val="auto"/>
        </w:rPr>
      </w:pPr>
    </w:p>
    <w:p>
      <w:pPr>
        <w:ind w:left="560" w:right="40"/>
        <w:spacing w:after="0" w:line="252" w:lineRule="auto"/>
        <w:rPr>
          <w:sz w:val="20"/>
          <w:szCs w:val="20"/>
          <w:color w:val="auto"/>
        </w:rPr>
      </w:pPr>
      <w:r>
        <w:rPr>
          <w:rFonts w:ascii="Times New Roman" w:cs="Times New Roman" w:eastAsia="Times New Roman" w:hAnsi="Times New Roman"/>
          <w:sz w:val="18"/>
          <w:szCs w:val="18"/>
          <w:color w:val="auto"/>
        </w:rPr>
        <w:t>2015 Term Loan Facility. The 2015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August 1, 2020, the weighted average interest rate was 5.00%, with interest payable monthly. The terms and conditions of the 2015 Term Loan Facility also require that we prepay outstanding loans under the 2015 Term Loan Facility under certain circumstances. As of August 1, 2020, no prepayments of outstanding loans have been triggered under the terms and conditions of the 2015 Term Loan Facility.</w:t>
      </w:r>
    </w:p>
    <w:p>
      <w:pPr>
        <w:spacing w:after="0" w:line="188"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and twenty-six weeks ended August 1, 2020 and August 3, 2019, we repurchased a portion of our principal on the 2015 Term Loan Facility, which was trading at a discount, in open market transactions. The following table provides further detail regarding these repurchases (amounts in millions):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40" w:type="dxa"/>
            <w:vAlign w:val="bottom"/>
          </w:tcPr>
          <w:p>
            <w:pPr>
              <w:spacing w:after="0"/>
              <w:rPr>
                <w:sz w:val="12"/>
                <w:szCs w:val="12"/>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16.0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16.0</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7.8</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7.8</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bl>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five-year $650 million secured asset-based revolving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2015 ABL Facility.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Academy, Ltd. has the option to increase the commitments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Amended ABL Facility by $250 million, subject to the satisfaction of certain conditions under the agreement.</w:t>
      </w:r>
    </w:p>
    <w:p>
      <w:pPr>
        <w:spacing w:after="0" w:line="225"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The Amended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August 1, 2020, we had outstanding letters of credit of approximately $29.7 million, of which $19.9 million were issued under the Amended ABL Facility, and we had no borrowings outstanding under the Amended ABL Facility, leaving the available borrowing capacity under the Amended ABL Facility of $694.1 million.</w:t>
      </w:r>
    </w:p>
    <w:p>
      <w:pPr>
        <w:spacing w:after="0" w:line="187"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August 1, 2020, no future prepayments of outstanding loans have been triggered under the terms and conditions of the Amended ABL Facility.</w:t>
      </w:r>
    </w:p>
    <w:p>
      <w:pPr>
        <w:spacing w:after="0" w:line="183" w:lineRule="exact"/>
        <w:rPr>
          <w:sz w:val="20"/>
          <w:szCs w:val="20"/>
          <w:color w:val="auto"/>
        </w:rPr>
      </w:pPr>
    </w:p>
    <w:p>
      <w:pPr>
        <w:ind w:left="560" w:right="10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certain minimum adjusted fixed charge coverage ratio. These covenants are subject to certain qualifications and limitations. We were in compliance with these covenants as of August 1, 2020.</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capitalized interest primarily related to construction of new stores and store renovations in the amount of</w:t>
      </w:r>
    </w:p>
    <w:p>
      <w:pPr>
        <w:spacing w:after="0" w:line="31" w:lineRule="exact"/>
        <w:rPr>
          <w:sz w:val="20"/>
          <w:szCs w:val="20"/>
          <w:color w:val="auto"/>
        </w:rPr>
      </w:pPr>
    </w:p>
    <w:p>
      <w:pPr>
        <w:ind w:left="560" w:right="160"/>
        <w:spacing w:after="0" w:line="260" w:lineRule="auto"/>
        <w:rPr>
          <w:sz w:val="20"/>
          <w:szCs w:val="20"/>
          <w:color w:val="auto"/>
        </w:rPr>
      </w:pPr>
      <w:r>
        <w:rPr>
          <w:rFonts w:ascii="Times New Roman" w:cs="Times New Roman" w:eastAsia="Times New Roman" w:hAnsi="Times New Roman"/>
          <w:sz w:val="18"/>
          <w:szCs w:val="18"/>
          <w:color w:val="auto"/>
        </w:rPr>
        <w:t>$0.2 million and $0.3 million for the thirteen and twenty-six weeks ended August 1, 2020, respectively, and $0.1 million and $0.3 million for the thirteen and twenty-six weeks ended August 3, 2019, respectively.</w:t>
      </w:r>
    </w:p>
    <w:p>
      <w:pPr>
        <w:spacing w:after="0" w:line="326" w:lineRule="exact"/>
        <w:rPr>
          <w:sz w:val="20"/>
          <w:szCs w:val="20"/>
          <w:color w:val="auto"/>
        </w:rPr>
      </w:pPr>
    </w:p>
    <w:p>
      <w:pPr>
        <w:ind w:left="540" w:hanging="424"/>
        <w:spacing w:after="0"/>
        <w:tabs>
          <w:tab w:leader="none" w:pos="54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220" w:hanging="224"/>
        <w:spacing w:after="0" w:line="282" w:lineRule="auto"/>
        <w:tabs>
          <w:tab w:leader="none" w:pos="34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2017, 2018, 2019 and 2020,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these interest rate swaps is as follows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7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56"/>
        </w:trPr>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4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(8,379)</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(8,106)</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Amounts included in accumulated other comprehensive loss, or AOCI, are reclassified to interest expense in the same period during which the hedged transaction affects earnings, which is as interest expense is recorded on the underlying 2015 Term Loan Facility. As of August 1, 2020, we estimate that approximately $7.9 million of the balance in AOCI will be reclassified as an increase in interest expense during the next 12 months.</w:t>
      </w:r>
    </w:p>
    <w:p>
      <w:pPr>
        <w:spacing w:after="0" w:line="180"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140" w:type="dxa"/>
            <w:vAlign w:val="bottom"/>
          </w:tcPr>
          <w:p>
            <w:pPr>
              <w:spacing w:after="0"/>
              <w:rPr>
                <w:sz w:val="12"/>
                <w:szCs w:val="12"/>
                <w:color w:val="auto"/>
              </w:rPr>
            </w:pPr>
          </w:p>
        </w:tc>
        <w:tc>
          <w:tcPr>
            <w:tcW w:w="16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7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tcPr>
          <w:p>
            <w:pPr>
              <w:spacing w:after="0"/>
              <w:rPr>
                <w:sz w:val="12"/>
                <w:szCs w:val="12"/>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deferred into AOCI</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(9,632)</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(5,040)</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2,874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4,767</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320" w:lineRule="exact"/>
        <w:rPr>
          <w:sz w:val="20"/>
          <w:szCs w:val="20"/>
          <w:color w:val="auto"/>
        </w:rPr>
      </w:pPr>
    </w:p>
    <w:p>
      <w:pPr>
        <w:ind w:left="540" w:hanging="424"/>
        <w:spacing w:after="0"/>
        <w:tabs>
          <w:tab w:leader="none" w:pos="54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200" w:firstLine="423"/>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540" w:right="40" w:hanging="331"/>
        <w:spacing w:after="0" w:line="282" w:lineRule="auto"/>
        <w:tabs>
          <w:tab w:leader="none" w:pos="1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380" w:type="dxa"/>
            <w:vAlign w:val="bottom"/>
          </w:tcPr>
          <w:p>
            <w:pPr>
              <w:spacing w:after="0"/>
              <w:rPr>
                <w:sz w:val="13"/>
                <w:szCs w:val="13"/>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3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6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175"/>
        </w:trPr>
        <w:tc>
          <w:tcPr>
            <w:tcW w:w="42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8,379</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8,106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60" w:right="80" w:firstLine="423"/>
        <w:spacing w:after="0" w:line="255"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560" w:right="200" w:firstLine="423"/>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August 1, 2020 and February 1, 2020, we held $781.1 million and $113.3 million in money market funds, respectively. We held no investments in money market funds as of August 3, 2019.</w:t>
      </w:r>
    </w:p>
    <w:p>
      <w:pPr>
        <w:spacing w:after="0" w:line="176" w:lineRule="exact"/>
        <w:rPr>
          <w:sz w:val="20"/>
          <w:szCs w:val="20"/>
          <w:color w:val="auto"/>
        </w:rPr>
      </w:pPr>
    </w:p>
    <w:p>
      <w:pPr>
        <w:ind w:left="560" w:right="80" w:firstLine="423"/>
        <w:spacing w:after="0" w:line="281" w:lineRule="auto"/>
        <w:rPr>
          <w:sz w:val="20"/>
          <w:szCs w:val="20"/>
          <w:color w:val="auto"/>
        </w:rPr>
      </w:pPr>
      <w:r>
        <w:rPr>
          <w:rFonts w:ascii="Times New Roman" w:cs="Times New Roman" w:eastAsia="Times New Roman" w:hAnsi="Times New Roman"/>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August 1, 2020, February 1, 2020 and August 3, 2019, the estimated fair value of our 2015 Term Loan Facility was $1.3 billion, $1.2 billion and $1.0 billion, respectively. As borrowings on the Amended ABL Facility are generally repaid in less than 12 months, we believe that fair value approximates the carrying value.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434,087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541,366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537,364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521,742</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316,366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308,731</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1,317,593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1,311,928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1,282,676</w:t>
            </w:r>
          </w:p>
        </w:tc>
        <w:tc>
          <w:tcPr>
            <w:tcW w:w="12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(921,034)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(870,521)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(818,353)</w:t>
            </w: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441,407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464,323</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Depreciation expense was $26.7 million and $54.2 million in the thirteen and twenty-six weeks ended August 1, 2020, respectively, and $29.3 million and $59.1 million in the thirteen and twenty-six weeks ended August 3, 2019, respectively.</w:t>
      </w:r>
    </w:p>
    <w:p>
      <w:pPr>
        <w:spacing w:after="0" w:line="306" w:lineRule="exact"/>
        <w:rPr>
          <w:sz w:val="20"/>
          <w:szCs w:val="20"/>
          <w:color w:val="auto"/>
        </w:rPr>
      </w:pPr>
    </w:p>
    <w:p>
      <w:pPr>
        <w:ind w:left="540" w:hanging="424"/>
        <w:spacing w:after="0"/>
        <w:tabs>
          <w:tab w:leader="none" w:pos="54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April 2020, the Financial Accounting Standards Board issued </w:t>
      </w:r>
      <w:r>
        <w:rPr>
          <w:rFonts w:ascii="Times New Roman" w:cs="Times New Roman" w:eastAsia="Times New Roman" w:hAnsi="Times New Roman"/>
          <w:sz w:val="18"/>
          <w:szCs w:val="18"/>
          <w:i w:val="1"/>
          <w:iCs w:val="1"/>
          <w:color w:val="auto"/>
        </w:rPr>
        <w:t>Staff Q&amp;A - Topic 842 and Topic 840: Accounting For Lease Concessions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the Effects of the COVID-19 Pandemic</w:t>
      </w:r>
      <w:r>
        <w:rPr>
          <w:rFonts w:ascii="Times New Roman" w:cs="Times New Roman" w:eastAsia="Times New Roman" w:hAnsi="Times New Roman"/>
          <w:sz w:val="18"/>
          <w:szCs w:val="18"/>
          <w:color w:val="auto"/>
        </w:rPr>
        <w:t>. This guidance provides entities with the option to elect to account for certain lease concessions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those contracts.</w:t>
      </w:r>
    </w:p>
    <w:p>
      <w:pPr>
        <w:spacing w:after="0" w:line="185"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weeks ended August 1, 2020, the Company received $2.0 million in lease expense credit related to landlord abated rent as a result of the elections made under this guidance. Additionally, during the thirteen weeks ended August 1, 2020, the Company signed 40 lease extensions, requiring lease modification accounting treatment.</w:t>
      </w:r>
    </w:p>
    <w:p>
      <w:pPr>
        <w:spacing w:after="0" w:line="176"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(“SG&amp;A”) expenses on our statement of income is as follows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28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70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49,259</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48,570</w:t>
            </w: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98,256</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1,805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1,818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w:t>
            </w:r>
          </w:p>
        </w:tc>
      </w:tr>
      <w:tr>
        <w:trPr>
          <w:trHeight w:val="27"/>
        </w:trPr>
        <w:tc>
          <w:tcPr>
            <w:tcW w:w="4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49,008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49,979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99,548</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F-16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4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5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5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8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68,788</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71,118</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10,090</w:t>
            </w:r>
          </w:p>
        </w:tc>
        <w:tc>
          <w:tcPr>
            <w:tcW w:w="220" w:type="dxa"/>
            <w:vAlign w:val="bottom"/>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200" w:type="dxa"/>
            <w:vAlign w:val="bottom"/>
            <w:gridSpan w:val="3"/>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22,409</w:t>
            </w:r>
          </w:p>
        </w:tc>
        <w:tc>
          <w:tcPr>
            <w:tcW w:w="0" w:type="dxa"/>
            <w:vAlign w:val="bottom"/>
          </w:tcPr>
          <w:p>
            <w:pPr>
              <w:spacing w:after="0"/>
              <w:rPr>
                <w:sz w:val="1"/>
                <w:szCs w:val="1"/>
                <w:color w:val="auto"/>
              </w:rPr>
            </w:pPr>
          </w:p>
        </w:tc>
      </w:tr>
      <w:tr>
        <w:trPr>
          <w:trHeight w:val="198"/>
        </w:trPr>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45,950</w:t>
            </w:r>
          </w:p>
        </w:tc>
        <w:tc>
          <w:tcPr>
            <w:tcW w:w="5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82,182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rPr>
              <w:t>47,779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95,565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11.5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8.92%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196,617</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193,774</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186,207</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177,773</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171,030</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1,046,324</w:t>
            </w:r>
          </w:p>
        </w:tc>
        <w:tc>
          <w:tcPr>
            <w:tcW w:w="80" w:type="dxa"/>
            <w:vAlign w:val="bottom"/>
            <w:shd w:val="clear" w:color="auto" w:fill="CCEEFF"/>
          </w:tcPr>
          <w:p>
            <w:pPr>
              <w:spacing w:after="0"/>
              <w:rPr>
                <w:sz w:val="18"/>
                <w:szCs w:val="18"/>
                <w:color w:val="auto"/>
              </w:rPr>
            </w:pP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payments </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2,074,311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(816,007)</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20" w:hanging="224"/>
        <w:spacing w:after="0" w:line="282" w:lineRule="auto"/>
        <w:tabs>
          <w:tab w:leader="none" w:pos="340"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$2.0 million as of August 1, 2020 due in the future under non-cancelable subleases.</w:t>
      </w:r>
    </w:p>
    <w:p>
      <w:pPr>
        <w:spacing w:after="0" w:line="306" w:lineRule="exact"/>
        <w:rPr>
          <w:sz w:val="20"/>
          <w:szCs w:val="20"/>
          <w:color w:val="auto"/>
        </w:rPr>
      </w:pPr>
    </w:p>
    <w:p>
      <w:pPr>
        <w:ind w:left="540" w:hanging="424"/>
        <w:spacing w:after="0"/>
        <w:tabs>
          <w:tab w:leader="none" w:pos="54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7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21,078</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13,554</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57,621</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52,417</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39,289</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38,505</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29,776</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36,882</w:t>
            </w:r>
          </w:p>
        </w:tc>
        <w:tc>
          <w:tcPr>
            <w:tcW w:w="40" w:type="dxa"/>
            <w:vAlign w:val="bottom"/>
            <w:shd w:val="clear" w:color="auto" w:fill="CCEEFF"/>
          </w:tcPr>
          <w:p>
            <w:pPr>
              <w:spacing w:after="0"/>
              <w:rPr>
                <w:sz w:val="18"/>
                <w:szCs w:val="18"/>
                <w:color w:val="auto"/>
              </w:rPr>
            </w:pPr>
          </w:p>
        </w:tc>
      </w:tr>
      <w:tr>
        <w:trPr>
          <w:trHeight w:val="223"/>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216,840</w:t>
            </w:r>
          </w:p>
        </w:tc>
        <w:tc>
          <w:tcPr>
            <w:tcW w:w="4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F-17</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60"/>
          </w:cols>
          <w:pgMar w:left="320" w:top="455" w:right="81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228,306,033 Membership Units authorized, issued and outstanding as of August 1, 2020.</w:t>
      </w:r>
    </w:p>
    <w:p>
      <w:pPr>
        <w:spacing w:after="0" w:line="225"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58"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liquidity event-based requirements and a time-based requirement and/or performance-based requirement, or each, a Liquidity Event Restricted Unit. In each case, vesting of the Company’s outstanding and unvested Unit Options and Restricted Units is contingent upon the holder’s continued service through the date of each applicable vesting event.</w:t>
      </w:r>
    </w:p>
    <w:p>
      <w:pPr>
        <w:spacing w:after="0" w:line="183" w:lineRule="exact"/>
        <w:rPr>
          <w:sz w:val="20"/>
          <w:szCs w:val="20"/>
          <w:color w:val="auto"/>
        </w:rPr>
      </w:pPr>
    </w:p>
    <w:p>
      <w:pPr>
        <w:ind w:left="560" w:right="260" w:firstLine="423"/>
        <w:spacing w:after="0" w:line="266" w:lineRule="auto"/>
        <w:rPr>
          <w:sz w:val="20"/>
          <w:szCs w:val="20"/>
          <w:color w:val="auto"/>
        </w:rPr>
      </w:pPr>
      <w:r>
        <w:rPr>
          <w:rFonts w:ascii="Times New Roman" w:cs="Times New Roman" w:eastAsia="Times New Roman" w:hAnsi="Times New Roman"/>
          <w:sz w:val="18"/>
          <w:szCs w:val="18"/>
          <w:color w:val="auto"/>
        </w:rPr>
        <w:t>As of August 1, 2020, the number of Holdco Membership Units authorized for the grant of Awards under the 2011 Unit Incentive Plan is 36,933,859 Membership Units. As of August 1, 2020, there are 1,577,837 Holdco Membership Units that are authorized and available for the grant of Awards under the 2011 Unit Incentive Plan.</w:t>
      </w:r>
    </w:p>
    <w:p>
      <w:pPr>
        <w:spacing w:after="0" w:line="176"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Equity compensation expense was $1.6 million and $3.7 million in the thirteen and twenty-six weeks ended August 1, 2020, respectively, and $2.5 million and $4.5 million in the thirteen and twenty-six weeks ended August 3, 2019, respectively, and is included in selling, general and administrative expenses in the statements of income.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560" w:right="60" w:firstLine="423"/>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7" w:lineRule="exact"/>
        <w:rPr>
          <w:sz w:val="20"/>
          <w:szCs w:val="20"/>
          <w:color w:val="auto"/>
        </w:rPr>
      </w:pPr>
    </w:p>
    <w:p>
      <w:pPr>
        <w:ind w:left="560" w:right="64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the twenty-six weeks ended August 1, 2020:</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to 0.76%</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2780" w:type="dxa"/>
            <w:vAlign w:val="bottom"/>
          </w:tcPr>
          <w:p>
            <w:pPr>
              <w:spacing w:after="0"/>
              <w:rPr>
                <w:sz w:val="24"/>
                <w:szCs w:val="24"/>
                <w:color w:val="auto"/>
              </w:rPr>
            </w:pPr>
          </w:p>
        </w:tc>
        <w:tc>
          <w:tcPr>
            <w:tcW w:w="470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F-18</w:t>
            </w:r>
          </w:p>
        </w:tc>
      </w:tr>
    </w:tbl>
    <w:p>
      <w:pPr>
        <w:sectPr>
          <w:pgSz w:w="11900" w:h="16838" w:orient="portrait"/>
          <w:cols w:equalWidth="0" w:num="1">
            <w:col w:w="11100"/>
          </w:cols>
          <w:pgMar w:left="320" w:top="455" w:right="47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the Unit grants during the twenty-six weeks ended August 1, 2020:</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98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80" w:type="dxa"/>
            <w:vAlign w:val="bottom"/>
            <w:gridSpan w:val="6"/>
            <w:vMerge w:val="continue"/>
          </w:tcPr>
          <w:p>
            <w:pPr>
              <w:spacing w:after="0"/>
              <w:rPr>
                <w:sz w:val="15"/>
                <w:szCs w:val="15"/>
                <w:color w:val="auto"/>
              </w:rPr>
            </w:pPr>
          </w:p>
        </w:tc>
        <w:tc>
          <w:tcPr>
            <w:tcW w:w="13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58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4,024,172</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grant date fair value per unit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300" w:type="dxa"/>
            <w:vAlign w:val="bottom"/>
          </w:tcPr>
          <w:p>
            <w:pPr>
              <w:spacing w:after="0"/>
              <w:rPr>
                <w:sz w:val="17"/>
                <w:szCs w:val="17"/>
                <w:color w:val="auto"/>
              </w:rPr>
            </w:pPr>
          </w:p>
        </w:tc>
        <w:tc>
          <w:tcPr>
            <w:tcW w:w="780" w:type="dxa"/>
            <w:vAlign w:val="bottom"/>
            <w:gridSpan w:val="3"/>
            <w:vMerge w:val="restart"/>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w:t>
            </w:r>
          </w:p>
        </w:tc>
        <w:tc>
          <w:tcPr>
            <w:tcW w:w="300" w:type="dxa"/>
            <w:vAlign w:val="bottom"/>
            <w:gridSpan w:val="2"/>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 per unit / option</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63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unrecognized compensation cost as of August 1,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8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expense</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7"/>
              </w:rPr>
              <w:t>$20,216,870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2"/>
              </w:rPr>
              <w:t>$ 1,118,024</w:t>
            </w:r>
          </w:p>
        </w:tc>
        <w:tc>
          <w:tcPr>
            <w:tcW w:w="5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118,357</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 per unit / option remaining in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40" w:hanging="424"/>
        <w:spacing w:after="0"/>
        <w:tabs>
          <w:tab w:leader="none" w:pos="54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Basic earnings per unit is calculated based on net income divided by the basic weighted average units outstanding during the period, and diluted earnings per unit is calculated based on net income divided by the diluted weighted average units outstanding. Diluted weighted average units outstanding is based on the basic weighted average units outstanding plus any potential dilutive effect of stock-based awards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87"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units outstanding and basic and diluted earnings per unit are calculated as follows (dollar amounts in thousands except per unit amounts):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167,676</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1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228,306,033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228,326,985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228,300,128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228,308,074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24,661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1,799,056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2,102,338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1,931,879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Performance Options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4,370,032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4,259,941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4,378,883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4,606,110</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234,485,451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234,700,060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234,635,551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235,511,210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w:t>
            </w: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5,206,420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1,342,207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from diluted calculation</w:t>
            </w:r>
          </w:p>
        </w:tc>
        <w:tc>
          <w:tcPr>
            <w:tcW w:w="1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11,242,896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1,823,969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right="8620" w:hanging="444"/>
        <w:spacing w:after="0" w:line="400" w:lineRule="auto"/>
        <w:tabs>
          <w:tab w:leader="none" w:pos="389" w:val="left"/>
        </w:tabs>
        <w:numPr>
          <w:ilvl w:val="0"/>
          <w:numId w:val="2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80" w:firstLine="423"/>
        <w:spacing w:after="0" w:line="253"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$0.9 million and $1.8 million in each of the thirteen and twenty-six weeks ended August 1, 2020, respectively, and $0.9 million and $1.8 million in each of the thirteen and twenty-six weeks ended August 3, 2019, respectively. These expenses are included in selling, general and administrative expenses in the statements of income.</w:t>
      </w:r>
    </w:p>
    <w:p>
      <w:pPr>
        <w:spacing w:after="0" w:line="194"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In the event the Monitoring Agreement is terminated in connection with certain financing, acquisition, disposition and change of control transactions, an initial public offering or under certain other circumstances, the Adviser is entitled to all unpaid monitoring fees and expenses plus the net present value of the advisory fees that would have been paid from the termination date through the twelfth anniversary of the Effective Date of the Monitoring Agreement, or if terminated after such anniversary, through the first anniversary of the Effective Date occurring after the termination date. Pursuant to a separate agreement, the Adviser would be expected to share a portion of any such termination fee with certain investors who are family descendants of our founder, Max Gochman, or Gochman Investors.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no equity purchases for the thirteen and twenty-six weeks ended August 1, 2020 and August 3, 2019.</w:t>
      </w:r>
    </w:p>
    <w:p>
      <w:pPr>
        <w:spacing w:after="0" w:line="117"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August 1, 2020, Managers repurchased at fair market value approximately $37.0 thousand of Redeemable Membership Units from a director of the Company for cash. Holdco concurrently repurchased from Managers for cash, at fair market value, a number of Holdco membership units equal to the number of Redeemable Membership Units repurchased from the director.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has been recorded in other non-current assets on the balance sheet.</w:t>
      </w:r>
    </w:p>
    <w:p>
      <w:pPr>
        <w:spacing w:after="0" w:line="72" w:lineRule="exact"/>
        <w:rPr>
          <w:sz w:val="20"/>
          <w:szCs w:val="20"/>
          <w:color w:val="auto"/>
        </w:rPr>
      </w:pPr>
    </w:p>
    <w:p>
      <w:pPr>
        <w:jc w:val="both"/>
        <w:ind w:left="560" w:right="480" w:firstLine="423"/>
        <w:spacing w:after="0" w:line="266" w:lineRule="auto"/>
        <w:rPr>
          <w:sz w:val="20"/>
          <w:szCs w:val="20"/>
          <w:color w:val="auto"/>
        </w:rPr>
      </w:pPr>
      <w:r>
        <w:rPr>
          <w:rFonts w:ascii="Times New Roman" w:cs="Times New Roman" w:eastAsia="Times New Roman" w:hAnsi="Times New Roman"/>
          <w:sz w:val="18"/>
          <w:szCs w:val="18"/>
          <w:color w:val="auto"/>
        </w:rPr>
        <w:t>On April 5, 2018, the Company loaned $4.1 million with a note receivable issued to a member. The note receivable bears semi-annual compounding interest at 2.1%, with outstanding principal and interest due April 5, 2021. This note receivable has been recorded in prepaid expenses and other current assets on the balance sheet.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right="7180" w:hanging="444"/>
        <w:spacing w:after="0" w:line="400" w:lineRule="auto"/>
        <w:tabs>
          <w:tab w:leader="none" w:pos="552"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jc w:val="center"/>
        <w:ind w:left="820" w:right="60"/>
        <w:spacing w:after="0" w:line="312" w:lineRule="auto"/>
        <w:rPr>
          <w:sz w:val="20"/>
          <w:szCs w:val="20"/>
          <w:color w:val="auto"/>
        </w:rPr>
      </w:pPr>
      <w:r>
        <w:rPr>
          <w:rFonts w:ascii="Times New Roman" w:cs="Times New Roman" w:eastAsia="Times New Roman" w:hAnsi="Times New Roman"/>
          <w:sz w:val="17"/>
          <w:szCs w:val="17"/>
          <w:color w:val="auto"/>
        </w:rPr>
        <w:t>As of August 1, 2020, we have obligations under technology related contractual commitments as well as other commitments, such as construction commitments, in the amount of $19.2 million. Of such commitments, approximately $16.1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Agreements</w:t>
      </w:r>
    </w:p>
    <w:p>
      <w:pPr>
        <w:spacing w:after="0" w:line="121" w:lineRule="exact"/>
        <w:rPr>
          <w:sz w:val="20"/>
          <w:szCs w:val="20"/>
          <w:color w:val="auto"/>
        </w:rPr>
      </w:pPr>
    </w:p>
    <w:p>
      <w:pPr>
        <w:ind w:left="560" w:right="560" w:firstLine="423"/>
        <w:spacing w:after="0" w:line="282" w:lineRule="auto"/>
        <w:rPr>
          <w:sz w:val="20"/>
          <w:szCs w:val="20"/>
          <w:color w:val="auto"/>
        </w:rPr>
      </w:pPr>
      <w:r>
        <w:rPr>
          <w:rFonts w:ascii="Times New Roman" w:cs="Times New Roman" w:eastAsia="Times New Roman" w:hAnsi="Times New Roman"/>
          <w:sz w:val="18"/>
          <w:szCs w:val="18"/>
          <w:color w:val="auto"/>
        </w:rPr>
        <w:t>As of August 1, 2020, we have obligations under the Monitoring Agreement (see Note 12), in the amount of $14.4 million, of which $6.1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21" w:lineRule="exact"/>
        <w:rPr>
          <w:sz w:val="20"/>
          <w:szCs w:val="20"/>
          <w:color w:val="auto"/>
        </w:rPr>
      </w:pPr>
    </w:p>
    <w:p>
      <w:pPr>
        <w:ind w:left="560" w:right="22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August 1, 2020, we have $9.6 million in related commitments through 2027, of which $5.8 million is payable in the next 12 months.</w:t>
      </w:r>
    </w:p>
    <w:p>
      <w:pPr>
        <w:spacing w:after="0" w:line="312" w:lineRule="exact"/>
        <w:rPr>
          <w:sz w:val="20"/>
          <w:szCs w:val="20"/>
          <w:color w:val="auto"/>
        </w:rPr>
      </w:pPr>
    </w:p>
    <w:p>
      <w:pPr>
        <w:ind w:left="540" w:hanging="424"/>
        <w:spacing w:after="0"/>
        <w:tabs>
          <w:tab w:leader="none" w:pos="5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August 1, 2020, through September 1, 2020, the issuance date of the financial statements, and identified the following matters to report:</w:t>
      </w:r>
    </w:p>
    <w:p>
      <w:pPr>
        <w:spacing w:after="0" w:line="162"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On August 28, 2020, Holdco paid a $257.0 million Distribution to its unitholders of record as of August 25, 2020, of which $218.3 million was paid to Allstar LLC, an entity owned by KKR, $24.9 million was paid to the Gochman Investors and the remaining $4.8 million was paid to other unitholders. Such Distribution was funded through a combination of cash on hand and an offset of outstanding loans receivable from certain unitholders as well as state income tax withholdings made on behalf of our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5" w:right="51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unitholders. Holders of outstanding Company granted equity awards are entitled to receive an adjustment equal to $1.1257 per award, which was made in the form of cash payments, additional Restricted Unit grants and/or exercise price adjustments on Unit Options. The Company made approximately $18.8 million in cash payments to holders of vested outstanding Company granted equity awards in the last week of August 2020 and the first week of September 2020. The payment for the unvested outstanding Company granted equity awards is $15.2 million which will be paid out over time if and when the related awards vest.</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0"/>
          </w:cols>
          <w:pgMar w:left="320" w:top="455" w:right="57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Notes 2 and 14 to the financial statements, the Company adopted Financial Accounting Standards Board (FASB)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using the modified retrospective approach.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20" w:type="dxa"/>
            <w:vAlign w:val="bottom"/>
            <w:vMerge w:val="restart"/>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149,385</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428,823</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122,795</w:t>
            </w:r>
          </w:p>
        </w:tc>
        <w:tc>
          <w:tcPr>
            <w:tcW w:w="0" w:type="dxa"/>
            <w:vAlign w:val="bottom"/>
          </w:tcPr>
          <w:p>
            <w:pPr>
              <w:spacing w:after="0"/>
              <w:rPr>
                <w:sz w:val="1"/>
                <w:szCs w:val="1"/>
                <w:color w:val="auto"/>
              </w:rPr>
            </w:pPr>
          </w:p>
        </w:tc>
      </w:tr>
      <w:tr>
        <w:trPr>
          <w:trHeight w:val="232"/>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3,340,284</w:t>
            </w: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earnings per unit)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3,398,743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3,415,941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3,436,618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1,431,154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1,367,952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1,398,964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1,251,733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1,239,002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179,421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128,950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157,321</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61,282</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rPr>
              <w:t>21,442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58,501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236,804,721</w:t>
            </w: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Unaudited Pro Forma Financial Information (Note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48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Diluted</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21,442</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Membership</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72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8,238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8,238</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$822,720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228,022,835</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34,704</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(1,454)</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(1,454)</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34,704</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0" w:type="dxa"/>
            <w:vAlign w:val="bottom"/>
          </w:tcPr>
          <w:p>
            <w:pPr>
              <w:spacing w:after="0"/>
              <w:rPr>
                <w:sz w:val="1"/>
                <w:szCs w:val="1"/>
                <w:color w:val="auto"/>
              </w:rPr>
            </w:pPr>
          </w:p>
        </w:tc>
      </w:tr>
      <w:tr>
        <w:trPr>
          <w:trHeight w:val="126"/>
        </w:trPr>
        <w:tc>
          <w:tcPr>
            <w:tcW w:w="50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57,363</w:t>
            </w:r>
          </w:p>
        </w:tc>
        <w:tc>
          <w:tcPr>
            <w:tcW w:w="80" w:type="dxa"/>
            <w:vAlign w:val="bottom"/>
          </w:tcPr>
          <w:p>
            <w:pPr>
              <w:spacing w:after="0"/>
              <w:rPr>
                <w:sz w:val="10"/>
                <w:szCs w:val="10"/>
                <w:color w:val="auto"/>
              </w:rPr>
            </w:pP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400</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(91,008)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(538)</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Managers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$996,285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58,501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133,203</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4,580</w:t>
            </w:r>
          </w:p>
        </w:tc>
      </w:tr>
      <w:tr>
        <w:trPr>
          <w:trHeight w:val="149"/>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4,577</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(6,294)</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(559)</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2,477</w:t>
            </w:r>
          </w:p>
        </w:tc>
      </w:tr>
      <w:tr>
        <w:trPr>
          <w:trHeight w:val="149"/>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2,934</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(132,687)</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1,590</w:t>
            </w:r>
          </w:p>
        </w:tc>
      </w:tr>
      <w:tr>
        <w:trPr>
          <w:trHeight w:val="149"/>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2,297</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(132,126)</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15,992</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(115,901)</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851,400</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(816,400)</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(37,989)</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10,353</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1,150</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54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(24,032)</w:t>
            </w:r>
          </w:p>
        </w:tc>
        <w:tc>
          <w:tcPr>
            <w:tcW w:w="100" w:type="dxa"/>
            <w:vAlign w:val="bottom"/>
          </w:tcPr>
          <w:p>
            <w:pPr>
              <w:spacing w:after="0"/>
              <w:rPr>
                <w:sz w:val="13"/>
                <w:szCs w:val="13"/>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55,077</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108,208</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105,661</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2,848</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(6,600)</w:t>
            </w:r>
          </w:p>
        </w:tc>
      </w:tr>
      <w:tr>
        <w:trPr>
          <w:trHeight w:val="190"/>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309</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128</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7,412</w:t>
            </w:r>
          </w:p>
        </w:tc>
      </w:tr>
    </w:tbl>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ACADEMY HOLDING COMPANY, LLC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40" w:hanging="424"/>
        <w:spacing w:after="0"/>
        <w:tabs>
          <w:tab w:leader="none" w:pos="54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0" w:lineRule="exact"/>
        <w:rPr>
          <w:sz w:val="20"/>
          <w:szCs w:val="20"/>
          <w:color w:val="auto"/>
        </w:rPr>
      </w:pPr>
    </w:p>
    <w:p>
      <w:pPr>
        <w:ind w:left="540" w:hanging="424"/>
        <w:spacing w:after="0"/>
        <w:tabs>
          <w:tab w:leader="none" w:pos="54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In connection with the proposed initial public offering, or the IPO, of Academy Sports and Outdoors, Inc., a Delaware corporation, or an IPO issuer, we will undertake a series of reorganization transactions, or the Reorganization Transactions, that will result in, among other things, Holdco being contributed by its unitholders to the IPO issuer and becoming a wholly owned subsidiary of the IPO issuer.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140" w:firstLine="423"/>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statements of income provides the estimated impact to net income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89"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On August 28, 2020, Holdco distributed a $257.0 million one-time special distribution (the “Distribution”) to existing unitholders of record as of August 25, 2020.</w:t>
      </w:r>
    </w:p>
    <w:p>
      <w:pPr>
        <w:spacing w:after="0" w:line="162"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0"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Unaudited basic and diluted pro forma net income per share data presented below assumed that (i) shares of common stock of the IPO issuer were issued and outstanding for 2019 in connection with the contribution of Holdco by its unitholders and related Reorganization</w:t>
      </w:r>
    </w:p>
    <w:p>
      <w:pPr>
        <w:ind w:left="560" w:right="200"/>
        <w:spacing w:after="0" w:line="250" w:lineRule="auto"/>
        <w:rPr>
          <w:sz w:val="20"/>
          <w:szCs w:val="20"/>
          <w:color w:val="auto"/>
        </w:rPr>
      </w:pPr>
      <w:r>
        <w:rPr>
          <w:rFonts w:ascii="Times New Roman" w:cs="Times New Roman" w:eastAsia="Times New Roman" w:hAnsi="Times New Roman"/>
          <w:sz w:val="18"/>
          <w:szCs w:val="18"/>
          <w:color w:val="auto"/>
        </w:rPr>
        <w:t>Transactions and related cancellation of all outstanding partners’ equity at Holdco in connection with the IPO and (ii) an additional of the Company’s shares of common stock were outstanding for 2019, which represents the number of shares of common stock that the Company would have been required to issue to fund the amount of the Distribution in excess of its net income for 2019. The number of shares of common stock that the Company would have been required to issue to pay the Distribution was calculated by dividing the portion of the total $257.0</w:t>
      </w:r>
    </w:p>
    <w:p>
      <w:pPr>
        <w:spacing w:after="0" w:line="2" w:lineRule="exact"/>
        <w:rPr>
          <w:sz w:val="20"/>
          <w:szCs w:val="20"/>
          <w:color w:val="auto"/>
        </w:rPr>
      </w:pPr>
    </w:p>
    <w:p>
      <w:pPr>
        <w:ind w:left="560" w:right="140"/>
        <w:spacing w:after="0" w:line="260" w:lineRule="auto"/>
        <w:rPr>
          <w:sz w:val="20"/>
          <w:szCs w:val="20"/>
          <w:color w:val="auto"/>
        </w:rPr>
      </w:pPr>
      <w:r>
        <w:rPr>
          <w:rFonts w:ascii="Times New Roman" w:cs="Times New Roman" w:eastAsia="Times New Roman" w:hAnsi="Times New Roman"/>
          <w:sz w:val="18"/>
          <w:szCs w:val="18"/>
          <w:color w:val="auto"/>
        </w:rPr>
        <w:t>million Distribution in excess of the Company’s net income for 2019 by an assumed initial public offering price in the IPO of $ per share, representing the midpoint of the price range set forth on the cover page of the prospectus.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table below sets forth the computation of the Company’s unaudited basic and diluted pro forma net income per share for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82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3"/>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8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89,942</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89,942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 to the Reorganization Transactions</w:t>
            </w:r>
          </w:p>
        </w:tc>
        <w:tc>
          <w:tcPr>
            <w:tcW w:w="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 related to the Distribution</w:t>
            </w:r>
          </w:p>
        </w:tc>
        <w:tc>
          <w:tcPr>
            <w:tcW w:w="8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tc>
        <w:tc>
          <w:tcPr>
            <w:tcW w:w="8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14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660" w:firstLine="423"/>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in the 2018 and 2017 consolidated financial statements to conform to the current period presentation. Within the merchandise division sales table presented in Note 3, certain products and categories were recategorized amongst categories and divisions during 2019 to better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Financial instruments which subject us to potential credit risk consist of cash and cash equivalents and derivative financial instruments. We have established guidelines to limit our exposure to credit risk on cash</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40"/>
          </w:cols>
          <w:pgMar w:left="320" w:top="455" w:right="5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560" w:right="220"/>
        <w:spacing w:after="0" w:line="289" w:lineRule="auto"/>
        <w:rPr>
          <w:sz w:val="20"/>
          <w:szCs w:val="20"/>
          <w:color w:val="auto"/>
        </w:rPr>
      </w:pPr>
      <w:r>
        <w:rPr>
          <w:rFonts w:ascii="Times New Roman" w:cs="Times New Roman" w:eastAsia="Times New Roman" w:hAnsi="Times New Roman"/>
          <w:sz w:val="17"/>
          <w:szCs w:val="17"/>
          <w:color w:val="auto"/>
        </w:rPr>
        <w:t>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58"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0" w:lineRule="exact"/>
        <w:rPr>
          <w:sz w:val="20"/>
          <w:szCs w:val="20"/>
          <w:color w:val="auto"/>
        </w:rPr>
      </w:pPr>
    </w:p>
    <w:p>
      <w:pPr>
        <w:ind w:left="560" w:right="220" w:firstLine="423"/>
        <w:spacing w:after="0" w:line="261" w:lineRule="auto"/>
        <w:rPr>
          <w:sz w:val="20"/>
          <w:szCs w:val="20"/>
          <w:color w:val="auto"/>
        </w:rPr>
      </w:pPr>
      <w:r>
        <w:rPr>
          <w:rFonts w:ascii="Times New Roman" w:cs="Times New Roman" w:eastAsia="Times New Roman" w:hAnsi="Times New Roman"/>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Lesser of asset useful life or lease term</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5–10 years</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7–10 years</w:t>
            </w:r>
          </w:p>
        </w:tc>
      </w:tr>
    </w:tbl>
    <w:p>
      <w:pPr>
        <w:spacing w:after="0" w:line="179"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76" w:lineRule="exact"/>
        <w:rPr>
          <w:sz w:val="20"/>
          <w:szCs w:val="20"/>
          <w:color w:val="auto"/>
        </w:rPr>
      </w:pPr>
    </w:p>
    <w:p>
      <w:pPr>
        <w:ind w:left="560" w:right="20" w:firstLine="423"/>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acquire land and construct new stores to be sold to and leased from third party landlords. New stores completed but not yet sold to and leased from third parties are 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Computer Software Costs</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21"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560" w:right="160" w:firstLine="423"/>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80" w:lineRule="exact"/>
        <w:rPr>
          <w:sz w:val="20"/>
          <w:szCs w:val="20"/>
          <w:color w:val="auto"/>
        </w:rPr>
      </w:pPr>
    </w:p>
    <w:p>
      <w:pPr>
        <w:ind w:left="560" w:right="640" w:firstLine="423"/>
        <w:spacing w:after="0" w:line="282"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55" w:right="47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76" w:lineRule="exact"/>
        <w:rPr>
          <w:sz w:val="20"/>
          <w:szCs w:val="20"/>
          <w:color w:val="auto"/>
        </w:rPr>
      </w:pPr>
    </w:p>
    <w:p>
      <w:pPr>
        <w:ind w:left="560" w:right="680" w:firstLine="423"/>
        <w:spacing w:after="0" w:line="282"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Intangible assets consist of the trade name of “Academy Sports + Outdoors”, or the Trade Name, and our favorable leases. The favorable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leases are accounted for as finite-lived assets and are amortized over their estimated useful economic lives. With the adoption of ASU 2016-02,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and a series of related Accounting Standards Updates that followed, or collectively, the New Lease Standard, on February 3,</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2019, the balance of the favorable lease rights, net was netted into the right-of-use assets on the balance sheet (see Note 14). The Trade Name 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expected to generate cash flows indefinitely and, therefore, is accounted for as an indefinite-lived asset not subject to amortization.</w:t>
      </w:r>
    </w:p>
    <w:p>
      <w:pPr>
        <w:spacing w:after="0" w:line="207"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Loan Costs</w:t>
      </w:r>
    </w:p>
    <w:p>
      <w:pPr>
        <w:spacing w:after="0" w:line="121" w:lineRule="exact"/>
        <w:rPr>
          <w:sz w:val="20"/>
          <w:szCs w:val="20"/>
          <w:color w:val="auto"/>
        </w:rPr>
      </w:pPr>
    </w:p>
    <w:p>
      <w:pPr>
        <w:ind w:left="560" w:right="260" w:firstLine="423"/>
        <w:spacing w:after="0" w:line="258" w:lineRule="auto"/>
        <w:rPr>
          <w:sz w:val="20"/>
          <w:szCs w:val="20"/>
          <w:color w:val="auto"/>
        </w:rPr>
      </w:pPr>
      <w:r>
        <w:rPr>
          <w:rFonts w:ascii="Times New Roman" w:cs="Times New Roman" w:eastAsia="Times New Roman" w:hAnsi="Times New Roman"/>
          <w:sz w:val="18"/>
          <w:szCs w:val="18"/>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183"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 Incentives</w:t>
      </w:r>
    </w:p>
    <w:p>
      <w:pPr>
        <w:spacing w:after="0" w:line="121"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76"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In certain store construction cases, we may be deemed the owner of the property during construction, after which we then sell the property to a landlord and concurrently enter into a lease of the property to operate the store, or sale-leaseback. We report the cash received for construction allowances as construction allowance receipts within the financing activities section of our consolidated statements of cash flows when such amounts are received prior to completion of a sale-leaseback transaction, and we report the cash received for construction allowances as proceeds from the sale of property and equipment within the investing activities section of our consolidated statements of cash flows when such amounts are received after the completion of a sale-leaseback transaction.</w:t>
      </w:r>
    </w:p>
    <w:p>
      <w:pPr>
        <w:spacing w:after="0" w:line="187"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8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 Under the New Lease Standard these receipts are a reduction to the right-of-use assets on the balance sheet (see Note 14), which are amortized ratably over the remaining terms of the corresponding leases.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We sell merchandise under implicit contracts whereby the transaction price is the listed sales price less any discounts or coupons applied. Our typical coupons offer a discount, which is applied immediately at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80"/>
        <w:spacing w:after="0" w:line="282" w:lineRule="auto"/>
        <w:rPr>
          <w:sz w:val="20"/>
          <w:szCs w:val="20"/>
          <w:color w:val="auto"/>
        </w:rPr>
      </w:pPr>
      <w:r>
        <w:rPr>
          <w:rFonts w:ascii="Times New Roman" w:cs="Times New Roman" w:eastAsia="Times New Roman" w:hAnsi="Times New Roman"/>
          <w:sz w:val="18"/>
          <w:szCs w:val="18"/>
          <w:color w:val="auto"/>
        </w:rPr>
        <w:t>time of purchase. However, under certain circumstances we may issue a coupon, or similar incentive, which contains a material future right. In such instances, a portion of the revenue is deferred and subsequently recognized when earned.</w:t>
      </w:r>
    </w:p>
    <w:p>
      <w:pPr>
        <w:spacing w:after="0" w:line="162"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2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net of specific vendor allowances, were $142.3 million, $139.1 million and $140.8 million in 2019, 2018 and 2017,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ind w:left="560" w:right="320" w:firstLine="423"/>
        <w:spacing w:after="0" w:line="266" w:lineRule="auto"/>
        <w:rPr>
          <w:sz w:val="20"/>
          <w:szCs w:val="20"/>
          <w:color w:val="auto"/>
        </w:rPr>
      </w:pPr>
      <w:r>
        <w:rPr>
          <w:rFonts w:ascii="Times New Roman" w:cs="Times New Roman" w:eastAsia="Times New Roman" w:hAnsi="Times New Roman"/>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121"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 xml:space="preserve">We account for equity compensation in accordance with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we report our financial results as one reportable segment. Substantially all of the Company’s identifiable assets are located in the United States.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left="560" w:right="320" w:firstLine="423"/>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560" w:right="380" w:firstLine="423"/>
        <w:spacing w:after="0" w:line="273" w:lineRule="auto"/>
        <w:rPr>
          <w:sz w:val="20"/>
          <w:szCs w:val="20"/>
          <w:color w:val="auto"/>
        </w:rPr>
      </w:pPr>
      <w:r>
        <w:rPr>
          <w:rFonts w:ascii="Times New Roman" w:cs="Times New Roman" w:eastAsia="Times New Roman" w:hAnsi="Times New Roman"/>
          <w:sz w:val="17"/>
          <w:szCs w:val="17"/>
          <w:color w:val="auto"/>
        </w:rPr>
        <w:t xml:space="preserve">We elected the practical expedient available to us under ASU 2018-11, </w:t>
      </w:r>
      <w:r>
        <w:rPr>
          <w:rFonts w:ascii="Times New Roman" w:cs="Times New Roman" w:eastAsia="Times New Roman" w:hAnsi="Times New Roman"/>
          <w:sz w:val="17"/>
          <w:szCs w:val="17"/>
          <w:i w:val="1"/>
          <w:iCs w:val="1"/>
          <w:color w:val="auto"/>
        </w:rPr>
        <w:t>“Leases: Targeted Improvements”</w:t>
      </w:r>
      <w:r>
        <w:rPr>
          <w:rFonts w:ascii="Times New Roman" w:cs="Times New Roman" w:eastAsia="Times New Roman" w:hAnsi="Times New Roman"/>
          <w:sz w:val="17"/>
          <w:szCs w:val="17"/>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30" w:lineRule="exact"/>
        <w:rPr>
          <w:sz w:val="20"/>
          <w:szCs w:val="20"/>
          <w:color w:val="auto"/>
        </w:rPr>
      </w:pPr>
    </w:p>
    <w:p>
      <w:pPr>
        <w:ind w:left="540" w:hanging="424"/>
        <w:spacing w:after="0"/>
        <w:tabs>
          <w:tab w:leader="none" w:pos="5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20" w:type="dxa"/>
            <w:vAlign w:val="bottom"/>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1,522,985</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859,868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1,405,258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1,021,603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4,809,714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4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4,829,897</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480" w:hanging="224"/>
        <w:spacing w:after="0" w:line="289" w:lineRule="auto"/>
        <w:tabs>
          <w:tab w:leader="none" w:pos="34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340" w:hanging="224"/>
        <w:spacing w:after="0"/>
        <w:tabs>
          <w:tab w:leader="none" w:pos="340"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27" w:lineRule="exact"/>
        <w:rPr>
          <w:rFonts w:ascii="Times New Roman" w:cs="Times New Roman" w:eastAsia="Times New Roman" w:hAnsi="Times New Roman"/>
          <w:sz w:val="15"/>
          <w:szCs w:val="15"/>
          <w:color w:val="auto"/>
        </w:rPr>
      </w:pPr>
    </w:p>
    <w:p>
      <w:pPr>
        <w:ind w:left="340" w:right="500" w:hanging="224"/>
        <w:spacing w:after="0" w:line="260" w:lineRule="auto"/>
        <w:tabs>
          <w:tab w:leader="none" w:pos="340"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 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940" w:type="dxa"/>
            <w:vAlign w:val="bottom"/>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2015 Term Loan Facility, with Morgan Stanley Senior Funding, Inc., as the administrative and collateral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2015 Term Loan Facility bears interest, at our election, at either (1) LIBOR rate with a floor of 1.00%, plus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54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40" w:type="dxa"/>
            <w:vAlign w:val="bottom"/>
          </w:tcPr>
          <w:p>
            <w:pPr>
              <w:spacing w:after="0"/>
              <w:rPr>
                <w:sz w:val="12"/>
                <w:szCs w:val="12"/>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104.6</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42.3</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is used to provide financing for working capital and other general corporate purposes,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20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Liens and guarantees.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Amended ABL Facility has a first priority lien on all Academy, Ltd.’s cash, accounts receivable, inventory, deposit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securities accounts and proceeds therefrom, or the ABL Collateral. Additionally, the Amended ABL Facility has a second priority lien on all other collateral of the 2015 Term Loan Facility. All obligations under the 2015 Term Loan Facility and the guarantees of those obligations are secured by:</w:t>
      </w:r>
    </w:p>
    <w:p>
      <w:pPr>
        <w:spacing w:after="0" w:line="62" w:lineRule="exact"/>
        <w:rPr>
          <w:sz w:val="20"/>
          <w:szCs w:val="20"/>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 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scheduled principal payments on our debt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60" w:hanging="224"/>
        <w:spacing w:after="0" w:line="282" w:lineRule="auto"/>
        <w:tabs>
          <w:tab w:leader="none" w:pos="34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of 2017, 2018, 2019 and 2020,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interest rate swaps is as follows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5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76"/>
        </w:trPr>
        <w:tc>
          <w:tcPr>
            <w:tcW w:w="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5"/>
              </w:rPr>
              <w:t>Assets</w:t>
            </w:r>
          </w:p>
        </w:tc>
        <w:tc>
          <w:tcPr>
            <w:tcW w:w="40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4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5,355</w:t>
            </w:r>
          </w:p>
        </w:tc>
      </w:tr>
      <w:tr>
        <w:trPr>
          <w:trHeight w:val="28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452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 other</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4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6,130</w:t>
            </w: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1,976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980" w:type="dxa"/>
            <w:vAlign w:val="bottom"/>
            <w:gridSpan w:val="4"/>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40" w:type="dxa"/>
            <w:vAlign w:val="bottom"/>
            <w:tcBorders>
              <w:top w:val="single" w:sz="8" w:color="CCEEFF"/>
            </w:tcBorders>
            <w:shd w:val="clear" w:color="auto" w:fill="CCEEFF"/>
          </w:tcPr>
          <w:p>
            <w:pPr>
              <w:spacing w:after="0"/>
              <w:rPr>
                <w:sz w:val="18"/>
                <w:szCs w:val="18"/>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(418)</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40" w:type="dxa"/>
            <w:vAlign w:val="bottom"/>
          </w:tcPr>
          <w:p>
            <w:pPr>
              <w:spacing w:after="0"/>
              <w:rPr>
                <w:sz w:val="20"/>
                <w:szCs w:val="20"/>
                <w:color w:val="auto"/>
              </w:rPr>
            </w:pPr>
          </w:p>
        </w:tc>
      </w:tr>
    </w:tbl>
    <w:p>
      <w:pPr>
        <w:spacing w:after="0" w:line="320" w:lineRule="exact"/>
        <w:rPr>
          <w:sz w:val="20"/>
          <w:szCs w:val="20"/>
          <w:color w:val="auto"/>
        </w:rPr>
      </w:pPr>
    </w:p>
    <w:p>
      <w:pPr>
        <w:ind w:left="540" w:hanging="424"/>
        <w:spacing w:after="0"/>
        <w:tabs>
          <w:tab w:leader="none" w:pos="54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080" w:right="240" w:hanging="424"/>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00"/>
          </w:cols>
          <w:pgMar w:left="320" w:top="455" w:right="47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8,106</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Measured on a Non-Recurring Basis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304,784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(763,836)</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306" w:lineRule="exact"/>
        <w:rPr>
          <w:sz w:val="20"/>
          <w:szCs w:val="20"/>
          <w:color w:val="auto"/>
        </w:rPr>
      </w:pPr>
    </w:p>
    <w:p>
      <w:pPr>
        <w:ind w:left="540" w:hanging="424"/>
        <w:spacing w:after="0"/>
        <w:tabs>
          <w:tab w:leader="none" w:pos="54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Favorable lease rights, net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577,000</w:t>
            </w:r>
          </w:p>
        </w:tc>
      </w:tr>
      <w:tr>
        <w:trPr>
          <w:trHeight w:val="27"/>
        </w:trPr>
        <w:tc>
          <w:tcPr>
            <w:tcW w:w="4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and other intangible assets, net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592,067</w:t>
            </w:r>
          </w:p>
        </w:tc>
      </w:tr>
      <w:tr>
        <w:trPr>
          <w:trHeight w:val="20"/>
        </w:trPr>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on favorable lease rights was $3.5 million in 2018 and 2017, respectively. Favorable lease rights are net of accumulated amortization of $25.0 million as of February 2, 2019.</w:t>
      </w:r>
    </w:p>
    <w:p>
      <w:pPr>
        <w:spacing w:after="0" w:line="306" w:lineRule="exact"/>
        <w:rPr>
          <w:sz w:val="20"/>
          <w:szCs w:val="20"/>
          <w:color w:val="auto"/>
        </w:rPr>
      </w:pPr>
    </w:p>
    <w:p>
      <w:pPr>
        <w:ind w:left="540" w:hanging="424"/>
        <w:spacing w:after="0"/>
        <w:tabs>
          <w:tab w:leader="none" w:pos="54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1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54,065</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7,835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14,107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16,919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revenue—gift cards and other</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70,220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67,527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30,084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31,191</w:t>
            </w:r>
          </w:p>
        </w:tc>
      </w:tr>
      <w:tr>
        <w:trPr>
          <w:trHeight w:val="27"/>
        </w:trPr>
        <w:tc>
          <w:tcPr>
            <w:tcW w:w="3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184,141</w:t>
            </w:r>
          </w:p>
        </w:tc>
      </w:tr>
      <w:tr>
        <w:trPr>
          <w:trHeight w:val="20"/>
        </w:trPr>
        <w:tc>
          <w:tcPr>
            <w:tcW w:w="3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F-44</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00"/>
          </w:cols>
          <w:pgMar w:left="320" w:top="455" w:right="67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228,274,749 Membership Units authorized, issued and outstanding as of February 1, 2020.</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 Event Restricted Unit. In each case, vesting of the Company’s outstanding and unvested Unit Options and Restricted Units is contingent upon the holder’s continued service through the date of each applicable vesting event.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00"/>
          </w:cols>
          <w:pgMar w:left="320" w:top="455" w:right="47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2019, 2018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7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w:t>
            </w:r>
          </w:p>
        </w:tc>
        <w:tc>
          <w:tcPr>
            <w:tcW w:w="46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50% to 55%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 to 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52.0%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1.4% to 2.5%</w:t>
            </w: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2.6% to 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to 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Service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$2.75</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Performance</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$2.74</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Activity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3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 Option activity is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12,049,440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4,126,204</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(533,211)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(1,301,531)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14,340,902</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9,654,571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(5,898,381)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(2,486,813)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15,610,279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33,157</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4,365,143</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(601,974)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(1,133,977)</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5.23</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18,239,471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28,855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11,225,459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380" w:hanging="224"/>
        <w:spacing w:after="0" w:line="261" w:lineRule="auto"/>
        <w:tabs>
          <w:tab w:leader="none" w:pos="34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a membership unit as of each period end was $6.07, $4.40, $5.91, $5.59, for the fiscal years ended 2016, 2017, 2018, and 2019, respectively.</w:t>
      </w:r>
    </w:p>
    <w:p>
      <w:pPr>
        <w:ind w:left="340" w:right="160" w:hanging="224"/>
        <w:spacing w:after="0" w:line="260" w:lineRule="auto"/>
        <w:tabs>
          <w:tab w:leader="none" w:pos="34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9,959,420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1,232,128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(436,759)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(852,432)</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6.48</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9,902,357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3,272,337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(2,258,138)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(1,231,868)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9,684,688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29,960</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1,335,436</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(228,718)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(563,830)</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10,227,576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7,760,964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26,061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right="380" w:hanging="224"/>
        <w:spacing w:after="0" w:line="261" w:lineRule="auto"/>
        <w:tabs>
          <w:tab w:leader="none" w:pos="34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a membership unit as of each period end was $6.07, $4.40, $5.91, $5.59, for the fiscal years ended 2016, 2017, 2018, and 2019, respectively.</w:t>
      </w:r>
    </w:p>
    <w:p>
      <w:pPr>
        <w:ind w:left="340" w:right="160" w:hanging="224"/>
        <w:spacing w:after="0" w:line="260" w:lineRule="auto"/>
        <w:tabs>
          <w:tab w:leader="none" w:pos="34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Unit Activity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Unit activity is as follows: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Units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as of January 28, 2017</w:t>
            </w:r>
          </w:p>
        </w:tc>
        <w:tc>
          <w:tcPr>
            <w:tcW w:w="2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1,374,348</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29,022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3, 2018</w:t>
            </w:r>
          </w:p>
        </w:tc>
        <w:tc>
          <w:tcPr>
            <w:tcW w:w="25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1,395,132</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2,769,316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(34,704)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(782,295)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2, 2019</w:t>
            </w:r>
          </w:p>
        </w:tc>
        <w:tc>
          <w:tcPr>
            <w:tcW w:w="25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3,347,449</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180,610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(57,363)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(141,510)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5.30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1, 2020</w:t>
            </w:r>
          </w:p>
        </w:tc>
        <w:tc>
          <w:tcPr>
            <w:tcW w:w="2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3,329,186</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372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rPr>
              <w:t>F-48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per unit.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February 1, 2020, there are 3,291,162 Holdco Membership Units that are subject to outstanding and unvested Liquidity Event Restricted Units with a weighted average grant date fair value of $5.51 per unit.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If the performance objective of the Liquidity Event Restricted Units had been met as the result of the Company completing an initial public offering on February 1, 2020, we would have expensed approximately $10.2 million of stock compensation expense associated with the vesting of the Liquidity Event Restricted Units achieved as of such date.</w:t>
      </w:r>
    </w:p>
    <w:p>
      <w:pPr>
        <w:spacing w:after="0" w:line="339" w:lineRule="exact"/>
        <w:rPr>
          <w:sz w:val="20"/>
          <w:szCs w:val="20"/>
          <w:color w:val="auto"/>
        </w:rPr>
      </w:pPr>
    </w:p>
    <w:p>
      <w:pPr>
        <w:ind w:left="540" w:hanging="424"/>
        <w:spacing w:after="0"/>
        <w:tabs>
          <w:tab w:leader="none" w:pos="54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dilutive units outstanding are calculated as follows (dollar amounts in thousands except per unit amounts):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120,043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basic</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228,160,508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2,886,601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Dilutive effect of Performance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4,383,391</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Options</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4,625,349</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4,780,630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diluted</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235,609,118</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236,873,973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 form diluted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1,833,855</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7,485,706</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10,150,627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F-49</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58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expense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(dollar amounts in thousands)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40" w:type="dxa"/>
            <w:vAlign w:val="bottom"/>
            <w:gridSpan w:val="3"/>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122,860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at federal statutory rate (21% for 2019, 21% for 2018 and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25,801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33.8% for 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tax expense resulting from:</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rates due to pass through entities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(25,801)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76"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00"/>
          </w:cols>
          <w:pgMar w:left="320" w:top="455" w:right="57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that give rise to significant portions of the net deferred tax assets and liabilities are presented below (amounts in thousands)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February 2,</w:t>
            </w:r>
          </w:p>
        </w:tc>
      </w:tr>
      <w:tr>
        <w:trPr>
          <w:trHeight w:val="173"/>
        </w:trPr>
        <w:tc>
          <w:tcPr>
            <w:tcW w:w="42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20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2,749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and depreciation</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40" w:type="dxa"/>
            <w:vAlign w:val="bottom"/>
          </w:tcPr>
          <w:p>
            <w:pPr>
              <w:spacing w:after="0"/>
              <w:rPr>
                <w:sz w:val="20"/>
                <w:szCs w:val="20"/>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517</w:t>
            </w: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76"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320" w:lineRule="exact"/>
        <w:rPr>
          <w:sz w:val="20"/>
          <w:szCs w:val="20"/>
          <w:color w:val="auto"/>
        </w:rPr>
      </w:pPr>
    </w:p>
    <w:p>
      <w:pPr>
        <w:ind w:left="540" w:hanging="424"/>
        <w:spacing w:after="0"/>
        <w:tabs>
          <w:tab w:leader="none" w:pos="54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Monitoring Agreement</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188" w:lineRule="exact"/>
        <w:rPr>
          <w:sz w:val="20"/>
          <w:szCs w:val="20"/>
          <w:color w:val="auto"/>
        </w:rPr>
      </w:pPr>
    </w:p>
    <w:p>
      <w:pPr>
        <w:ind w:left="560" w:right="140" w:firstLine="423"/>
        <w:spacing w:after="0" w:line="256" w:lineRule="auto"/>
        <w:rPr>
          <w:sz w:val="20"/>
          <w:szCs w:val="20"/>
          <w:color w:val="auto"/>
        </w:rPr>
      </w:pPr>
      <w:r>
        <w:rPr>
          <w:rFonts w:ascii="Times New Roman" w:cs="Times New Roman" w:eastAsia="Times New Roman" w:hAnsi="Times New Roman"/>
          <w:sz w:val="18"/>
          <w:szCs w:val="18"/>
          <w:color w:val="auto"/>
        </w:rPr>
        <w:t>The Monitoring Agreement terminates automatically upon the consummation of an initial public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If an initial public offering was consummated and the Monitoring Agreement was terminated on February 1, 2020, we would have owed approximately $14.2 million of termination fees to the Adviser. Pursuant to a separate agreement, the Adviser would be expected to share a portion of any such termination fee with certain investors who are family descendants of our founder, Max Gochman, or Gochman Investors.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Other Fee Arrangements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560" w:right="260" w:firstLine="423"/>
        <w:spacing w:after="0" w:line="261" w:lineRule="auto"/>
        <w:rPr>
          <w:sz w:val="20"/>
          <w:szCs w:val="20"/>
          <w:color w:val="auto"/>
        </w:rPr>
      </w:pPr>
      <w:r>
        <w:rPr>
          <w:rFonts w:ascii="Times New Roman" w:cs="Times New Roman" w:eastAsia="Times New Roman" w:hAnsi="Times New Roman"/>
          <w:sz w:val="18"/>
          <w:szCs w:val="18"/>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80" w:lineRule="exact"/>
        <w:rPr>
          <w:sz w:val="20"/>
          <w:szCs w:val="20"/>
          <w:color w:val="auto"/>
        </w:rPr>
      </w:pPr>
    </w:p>
    <w:p>
      <w:pPr>
        <w:jc w:val="both"/>
        <w:ind w:left="560" w:firstLine="423"/>
        <w:spacing w:after="0" w:line="289" w:lineRule="auto"/>
        <w:rPr>
          <w:sz w:val="20"/>
          <w:szCs w:val="20"/>
          <w:color w:val="auto"/>
        </w:rPr>
      </w:pPr>
      <w:r>
        <w:rPr>
          <w:rFonts w:ascii="Times New Roman" w:cs="Times New Roman" w:eastAsia="Times New Roman" w:hAnsi="Times New Roman"/>
          <w:sz w:val="17"/>
          <w:szCs w:val="17"/>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00" w:firstLine="423"/>
        <w:spacing w:after="0" w:line="256"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2" w:lineRule="exact"/>
        <w:rPr>
          <w:sz w:val="20"/>
          <w:szCs w:val="20"/>
          <w:color w:val="auto"/>
        </w:rPr>
      </w:pPr>
    </w:p>
    <w:p>
      <w:pPr>
        <w:ind w:left="540" w:hanging="424"/>
        <w:spacing w:after="0"/>
        <w:tabs>
          <w:tab w:leader="none" w:pos="54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twelve months or less in duration.</w:t>
      </w:r>
    </w:p>
    <w:p>
      <w:pPr>
        <w:spacing w:after="0" w:line="183"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twelve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87" w:lineRule="exact"/>
        <w:rPr>
          <w:sz w:val="20"/>
          <w:szCs w:val="20"/>
          <w:color w:val="auto"/>
        </w:rPr>
      </w:pPr>
    </w:p>
    <w:p>
      <w:pPr>
        <w:ind w:left="560" w:right="7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balance sheet impact of the implementation of the New Lease Standard upon adoption (amounts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720" w:type="dxa"/>
            <w:vAlign w:val="bottom"/>
            <w:gridSpan w:val="3"/>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w:t>
            </w:r>
            <w:r>
              <w:rPr>
                <w:rFonts w:ascii="Times New Roman" w:cs="Times New Roman" w:eastAsia="Times New Roman" w:hAnsi="Times New Roman"/>
                <w:sz w:val="15"/>
                <w:szCs w:val="15"/>
                <w:color w:val="auto"/>
              </w:rPr>
              <w:t>(1)</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Trade name and other intangible assets, net </w:t>
            </w:r>
            <w:r>
              <w:rPr>
                <w:rFonts w:ascii="Times New Roman" w:cs="Times New Roman" w:eastAsia="Times New Roman" w:hAnsi="Times New Roman"/>
                <w:sz w:val="15"/>
                <w:szCs w:val="15"/>
                <w:color w:val="auto"/>
              </w:rPr>
              <w:t>(1)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noncurrent assets </w:t>
            </w:r>
            <w:r>
              <w:rPr>
                <w:rFonts w:ascii="Times New Roman" w:cs="Times New Roman" w:eastAsia="Times New Roman" w:hAnsi="Times New Roman"/>
                <w:sz w:val="15"/>
                <w:szCs w:val="15"/>
                <w:color w:val="auto"/>
              </w:rPr>
              <w:t>(1)(2)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long-term liabilities </w:t>
            </w:r>
            <w:r>
              <w:rPr>
                <w:rFonts w:ascii="Times New Roman" w:cs="Times New Roman" w:eastAsia="Times New Roman" w:hAnsi="Times New Roman"/>
                <w:sz w:val="15"/>
                <w:szCs w:val="15"/>
                <w:color w:val="auto"/>
              </w:rPr>
              <w:t>(1) (2)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Retained earnings </w:t>
            </w:r>
            <w:r>
              <w:rPr>
                <w:rFonts w:ascii="Times New Roman" w:cs="Times New Roman" w:eastAsia="Times New Roman" w:hAnsi="Times New Roman"/>
                <w:sz w:val="15"/>
                <w:szCs w:val="15"/>
                <w:color w:val="auto"/>
              </w:rPr>
              <w:t>(2)</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553,282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20" w:hanging="224"/>
        <w:spacing w:after="0" w:line="276" w:lineRule="auto"/>
        <w:tabs>
          <w:tab w:leader="none" w:pos="34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ind w:left="340" w:right="400" w:hanging="224"/>
        <w:spacing w:after="0" w:line="260" w:lineRule="auto"/>
        <w:tabs>
          <w:tab w:leader="none" w:pos="340" w:val="left"/>
        </w:tabs>
        <w:numPr>
          <w:ilvl w:val="0"/>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81" w:lineRule="exact"/>
        <w:rPr>
          <w:sz w:val="20"/>
          <w:szCs w:val="20"/>
          <w:color w:val="auto"/>
        </w:rPr>
      </w:pPr>
    </w:p>
    <w:p>
      <w:pPr>
        <w:ind w:left="560" w:right="540" w:firstLine="423"/>
        <w:spacing w:after="0" w:line="312" w:lineRule="auto"/>
        <w:rPr>
          <w:sz w:val="20"/>
          <w:szCs w:val="20"/>
          <w:color w:val="auto"/>
        </w:rPr>
      </w:pPr>
      <w:r>
        <w:rPr>
          <w:rFonts w:ascii="Times New Roman" w:cs="Times New Roman" w:eastAsia="Times New Roman" w:hAnsi="Times New Roman"/>
          <w:sz w:val="17"/>
          <w:szCs w:val="17"/>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40"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6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or SG&amp;A, expenses on our statement of income is as follows (amounts in thousands):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7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r>
      <w:tr>
        <w:trPr>
          <w:trHeight w:val="27"/>
        </w:trPr>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386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201,446</w:t>
            </w:r>
          </w:p>
        </w:tc>
      </w:tr>
      <w:tr>
        <w:trPr>
          <w:trHeight w:val="372"/>
        </w:trPr>
        <w:tc>
          <w:tcPr>
            <w:tcW w:w="2700" w:type="dxa"/>
            <w:vAlign w:val="bottom"/>
          </w:tcPr>
          <w:p>
            <w:pPr>
              <w:spacing w:after="0"/>
              <w:rPr>
                <w:sz w:val="24"/>
                <w:szCs w:val="24"/>
                <w:color w:val="auto"/>
              </w:rPr>
            </w:pPr>
          </w:p>
        </w:tc>
        <w:tc>
          <w:tcPr>
            <w:tcW w:w="36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F-53</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57,383</w:t>
            </w: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192,849</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44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as of February 1, 2020 are as follows (amounts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(715,729)</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$1.6 million due in the future under non-cancelable subleases.</w:t>
      </w:r>
    </w:p>
    <w:p>
      <w:pPr>
        <w:spacing w:after="0" w:line="117"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192,632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192,610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177,750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Total minimum lease payments </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2,117,424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0" w:right="1040" w:hanging="5344"/>
        <w:spacing w:after="0" w:line="454" w:lineRule="auto"/>
        <w:tabs>
          <w:tab w:leader="none" w:pos="351"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$7.7 million due in the future under non-cancelable subleases. F-54</w:t>
      </w:r>
    </w:p>
    <w:p>
      <w:pPr>
        <w:sectPr>
          <w:pgSz w:w="11900" w:h="16838" w:orient="portrait"/>
          <w:cols w:equalWidth="0" w:num="1">
            <w:col w:w="11020"/>
          </w:cols>
          <w:pgMar w:left="320" w:top="455" w:right="55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Commitments and Other</w:t>
      </w:r>
    </w:p>
    <w:p>
      <w:pPr>
        <w:spacing w:after="0" w:line="121" w:lineRule="exact"/>
        <w:rPr>
          <w:sz w:val="20"/>
          <w:szCs w:val="20"/>
          <w:color w:val="auto"/>
        </w:rPr>
      </w:pPr>
    </w:p>
    <w:p>
      <w:pPr>
        <w:ind w:left="560" w:right="80" w:firstLine="423"/>
        <w:spacing w:after="0" w:line="312" w:lineRule="auto"/>
        <w:rPr>
          <w:sz w:val="20"/>
          <w:szCs w:val="20"/>
          <w:color w:val="auto"/>
        </w:rPr>
      </w:pPr>
      <w:r>
        <w:rPr>
          <w:rFonts w:ascii="Times New Roman" w:cs="Times New Roman" w:eastAsia="Times New Roman" w:hAnsi="Times New Roman"/>
          <w:sz w:val="17"/>
          <w:szCs w:val="17"/>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w:t>
      </w:r>
    </w:p>
    <w:p>
      <w:pPr>
        <w:spacing w:after="0" w:line="121" w:lineRule="exact"/>
        <w:rPr>
          <w:sz w:val="20"/>
          <w:szCs w:val="20"/>
          <w:color w:val="auto"/>
        </w:rPr>
      </w:pPr>
    </w:p>
    <w:p>
      <w:pPr>
        <w:ind w:left="560" w:right="480" w:firstLine="423"/>
        <w:spacing w:after="0" w:line="282" w:lineRule="auto"/>
        <w:rPr>
          <w:sz w:val="20"/>
          <w:szCs w:val="20"/>
          <w:color w:val="auto"/>
        </w:rPr>
      </w:pPr>
      <w:r>
        <w:rPr>
          <w:rFonts w:ascii="Times New Roman" w:cs="Times New Roman" w:eastAsia="Times New Roman" w:hAnsi="Times New Roman"/>
          <w:sz w:val="18"/>
          <w:szCs w:val="18"/>
          <w:color w:val="auto"/>
        </w:rPr>
        <w:t>As of February 1, 2020, we have obligations under the Monitoring Agreement (see Note 13) in the amount of $14.4 million, of which $4.1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 and Intellectual Property Commitments</w:t>
      </w:r>
    </w:p>
    <w:p>
      <w:pPr>
        <w:spacing w:after="0" w:line="121" w:lineRule="exact"/>
        <w:rPr>
          <w:sz w:val="20"/>
          <w:szCs w:val="20"/>
          <w:color w:val="auto"/>
        </w:rPr>
      </w:pPr>
    </w:p>
    <w:p>
      <w:pPr>
        <w:ind w:left="560" w:right="28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312" w:lineRule="exact"/>
        <w:rPr>
          <w:sz w:val="20"/>
          <w:szCs w:val="20"/>
          <w:color w:val="auto"/>
        </w:rPr>
      </w:pPr>
    </w:p>
    <w:p>
      <w:pPr>
        <w:ind w:left="560" w:right="8720" w:hanging="444"/>
        <w:spacing w:after="0" w:line="378" w:lineRule="auto"/>
        <w:tabs>
          <w:tab w:leader="none" w:pos="552"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b w:val="1"/>
          <w:bCs w:val="1"/>
          <w:i w:val="1"/>
          <w:iCs w:val="1"/>
          <w:color w:val="auto"/>
        </w:rPr>
        <w:t>401(k) Plan</w:t>
      </w: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80"/>
          </w:cols>
          <w:pgMar w:left="320" w:top="455" w:right="49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board of managers, subject to certain limitations. The 401(k) Plan may be amended or terminated at our discretion. Employer contributions related to the 401(k) Plan totaled $12.4 million, $11.9 million and $11.6 million in 2019, 2018 and 2017, respectively.</w:t>
      </w:r>
    </w:p>
    <w:p>
      <w:pPr>
        <w:spacing w:after="0" w:line="306" w:lineRule="exact"/>
        <w:rPr>
          <w:sz w:val="20"/>
          <w:szCs w:val="20"/>
          <w:color w:val="auto"/>
        </w:rPr>
      </w:pPr>
    </w:p>
    <w:p>
      <w:pPr>
        <w:ind w:left="540" w:hanging="424"/>
        <w:spacing w:after="0"/>
        <w:tabs>
          <w:tab w:leader="none" w:pos="54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and Qualifying Accounts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February 1, 2020:</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3,008</w:t>
            </w:r>
          </w:p>
        </w:tc>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499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 xml:space="preserve">(232) </w:t>
            </w:r>
            <w:r>
              <w:rPr>
                <w:rFonts w:ascii="Times New Roman" w:cs="Times New Roman" w:eastAsia="Times New Roman" w:hAnsi="Times New Roman"/>
                <w:sz w:val="16"/>
                <w:szCs w:val="16"/>
                <w:b w:val="1"/>
                <w:bCs w:val="1"/>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5,800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9,400</w:t>
            </w:r>
            <w:r>
              <w:rPr>
                <w:rFonts w:ascii="Times New Roman" w:cs="Times New Roman" w:eastAsia="Times New Roman" w:hAnsi="Times New Roman"/>
                <w:sz w:val="15"/>
                <w:szCs w:val="15"/>
                <w:b w:val="1"/>
                <w:bCs w:val="1"/>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19,271</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62,975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(69,355)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22,807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61,220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(61,598)</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22,429</w:t>
            </w:r>
          </w:p>
        </w:tc>
        <w:tc>
          <w:tcPr>
            <w:tcW w:w="0" w:type="dxa"/>
            <w:vAlign w:val="bottom"/>
          </w:tcPr>
          <w:p>
            <w:pPr>
              <w:spacing w:after="0"/>
              <w:rPr>
                <w:sz w:val="1"/>
                <w:szCs w:val="1"/>
                <w:color w:val="auto"/>
              </w:rPr>
            </w:pPr>
          </w:p>
        </w:tc>
      </w:tr>
      <w:tr>
        <w:trPr>
          <w:trHeight w:val="28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20"/>
                <w:szCs w:val="20"/>
                <w:color w:val="auto"/>
              </w:rPr>
              <w:t>2,616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1,020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shd w:val="clear" w:color="auto" w:fill="CCEEFF"/>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(628) </w:t>
            </w:r>
            <w:r>
              <w:rPr>
                <w:rFonts w:ascii="Times New Roman" w:cs="Times New Roman" w:eastAsia="Times New Roman" w:hAnsi="Times New Roman"/>
                <w:sz w:val="16"/>
                <w:szCs w:val="16"/>
                <w:color w:val="auto"/>
              </w:rPr>
              <w:t>(1)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$ 3,008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w:t>
            </w:r>
            <w:r>
              <w:rPr>
                <w:rFonts w:ascii="Times New Roman" w:cs="Times New Roman" w:eastAsia="Times New Roman" w:hAnsi="Times New Roman"/>
                <w:sz w:val="15"/>
                <w:szCs w:val="15"/>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14,683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(64,459)</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19,942</w:t>
            </w: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(59,135)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22,807</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3, 2018: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3,410</w:t>
            </w: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1,900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(2,694) </w:t>
            </w:r>
            <w:r>
              <w:rPr>
                <w:rFonts w:ascii="Times New Roman" w:cs="Times New Roman" w:eastAsia="Times New Roman" w:hAnsi="Times New Roman"/>
                <w:sz w:val="16"/>
                <w:szCs w:val="16"/>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9,100</w:t>
            </w: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5,976</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(84,541)</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18,027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(65,504)</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224"/>
        <w:spacing w:after="0"/>
        <w:tabs>
          <w:tab w:leader="none" w:pos="34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write-offs to the reserve.</w:t>
      </w:r>
    </w:p>
    <w:p>
      <w:pPr>
        <w:spacing w:after="0" w:line="27"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monthly increase (decrease) in the required reserve based on the Company’s evaluation of anticipated merchandise returns.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actual inventory shrinkage experienced at the time of physical inventories.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claim payments for self-insured claims.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Pr>
          <w:p>
            <w:pPr>
              <w:spacing w:after="0"/>
              <w:rPr>
                <w:sz w:val="13"/>
                <w:szCs w:val="13"/>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1st</w:t>
            </w: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2nd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3rd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4th</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7"/>
              </w:rPr>
              <w:t>1,076,792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w w:val="97"/>
              </w:rPr>
              <w:t>1,237,410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1,145,203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1,370,492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312,996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385,204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301,602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312,570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11,394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(41,138)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25,406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48,347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28,552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17,738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7"/>
              </w:rPr>
              <w:t>1,119,480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1,262,207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1,060,188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1,342,018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320,356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295,278</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317,164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26,795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42,103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(21,458)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February 1, 2020 through July 10, 2020. We identified the following matters to report:</w:t>
      </w:r>
    </w:p>
    <w:p>
      <w:pPr>
        <w:spacing w:after="0" w:line="162"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On June 30, 2020, New Academy Holding Company, LLC purchased 100 shares of common stock from Academy Sports and Outdoors, Inc.</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purchase price per share equal to the par value per share of such shares, or $1 in the aggregate.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14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10140" w:type="dxa"/>
            <w:vAlign w:val="bottom"/>
            <w:tcBorders>
              <w:top w:val="single" w:sz="8" w:color="CCEEFF"/>
            </w:tcBorders>
            <w:shd w:val="clear" w:color="auto" w:fill="CCEEFF"/>
          </w:tcPr>
          <w:p>
            <w:pPr>
              <w:ind w:left="42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ind w:left="34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 1,000 shares authorized, 100 shares issued and outstanding</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540" w:hanging="424"/>
        <w:spacing w:after="0"/>
        <w:tabs>
          <w:tab w:leader="none" w:pos="54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Academy Sports and Outdoors, Inc., or the Corporation, was organized as a Delaware corporation on June 30, 2020. The Corporation’s fiscal year represents the 52 or 53 weeks ending on the Saturday closest to January 31. Pursuant to a series of reorganization transactions, it is anticipated that the Corporation will be the parent of New Academy Holding Company, LLC, a Delaware limited liability company.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Following the anticipated reorganization transactions, the Corporation will continue to conduct the business now conducted by New Academy Holding Company, LLC and its subsidiaries.</w:t>
      </w:r>
    </w:p>
    <w:p>
      <w:pPr>
        <w:spacing w:after="0" w:line="306" w:lineRule="exact"/>
        <w:rPr>
          <w:sz w:val="20"/>
          <w:szCs w:val="20"/>
          <w:color w:val="auto"/>
        </w:rPr>
      </w:pPr>
    </w:p>
    <w:p>
      <w:pPr>
        <w:ind w:left="540" w:hanging="424"/>
        <w:spacing w:after="0"/>
        <w:tabs>
          <w:tab w:leader="none" w:pos="54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0" w:lineRule="exact"/>
        <w:rPr>
          <w:sz w:val="20"/>
          <w:szCs w:val="20"/>
          <w:color w:val="auto"/>
        </w:rPr>
      </w:pPr>
    </w:p>
    <w:p>
      <w:pPr>
        <w:ind w:left="540" w:hanging="424"/>
        <w:spacing w:after="0"/>
        <w:tabs>
          <w:tab w:leader="none" w:pos="54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0" w:lineRule="exact"/>
        <w:rPr>
          <w:sz w:val="20"/>
          <w:szCs w:val="20"/>
          <w:color w:val="auto"/>
        </w:rPr>
      </w:pPr>
    </w:p>
    <w:p>
      <w:pPr>
        <w:ind w:left="540" w:hanging="424"/>
        <w:spacing w:after="0"/>
        <w:tabs>
          <w:tab w:leader="none" w:pos="54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80"/>
          </w:cols>
          <w:pgMar w:left="320" w:top="455" w:right="49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2752725</wp:posOffset>
            </wp:positionV>
            <wp:extent cx="2760345" cy="13798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60345" cy="1379855"/>
                    </a:xfrm>
                    <a:prstGeom prst="rect">
                      <a:avLst/>
                    </a:prstGeom>
                    <a:noFill/>
                  </pic:spPr>
                </pic:pic>
              </a:graphicData>
            </a:graphic>
          </wp:anchor>
        </w:drawing>
      </w:r>
    </w:p>
    <w:p>
      <w:pPr>
        <w:sectPr>
          <w:pgSz w:w="11900" w:h="16838" w:orient="portrait"/>
          <w:cols w:equalWidth="0" w:num="1">
            <w:col w:w="10760"/>
          </w:cols>
          <w:pgMar w:left="320" w:top="455" w:right="81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expenses payable by the Registrant expected to be incurred in connection with the issuance and distribution of common stock being registered hereby (other than the underwriting discounts and commissions). All of such expenses are estimates, except for the Securities and Exchange Commission, or the SEC, registration fee, the Financial Industry Regulatory Authority Inc., or FINRA, filing fee and the Nasdaq listing fee.</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-85725</wp:posOffset>
            </wp:positionV>
            <wp:extent cx="4749165"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Printing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Blue Sky fees and expenses (including legal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7715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2" w:lineRule="exact"/>
        <w:rPr>
          <w:sz w:val="20"/>
          <w:szCs w:val="20"/>
          <w:color w:val="auto"/>
        </w:rPr>
      </w:pPr>
    </w:p>
    <w:p>
      <w:pPr>
        <w:ind w:left="540" w:hanging="424"/>
        <w:spacing w:after="0"/>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completed by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64" w:hanging="464"/>
        <w:spacing w:after="0"/>
        <w:tabs>
          <w:tab w:leader="none" w:pos="464"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0" w:lineRule="exact"/>
        <w:rPr>
          <w:rFonts w:ascii="Times New Roman" w:cs="Times New Roman" w:eastAsia="Times New Roman" w:hAnsi="Times New Roman"/>
          <w:sz w:val="16"/>
          <w:szCs w:val="16"/>
          <w:color w:val="auto"/>
        </w:rPr>
      </w:pPr>
    </w:p>
    <w:p>
      <w:pPr>
        <w:ind w:left="4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6"/>
          <w:szCs w:val="16"/>
          <w:color w:val="auto"/>
        </w:rPr>
      </w:pPr>
    </w:p>
    <w:p>
      <w:pPr>
        <w:ind w:left="4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6"/>
          <w:szCs w:val="16"/>
          <w:color w:val="auto"/>
        </w:rPr>
      </w:pPr>
    </w:p>
    <w:p>
      <w:pPr>
        <w:ind w:left="4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6"/>
          <w:szCs w:val="16"/>
          <w:color w:val="auto"/>
        </w:rPr>
      </w:pPr>
    </w:p>
    <w:p>
      <w:pPr>
        <w:ind w:left="4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6"/>
          <w:szCs w:val="16"/>
          <w:color w:val="auto"/>
        </w:rPr>
      </w:pPr>
    </w:p>
    <w:p>
      <w:pPr>
        <w:ind w:left="4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6"/>
          <w:szCs w:val="16"/>
          <w:color w:val="auto"/>
        </w:rPr>
      </w:pPr>
    </w:p>
    <w:p>
      <w:pPr>
        <w:ind w:left="4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6"/>
          <w:szCs w:val="16"/>
          <w:color w:val="auto"/>
        </w:rPr>
      </w:pPr>
    </w:p>
    <w:p>
      <w:pPr>
        <w:ind w:left="4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6"/>
          <w:szCs w:val="16"/>
          <w:color w:val="auto"/>
        </w:rPr>
      </w:pPr>
    </w:p>
    <w:p>
      <w:pPr>
        <w:ind w:left="4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3511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1" w:lineRule="exact"/>
        <w:rPr>
          <w:sz w:val="20"/>
          <w:szCs w:val="20"/>
          <w:color w:val="auto"/>
        </w:rPr>
      </w:pPr>
    </w:p>
    <w:p>
      <w:pPr>
        <w:ind w:left="464" w:hanging="464"/>
        <w:spacing w:after="0"/>
        <w:tabs>
          <w:tab w:leader="none" w:pos="464"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3511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3511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681" w:lineRule="exact"/>
        <w:rPr>
          <w:sz w:val="20"/>
          <w:szCs w:val="20"/>
          <w:color w:val="auto"/>
        </w:rPr>
      </w:pPr>
    </w:p>
    <w:p>
      <w:pPr>
        <w:sectPr>
          <w:pgSz w:w="11900" w:h="16838" w:orient="portrait"/>
          <w:cols w:equalWidth="0" w:num="2">
            <w:col w:w="8036" w:space="720"/>
            <w:col w:w="2364"/>
          </w:cols>
          <w:pgMar w:left="320" w:top="455" w:right="45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w:t>
      </w:r>
    </w:p>
    <w:p>
      <w:pPr>
        <w:sectPr>
          <w:pgSz w:w="11900" w:h="16838" w:orient="portrait"/>
          <w:cols w:equalWidth="0" w:num="1">
            <w:col w:w="11120"/>
          </w:cols>
          <w:pgMar w:left="320" w:top="455" w:right="459" w:bottom="1440" w:gutter="0" w:footer="0" w:header="0"/>
          <w:type w:val="continuous"/>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merits or otherwise in the defense of any action referred to above, the corporation must indemnify him or her against the expenses (including attorneys’ fees) which such officer or director has actually and reasonably incurred.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76"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will provide that we must indemnify, and advance expenses to, our directors and officers to the full extent authorized by the DGCL.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Within the past three years, the Registrant has granted or issued the following securities of the Registrant which were not registered under the Securities Act.</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 herein.</w:t>
      </w:r>
    </w:p>
    <w:p>
      <w:pPr>
        <w:spacing w:after="0" w:line="225" w:lineRule="exact"/>
        <w:rPr>
          <w:sz w:val="20"/>
          <w:szCs w:val="20"/>
          <w:color w:val="auto"/>
        </w:rPr>
      </w:pPr>
    </w:p>
    <w:p>
      <w:pPr>
        <w:ind w:left="1000" w:hanging="444"/>
        <w:spacing w:after="0"/>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right="20" w:firstLine="436"/>
        <w:spacing w:after="0" w:line="254" w:lineRule="auto"/>
        <w:tabs>
          <w:tab w:leader="none" w:pos="81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120" w:right="160" w:firstLine="436"/>
        <w:spacing w:after="0" w:line="266" w:lineRule="auto"/>
        <w:tabs>
          <w:tab w:leader="none" w:pos="85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84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0"/>
          </w:cols>
          <w:pgMar w:left="320" w:top="455" w:right="57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24"/>
                <w:szCs w:val="24"/>
                <w:color w:val="auto"/>
              </w:rPr>
            </w:pPr>
          </w:p>
        </w:tc>
        <w:tc>
          <w:tcPr>
            <w:tcW w:w="988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Bylaws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Registration Rights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First Amended and Restated Credit Agreement, dated July 2, 2015, among Academy, Ltd., as Borrower, New Academy Holding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Company, LLC, as Holdings, Associated Investors L.L.C. and Academy Managing Co., L.L.C, as Texas Intermediate Holdcos,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lending institutions from time to time party thereto and Morgan Stanley Senior Funding, Inc., as the Administrative Agent and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Collateral Agent.</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Term Loan Security Agreement, dated as of July 2, 2015, among Academy, Ltd., as Borrower, each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subsidiaries listed on the signature pages thereto, and Morgan Stanley Senior Funding, Inc., as collateral agent for the benefit of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Term Loan Pledge Agreement, dated as of July 2, 2015, among New Academy Holding Company, LLC,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Holdings, Associated Investors L.L.C. and Academy Managing Co., L.L.C, as Texas Intermediate Holdcos, Academy, Ltd., as Borrower,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each of the subsidiaries listed on the signature pages thereto and Morgan Stanley Senior Funding, Inc., as collateral agent for the benefit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of the 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ABL Intercreditor Agreement, dated July 2, 2015, among JPMorgan Chase Bank, N.A., as agent for the ABL Secured Parties referred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therein, Morgan Stanley Senior Funding, Inc., as administrative agent and collateral agent for the Term Loan Secured Parties referred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therein, New Academy Holding Company, LLC, as Holdings, Associated Investors L.L.C. and Academy Managing Co., L.L.C, as Texas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Intermediate Holdcos, Academy, Ltd., as Borrower, and each of the subsidiaries of the Borrower listed on the signature pages thereto.</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First Amended and Restated ABL Credit Agreement, dated July 2, 2015, among Academy, Ltd., as Borrower, New Academy Holding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Company, LLC, as Holdings, Associated Investors L.L.C. and Academy Managing Co., L.L.C, as Texas Intermediate Holdcos,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lending institutions from time to time party thereto and JPMorgan Chase Bank, N.A., as the Administrative Agent, the Collateral Agent,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Letter of Credit Issuer and the Swingline Lender.</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Amendment No. 1 to First Amended and Restated ABL Credit Agreement, dated as of May 22, 2018, among Academy, Ltd.,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Borrower, New Academy Holding Company, LLC, as Holdings, Associated Investors L.L.C. and Academy Managing Co., L.L.C,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Texas Intermediate Holdcos, each of the Guarantors party thereto, each of the lenders party thereto and JPMorgan Chase Bank, N.A., 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Administrative Agent, the Collateral Agent, the Letter of Credit Issuer and the Swingline Lender.</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ABL Security Agreement, dated as of July 2, 2015, among Academy, Ltd., as Borrower, each of the subsidiaries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listed on the signature pages thereto, and JPMorgan Chase Bank, N.A., as collateral agent for the benefit of the 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ABL Pledge Agreement, dated July 2, 2015, among New Academy Holding Company, LLC, as Holdings,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Associated Investors L.L.C. and Academy Managing Co., L.L.C, as Texas Intermediate Holdcos, Academy, Ltd., as Borrower, each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subsidiaries listed on the signature pages thereto and JPMorgan Chase Bank, N.A., as collateral agent for the benefit of the secured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parties.</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Omnibus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under 2020 Omnibus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under 2020 Omnibus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2017 Executive Option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2016 Executive Option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CEO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CEO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Independent Non-Employee Director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Ken C. Hicks Employment Agreement, dated August 2, 2018.</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Michael P. Mullican Employment Agreement, dated January 6, 2017 and amended on December 11, 2017.</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Steven (Steve) P. Lawrence Employment Agreement, dated January 29, 2019.</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Samuel (Sam) J. Johnson Employment Agreement, dated April 17, 2017.</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Kenneth (Ken) D. Attaway Employment Agreement, dated July 1, 2009, as amended and restated on August 30, 2011 and further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amended on August 6, 2012.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Stockholders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10.34*</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Management Unitholders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Deloitte &amp; Touche LLP (with respect to the financial statements of New Academy Holding Company, LLC).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Deloitte &amp; Touche LLP (with respect to the financial statements of Academy Sports and Outdoors,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as part of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pages to this Registration Statement).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540" w:hanging="424"/>
        <w:spacing w:after="0"/>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arrangements for director(s) and/or executive officer(s).</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its behalf by the undersigned, thereunto duly authorized, in</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on</w:t>
            </w: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2020.</w:t>
            </w:r>
          </w:p>
        </w:tc>
        <w:tc>
          <w:tcPr>
            <w:tcW w:w="4040" w:type="dxa"/>
            <w:vAlign w:val="bottom"/>
          </w:tcPr>
          <w:p>
            <w:pPr>
              <w:spacing w:after="0"/>
              <w:rPr>
                <w:sz w:val="20"/>
                <w:szCs w:val="20"/>
                <w:color w:val="auto"/>
              </w:rPr>
            </w:pPr>
          </w:p>
        </w:tc>
      </w:tr>
      <w:tr>
        <w:trPr>
          <w:trHeight w:val="441"/>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432"/>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4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Ken C. Hicks</w:t>
            </w:r>
          </w:p>
        </w:tc>
      </w:tr>
      <w:tr>
        <w:trPr>
          <w:trHeight w:val="216"/>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3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Title:  Chairman, President and Chief Executive</w:t>
            </w:r>
          </w:p>
        </w:tc>
      </w:tr>
      <w:tr>
        <w:trPr>
          <w:trHeight w:val="234"/>
        </w:trPr>
        <w:tc>
          <w:tcPr>
            <w:tcW w:w="4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capacities indicated on</w:t>
            </w:r>
          </w:p>
        </w:tc>
        <w:tc>
          <w:tcPr>
            <w:tcW w:w="3760" w:type="dxa"/>
            <w:vAlign w:val="bottom"/>
          </w:tcPr>
          <w:p>
            <w:pPr>
              <w:jc w:val="right"/>
              <w:ind w:right="2632"/>
              <w:spacing w:after="0"/>
              <w:rPr>
                <w:sz w:val="20"/>
                <w:szCs w:val="20"/>
                <w:color w:val="auto"/>
              </w:rPr>
            </w:pPr>
            <w:r>
              <w:rPr>
                <w:rFonts w:ascii="Times New Roman" w:cs="Times New Roman" w:eastAsia="Times New Roman" w:hAnsi="Times New Roman"/>
                <w:sz w:val="18"/>
                <w:szCs w:val="18"/>
                <w:color w:val="auto"/>
              </w:rPr>
              <w:t>, 2020:</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1772"/>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12"/>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Ken C. Hicks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8"/>
              </w:rPr>
              <w:t>Michael P. Mullican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Heather A. Davis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7"/>
              </w:rPr>
              <w:t>Brian T. Marley</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6"/>
              </w:rPr>
              <w:t>Vishal V. Patel</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William S. Simon</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12"/>
        </w:trPr>
        <w:tc>
          <w:tcPr>
            <w:tcW w:w="5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Nathaniel H. Taylor</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Aileen X. Yan</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1)"/>
      <w:numFmt w:val="decimal"/>
      <w:start w:val="2"/>
    </w:lvl>
  </w:abstractNum>
  <w:abstractNum w:abstractNumId="1">
    <w:nsid w:val="56438D15"/>
    <w:multiLevelType w:val="hybridMultilevel"/>
    <w:lvl w:ilvl="0">
      <w:lvlJc w:val="left"/>
      <w:lvlText w:val="(%1)"/>
      <w:numFmt w:val="decimal"/>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
      <w:numFmt w:val="bullet"/>
      <w:start w:val="1"/>
    </w:lvl>
  </w:abstractNum>
  <w:abstractNum w:abstractNumId="4">
    <w:nsid w:val="17A1B582"/>
    <w:multiLevelType w:val="hybridMultilevel"/>
    <w:lvl w:ilvl="0">
      <w:lvlJc w:val="left"/>
      <w:lvlText w:val="%1)"/>
      <w:numFmt w:val="decimal"/>
      <w:start w:val="1"/>
    </w:lvl>
  </w:abstractNum>
  <w:abstractNum w:abstractNumId="5">
    <w:nsid w:val="4DF72E4E"/>
    <w:multiLevelType w:val="hybridMultilevel"/>
    <w:lvl w:ilvl="0">
      <w:lvlJc w:val="left"/>
      <w:lvlText w:val="%1)"/>
      <w:numFmt w:val="decimal"/>
      <w:start w:val="1"/>
    </w:lvl>
  </w:abstractNum>
  <w:abstractNum w:abstractNumId="6">
    <w:nsid w:val="5046B5A9"/>
    <w:multiLevelType w:val="hybridMultilevel"/>
    <w:lvl w:ilvl="0">
      <w:lvlJc w:val="left"/>
      <w:lvlText w:val="%1)"/>
      <w:numFmt w:val="decimal"/>
      <w:start w:val="4"/>
    </w:lvl>
  </w:abstractNum>
  <w:abstractNum w:abstractNumId="7">
    <w:nsid w:val="5D888A08"/>
    <w:multiLevelType w:val="hybridMultilevel"/>
    <w:lvl w:ilvl="0">
      <w:lvlJc w:val="left"/>
      <w:lvlText w:val="•"/>
      <w:numFmt w:val="bullet"/>
      <w:start w:val="1"/>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
      <w:numFmt w:val="bullet"/>
      <w:start w:val="1"/>
    </w:lvl>
  </w:abstractNum>
  <w:abstractNum w:abstractNumId="10">
    <w:nsid w:val="19E21BB2"/>
    <w:multiLevelType w:val="hybridMultilevel"/>
    <w:lvl w:ilvl="0">
      <w:lvlJc w:val="left"/>
      <w:lvlText w:val="•"/>
      <w:numFmt w:val="bullet"/>
      <w:start w:val="1"/>
    </w:lvl>
  </w:abstractNum>
  <w:abstractNum w:abstractNumId="11">
    <w:nsid w:val="75E0858A"/>
    <w:multiLevelType w:val="hybridMultilevel"/>
    <w:lvl w:ilvl="0">
      <w:lvlJc w:val="left"/>
      <w:lvlText w:val="•"/>
      <w:numFmt w:val="bullet"/>
      <w:start w:val="1"/>
    </w:lvl>
  </w:abstractNum>
  <w:abstractNum w:abstractNumId="12">
    <w:nsid w:val="57A61A29"/>
    <w:multiLevelType w:val="hybridMultilevel"/>
    <w:lvl w:ilvl="0">
      <w:lvlJc w:val="left"/>
      <w:lvlText w:val="•"/>
      <w:numFmt w:val="bullet"/>
      <w:start w:val="1"/>
    </w:lvl>
  </w:abstractNum>
  <w:abstractNum w:abstractNumId="13">
    <w:nsid w:val="5399C654"/>
    <w:multiLevelType w:val="hybridMultilevel"/>
    <w:lvl w:ilvl="0">
      <w:lvlJc w:val="left"/>
      <w:lvlText w:val="%"/>
      <w:numFmt w:val="bullet"/>
      <w:start w:val="1"/>
    </w:lvl>
  </w:abstractNum>
  <w:abstractNum w:abstractNumId="14">
    <w:nsid w:val="20EE1348"/>
    <w:multiLevelType w:val="hybridMultilevel"/>
    <w:lvl w:ilvl="0">
      <w:lvlJc w:val="left"/>
      <w:lvlText w:val="•"/>
      <w:numFmt w:val="bullet"/>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1)"/>
      <w:numFmt w:val="decimal"/>
      <w:start w:val="1"/>
    </w:lvl>
  </w:abstractNum>
  <w:abstractNum w:abstractNumId="17">
    <w:nsid w:val="2157F6BC"/>
    <w:multiLevelType w:val="hybridMultilevel"/>
    <w:lvl w:ilvl="0">
      <w:lvlJc w:val="left"/>
      <w:lvlText w:val="•"/>
      <w:numFmt w:val="bullet"/>
      <w:start w:val="1"/>
    </w:lvl>
  </w:abstractNum>
  <w:abstractNum w:abstractNumId="18">
    <w:nsid w:val="704E1DD5"/>
    <w:multiLevelType w:val="hybridMultilevel"/>
    <w:lvl w:ilvl="0">
      <w:lvlJc w:val="left"/>
      <w:lvlText w:val="•"/>
      <w:numFmt w:val="bullet"/>
      <w:start w:val="1"/>
    </w:lvl>
  </w:abstractNum>
  <w:abstractNum w:abstractNumId="19">
    <w:nsid w:val="57D2F10E"/>
    <w:multiLevelType w:val="hybridMultilevel"/>
    <w:lvl w:ilvl="0">
      <w:lvlJc w:val="left"/>
      <w:lvlText w:val="(%1)"/>
      <w:numFmt w:val="lowerLetter"/>
      <w:start w:val="1"/>
    </w:lvl>
  </w:abstractNum>
  <w:abstractNum w:abstractNumId="20">
    <w:nsid w:val="BFFAE18"/>
    <w:multiLevelType w:val="hybridMultilevel"/>
    <w:lvl w:ilvl="0">
      <w:lvlJc w:val="left"/>
      <w:lvlText w:val="(%1)"/>
      <w:numFmt w:val="lowerLetter"/>
      <w:start w:val="4"/>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
      <w:numFmt w:val="bullet"/>
      <w:start w:val="1"/>
    </w:lvl>
  </w:abstractNum>
  <w:abstractNum w:abstractNumId="23">
    <w:nsid w:val="49D0FEAC"/>
    <w:multiLevelType w:val="hybridMultilevel"/>
    <w:lvl w:ilvl="0">
      <w:lvlJc w:val="left"/>
      <w:lvlText w:val="•"/>
      <w:numFmt w:val="bullet"/>
      <w:start w:val="1"/>
    </w:lvl>
  </w:abstractNum>
  <w:abstractNum w:abstractNumId="24">
    <w:nsid w:val="4BEE5A5B"/>
    <w:multiLevelType w:val="hybridMultilevel"/>
    <w:lvl w:ilvl="0">
      <w:lvlJc w:val="left"/>
      <w:lvlText w:val="•"/>
      <w:numFmt w:val="bullet"/>
      <w:start w:val="1"/>
    </w:lvl>
  </w:abstractNum>
  <w:abstractNum w:abstractNumId="25">
    <w:nsid w:val="5551B9F3"/>
    <w:multiLevelType w:val="hybridMultilevel"/>
    <w:lvl w:ilvl="0">
      <w:lvlJc w:val="left"/>
      <w:lvlText w:val="•"/>
      <w:numFmt w:val="bullet"/>
      <w:start w:val="1"/>
    </w:lvl>
  </w:abstractNum>
  <w:abstractNum w:abstractNumId="26">
    <w:nsid w:val="24F6AB8E"/>
    <w:multiLevelType w:val="hybridMultilevel"/>
    <w:lvl w:ilvl="0">
      <w:lvlJc w:val="left"/>
      <w:lvlText w:val="•"/>
      <w:numFmt w:val="bullet"/>
      <w:start w:val="1"/>
    </w:lvl>
  </w:abstractNum>
  <w:abstractNum w:abstractNumId="27">
    <w:nsid w:val="634C574C"/>
    <w:multiLevelType w:val="hybridMultilevel"/>
    <w:lvl w:ilvl="0">
      <w:lvlJc w:val="left"/>
      <w:lvlText w:val="•"/>
      <w:numFmt w:val="bullet"/>
      <w:start w:val="1"/>
    </w:lvl>
  </w:abstractNum>
  <w:abstractNum w:abstractNumId="28">
    <w:nsid w:val="24E99DD7"/>
    <w:multiLevelType w:val="hybridMultilevel"/>
    <w:lvl w:ilvl="0">
      <w:lvlJc w:val="left"/>
      <w:lvlText w:val="•"/>
      <w:numFmt w:val="bullet"/>
      <w:start w:val="1"/>
    </w:lvl>
  </w:abstractNum>
  <w:abstractNum w:abstractNumId="29">
    <w:nsid w:val="2A31B62D"/>
    <w:multiLevelType w:val="hybridMultilevel"/>
    <w:lvl w:ilvl="0">
      <w:lvlJc w:val="left"/>
      <w:lvlText w:val="•"/>
      <w:numFmt w:val="bullet"/>
      <w:start w:val="1"/>
    </w:lvl>
  </w:abstractNum>
  <w:abstractNum w:abstractNumId="30">
    <w:nsid w:val="1849C29B"/>
    <w:multiLevelType w:val="hybridMultilevel"/>
    <w:lvl w:ilvl="0">
      <w:lvlJc w:val="left"/>
      <w:lvlText w:val="•"/>
      <w:numFmt w:val="bullet"/>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
      <w:numFmt w:val="bullet"/>
      <w:start w:val="1"/>
    </w:lvl>
  </w:abstractNum>
  <w:abstractNum w:abstractNumId="34">
    <w:nsid w:val="2A6DE806"/>
    <w:multiLevelType w:val="hybridMultilevel"/>
    <w:lvl w:ilvl="0">
      <w:lvlJc w:val="left"/>
      <w:lvlText w:val="•"/>
      <w:numFmt w:val="bullet"/>
      <w:start w:val="1"/>
    </w:lvl>
  </w:abstractNum>
  <w:abstractNum w:abstractNumId="35">
    <w:nsid w:val="1816F8C4"/>
    <w:multiLevelType w:val="hybridMultilevel"/>
    <w:lvl w:ilvl="0">
      <w:lvlJc w:val="left"/>
      <w:lvlText w:val="•"/>
      <w:numFmt w:val="bullet"/>
      <w:start w:val="1"/>
    </w:lvl>
  </w:abstractNum>
  <w:abstractNum w:abstractNumId="36">
    <w:nsid w:val="37DF2233"/>
    <w:multiLevelType w:val="hybridMultilevel"/>
    <w:lvl w:ilvl="0">
      <w:lvlJc w:val="left"/>
      <w:lvlText w:val="•"/>
      <w:numFmt w:val="bullet"/>
      <w:start w:val="1"/>
    </w:lvl>
  </w:abstractNum>
  <w:abstractNum w:abstractNumId="37">
    <w:nsid w:val="7AB49DAF"/>
    <w:multiLevelType w:val="hybridMultilevel"/>
    <w:lvl w:ilvl="0">
      <w:lvlJc w:val="left"/>
      <w:lvlText w:val="%"/>
      <w:numFmt w:val="bullet"/>
      <w:start w:val="1"/>
    </w:lvl>
  </w:abstractNum>
  <w:abstractNum w:abstractNumId="38">
    <w:nsid w:val="759F82CD"/>
    <w:multiLevelType w:val="hybridMultilevel"/>
    <w:lvl w:ilvl="0">
      <w:lvlJc w:val="left"/>
      <w:lvlText w:val="•"/>
      <w:numFmt w:val="bullet"/>
      <w:start w:val="1"/>
    </w:lvl>
  </w:abstractNum>
  <w:abstractNum w:abstractNumId="39">
    <w:nsid w:val="61E74EA3"/>
    <w:multiLevelType w:val="hybridMultilevel"/>
    <w:lvl w:ilvl="0">
      <w:lvlJc w:val="left"/>
      <w:lvlText w:val="•"/>
      <w:numFmt w:val="bullet"/>
      <w:start w:val="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1)"/>
      <w:numFmt w:val="lowerRoman"/>
      <w:start w:val="1"/>
    </w:lvl>
  </w:abstractNum>
  <w:abstractNum w:abstractNumId="42">
    <w:nsid w:val="57C7D42D"/>
    <w:multiLevelType w:val="hybridMultilevel"/>
    <w:lvl w:ilvl="0">
      <w:lvlJc w:val="left"/>
      <w:lvlText w:val="•"/>
      <w:numFmt w:val="bullet"/>
      <w:start w:val="1"/>
    </w:lvl>
  </w:abstractNum>
  <w:abstractNum w:abstractNumId="43">
    <w:nsid w:val="312167AD"/>
    <w:multiLevelType w:val="hybridMultilevel"/>
    <w:lvl w:ilvl="0">
      <w:lvlJc w:val="left"/>
      <w:lvlText w:val="•"/>
      <w:numFmt w:val="bullet"/>
      <w:start w:val="1"/>
    </w:lvl>
  </w:abstractNum>
  <w:abstractNum w:abstractNumId="44">
    <w:nsid w:val="631B64D4"/>
    <w:multiLevelType w:val="hybridMultilevel"/>
    <w:lvl w:ilvl="0">
      <w:lvlJc w:val="left"/>
      <w:lvlText w:val="•"/>
      <w:numFmt w:val="bullet"/>
      <w:start w:val="1"/>
    </w:lvl>
  </w:abstractNum>
  <w:abstractNum w:abstractNumId="45">
    <w:nsid w:val="78B5E776"/>
    <w:multiLevelType w:val="hybridMultilevel"/>
    <w:lvl w:ilvl="0">
      <w:lvlJc w:val="left"/>
      <w:lvlText w:val="(%1)"/>
      <w:numFmt w:val="decimal"/>
      <w:start w:val="2"/>
    </w:lvl>
  </w:abstractNum>
  <w:abstractNum w:abstractNumId="46">
    <w:nsid w:val="75486E47"/>
    <w:multiLevelType w:val="hybridMultilevel"/>
    <w:lvl w:ilvl="0">
      <w:lvlJc w:val="left"/>
      <w:lvlText w:val="(%1)"/>
      <w:numFmt w:val="decimal"/>
      <w:start w:val="4"/>
    </w:lvl>
  </w:abstractNum>
  <w:abstractNum w:abstractNumId="47">
    <w:nsid w:val="6E534CDE"/>
    <w:multiLevelType w:val="hybridMultilevel"/>
    <w:lvl w:ilvl="0">
      <w:lvlJc w:val="left"/>
      <w:lvlText w:val="(%1)"/>
      <w:numFmt w:val="decimal"/>
      <w:start w:val="1"/>
    </w:lvl>
  </w:abstractNum>
  <w:abstractNum w:abstractNumId="48">
    <w:nsid w:val="1A0DDE32"/>
    <w:multiLevelType w:val="hybridMultilevel"/>
    <w:lvl w:ilvl="0">
      <w:lvlJc w:val="left"/>
      <w:lvlText w:val="(%1)"/>
      <w:numFmt w:val="decimal"/>
      <w:start w:val="3"/>
    </w:lvl>
  </w:abstractNum>
  <w:abstractNum w:abstractNumId="49">
    <w:nsid w:val="65968C1C"/>
    <w:multiLevelType w:val="hybridMultilevel"/>
    <w:lvl w:ilvl="0">
      <w:lvlJc w:val="left"/>
      <w:lvlText w:val="(%1)"/>
      <w:numFmt w:val="decimal"/>
      <w:start w:val="5"/>
    </w:lvl>
  </w:abstractNum>
  <w:abstractNum w:abstractNumId="50">
    <w:nsid w:val="46263DEC"/>
    <w:multiLevelType w:val="hybridMultilevel"/>
    <w:lvl w:ilvl="0">
      <w:lvlJc w:val="left"/>
      <w:lvlText w:val="(%1)"/>
      <w:numFmt w:val="decimal"/>
      <w:start w:val="7"/>
    </w:lvl>
  </w:abstractNum>
  <w:abstractNum w:abstractNumId="51">
    <w:nsid w:val="260D8C4A"/>
    <w:multiLevelType w:val="hybridMultilevel"/>
    <w:lvl w:ilvl="0">
      <w:lvlJc w:val="left"/>
      <w:lvlText w:val="•"/>
      <w:numFmt w:val="bullet"/>
      <w:start w:val="1"/>
    </w:lvl>
  </w:abstractNum>
  <w:abstractNum w:abstractNumId="52">
    <w:nsid w:val="73D4D3C4"/>
    <w:multiLevelType w:val="hybridMultilevel"/>
    <w:lvl w:ilvl="0">
      <w:lvlJc w:val="left"/>
      <w:lvlText w:val="•"/>
      <w:numFmt w:val="bullet"/>
      <w:start w:val="1"/>
    </w:lvl>
  </w:abstractNum>
  <w:abstractNum w:abstractNumId="53">
    <w:nsid w:val="746F2E30"/>
    <w:multiLevelType w:val="hybridMultilevel"/>
    <w:lvl w:ilvl="0">
      <w:lvlJc w:val="left"/>
      <w:lvlText w:val="•"/>
      <w:numFmt w:val="bullet"/>
      <w:start w:val="1"/>
    </w:lvl>
  </w:abstractNum>
  <w:abstractNum w:abstractNumId="54">
    <w:nsid w:val="6FDE8AF6"/>
    <w:multiLevelType w:val="hybridMultilevel"/>
    <w:lvl w:ilvl="0">
      <w:lvlJc w:val="left"/>
      <w:lvlText w:val="•"/>
      <w:numFmt w:val="bullet"/>
      <w:start w:val="1"/>
    </w:lvl>
  </w:abstractNum>
  <w:abstractNum w:abstractNumId="55">
    <w:nsid w:val="3FC32E20"/>
    <w:multiLevelType w:val="hybridMultilevel"/>
    <w:lvl w:ilvl="0">
      <w:lvlJc w:val="left"/>
      <w:lvlText w:val="•"/>
      <w:numFmt w:val="bullet"/>
      <w:start w:val="1"/>
    </w:lvl>
  </w:abstractNum>
  <w:abstractNum w:abstractNumId="56">
    <w:nsid w:val="49C0E823"/>
    <w:multiLevelType w:val="hybridMultilevel"/>
    <w:lvl w:ilvl="0">
      <w:lvlJc w:val="left"/>
      <w:lvlText w:val="•"/>
      <w:numFmt w:val="bullet"/>
      <w:start w:val="1"/>
    </w:lvl>
  </w:abstractNum>
  <w:abstractNum w:abstractNumId="57">
    <w:nsid w:val="14D53685"/>
    <w:multiLevelType w:val="hybridMultilevel"/>
    <w:lvl w:ilvl="0">
      <w:lvlJc w:val="left"/>
      <w:lvlText w:val="•"/>
      <w:numFmt w:val="bullet"/>
      <w:start w:val="1"/>
    </w:lvl>
  </w:abstractNum>
  <w:abstractNum w:abstractNumId="58">
    <w:nsid w:val="230F856C"/>
    <w:multiLevelType w:val="hybridMultilevel"/>
    <w:lvl w:ilvl="0">
      <w:lvlJc w:val="left"/>
      <w:lvlText w:val="(%1)"/>
      <w:numFmt w:val="lowerLetter"/>
      <w:start w:val="1"/>
    </w:lvl>
  </w:abstractNum>
  <w:abstractNum w:abstractNumId="59">
    <w:nsid w:val="6EAA85FB"/>
    <w:multiLevelType w:val="hybridMultilevel"/>
    <w:lvl w:ilvl="0">
      <w:lvlJc w:val="left"/>
      <w:lvlText w:val="(%1)"/>
      <w:numFmt w:val="lowerLetter"/>
      <w:start w:val="4"/>
    </w:lvl>
  </w:abstractNum>
  <w:abstractNum w:abstractNumId="60">
    <w:nsid w:val="3F06ECB2"/>
    <w:multiLevelType w:val="hybridMultilevel"/>
    <w:lvl w:ilvl="0">
      <w:lvlJc w:val="left"/>
      <w:lvlText w:val="(%1)"/>
      <w:numFmt w:val="decimal"/>
      <w:start w:val="1"/>
    </w:lvl>
  </w:abstractNum>
  <w:abstractNum w:abstractNumId="61">
    <w:nsid w:val="3B594807"/>
    <w:multiLevelType w:val="hybridMultilevel"/>
    <w:lvl w:ilvl="0">
      <w:lvlJc w:val="left"/>
      <w:lvlText w:val="•"/>
      <w:numFmt w:val="bullet"/>
      <w:start w:val="1"/>
    </w:lvl>
  </w:abstractNum>
  <w:abstractNum w:abstractNumId="62">
    <w:nsid w:val="6CAA2304"/>
    <w:multiLevelType w:val="hybridMultilevel"/>
    <w:lvl w:ilvl="0">
      <w:lvlJc w:val="left"/>
      <w:lvlText w:val="•"/>
      <w:numFmt w:val="bullet"/>
      <w:start w:val="1"/>
    </w:lvl>
  </w:abstractNum>
  <w:abstractNum w:abstractNumId="63">
    <w:nsid w:val="3F7C2FF4"/>
    <w:multiLevelType w:val="hybridMultilevel"/>
    <w:lvl w:ilvl="0">
      <w:lvlJc w:val="left"/>
      <w:lvlText w:val="•"/>
      <w:numFmt w:val="bullet"/>
      <w:start w:val="1"/>
    </w:lvl>
  </w:abstractNum>
  <w:abstractNum w:abstractNumId="64">
    <w:nsid w:val="25413BEC"/>
    <w:multiLevelType w:val="hybridMultilevel"/>
    <w:lvl w:ilvl="0">
      <w:lvlJc w:val="left"/>
      <w:lvlText w:val="•"/>
      <w:numFmt w:val="bullet"/>
      <w:start w:val="1"/>
    </w:lvl>
  </w:abstractNum>
  <w:abstractNum w:abstractNumId="65">
    <w:nsid w:val="17180B0B"/>
    <w:multiLevelType w:val="hybridMultilevel"/>
    <w:lvl w:ilvl="0">
      <w:lvlJc w:val="left"/>
      <w:lvlText w:val="(%1)"/>
      <w:numFmt w:val="decimal"/>
      <w:start w:val="1"/>
    </w:lvl>
  </w:abstractNum>
  <w:abstractNum w:abstractNumId="66">
    <w:nsid w:val="579328B9"/>
    <w:multiLevelType w:val="hybridMultilevel"/>
    <w:lvl w:ilvl="0">
      <w:lvlJc w:val="left"/>
      <w:lvlText w:val="(%1)"/>
      <w:numFmt w:val="decimal"/>
      <w:start w:val="1"/>
    </w:lvl>
  </w:abstractNum>
  <w:abstractNum w:abstractNumId="67">
    <w:nsid w:val="5D205E20"/>
    <w:multiLevelType w:val="hybridMultilevel"/>
    <w:lvl w:ilvl="0">
      <w:lvlJc w:val="left"/>
      <w:lvlText w:val="(%1)"/>
      <w:numFmt w:val="decimal"/>
      <w:start w:val="1"/>
    </w:lvl>
  </w:abstractNum>
  <w:abstractNum w:abstractNumId="68">
    <w:nsid w:val="11CCA8BA"/>
    <w:multiLevelType w:val="hybridMultilevel"/>
    <w:lvl w:ilvl="0">
      <w:lvlJc w:val="left"/>
      <w:lvlText w:val="•"/>
      <w:numFmt w:val="bullet"/>
      <w:start w:val="1"/>
    </w:lvl>
  </w:abstractNum>
  <w:abstractNum w:abstractNumId="69">
    <w:nsid w:val="4D32AB86"/>
    <w:multiLevelType w:val="hybridMultilevel"/>
    <w:lvl w:ilvl="0">
      <w:lvlJc w:val="left"/>
      <w:lvlText w:val="•"/>
      <w:numFmt w:val="bullet"/>
      <w:start w:val="1"/>
    </w:lvl>
  </w:abstractNum>
  <w:abstractNum w:abstractNumId="70">
    <w:nsid w:val="3F07ACC3"/>
    <w:multiLevelType w:val="hybridMultilevel"/>
    <w:lvl w:ilvl="0">
      <w:lvlJc w:val="left"/>
      <w:lvlText w:val="•"/>
      <w:numFmt w:val="bullet"/>
      <w:start w:val="1"/>
    </w:lvl>
  </w:abstractNum>
  <w:abstractNum w:abstractNumId="71">
    <w:nsid w:val="6B47F63E"/>
    <w:multiLevelType w:val="hybridMultilevel"/>
    <w:lvl w:ilvl="0">
      <w:lvlJc w:val="left"/>
      <w:lvlText w:val="•"/>
      <w:numFmt w:val="bullet"/>
      <w:start w:val="1"/>
    </w:lvl>
  </w:abstractNum>
  <w:abstractNum w:abstractNumId="72">
    <w:nsid w:val="5CB44A05"/>
    <w:multiLevelType w:val="hybridMultilevel"/>
    <w:lvl w:ilvl="0">
      <w:lvlJc w:val="left"/>
      <w:lvlText w:val="•"/>
      <w:numFmt w:val="bullet"/>
      <w:start w:val="1"/>
    </w:lvl>
  </w:abstractNum>
  <w:abstractNum w:abstractNumId="73">
    <w:nsid w:val="16CF80F1"/>
    <w:multiLevelType w:val="hybridMultilevel"/>
    <w:lvl w:ilvl="0">
      <w:lvlJc w:val="left"/>
      <w:lvlText w:val="•"/>
      <w:numFmt w:val="bullet"/>
      <w:start w:val="1"/>
    </w:lvl>
  </w:abstractNum>
  <w:abstractNum w:abstractNumId="74">
    <w:nsid w:val="1C695DEC"/>
    <w:multiLevelType w:val="hybridMultilevel"/>
    <w:lvl w:ilvl="0">
      <w:lvlJc w:val="left"/>
      <w:lvlText w:val="•"/>
      <w:numFmt w:val="bullet"/>
      <w:start w:val="1"/>
    </w:lvl>
  </w:abstractNum>
  <w:abstractNum w:abstractNumId="75">
    <w:nsid w:val="3FCFAED9"/>
    <w:multiLevelType w:val="hybridMultilevel"/>
    <w:lvl w:ilvl="0">
      <w:lvlJc w:val="left"/>
      <w:lvlText w:val="•"/>
      <w:numFmt w:val="bullet"/>
      <w:start w:val="1"/>
    </w:lvl>
  </w:abstractNum>
  <w:abstractNum w:abstractNumId="76">
    <w:nsid w:val="F856867"/>
    <w:multiLevelType w:val="hybridMultilevel"/>
    <w:lvl w:ilvl="0">
      <w:lvlJc w:val="left"/>
      <w:lvlText w:val="•"/>
      <w:numFmt w:val="bullet"/>
      <w:start w:val="1"/>
    </w:lvl>
  </w:abstractNum>
  <w:abstractNum w:abstractNumId="77">
    <w:nsid w:val="11B1CC33"/>
    <w:multiLevelType w:val="hybridMultilevel"/>
    <w:lvl w:ilvl="0">
      <w:lvlJc w:val="left"/>
      <w:lvlText w:val="•"/>
      <w:numFmt w:val="bullet"/>
      <w:start w:val="1"/>
    </w:lvl>
  </w:abstractNum>
  <w:abstractNum w:abstractNumId="78">
    <w:nsid w:val="2E22FBB7"/>
    <w:multiLevelType w:val="hybridMultilevel"/>
    <w:lvl w:ilvl="0">
      <w:lvlJc w:val="left"/>
      <w:lvlText w:val="•"/>
      <w:numFmt w:val="bullet"/>
      <w:start w:val="1"/>
    </w:lvl>
  </w:abstractNum>
  <w:abstractNum w:abstractNumId="79">
    <w:nsid w:val="29934699"/>
    <w:multiLevelType w:val="hybridMultilevel"/>
    <w:lvl w:ilvl="0">
      <w:lvlJc w:val="left"/>
      <w:lvlText w:val="•"/>
      <w:numFmt w:val="bullet"/>
      <w:start w:val="1"/>
    </w:lvl>
  </w:abstractNum>
  <w:abstractNum w:abstractNumId="80">
    <w:nsid w:val="77485850"/>
    <w:multiLevelType w:val="hybridMultilevel"/>
    <w:lvl w:ilvl="0">
      <w:lvlJc w:val="left"/>
      <w:lvlText w:val="•"/>
      <w:numFmt w:val="bullet"/>
      <w:start w:val="1"/>
    </w:lvl>
    <w:lvl w:ilvl="1">
      <w:lvlJc w:val="left"/>
      <w:lvlText w:val="•"/>
      <w:numFmt w:val="bullet"/>
      <w:start w:val="1"/>
    </w:lvl>
  </w:abstractNum>
  <w:abstractNum w:abstractNumId="81">
    <w:nsid w:val="744939A3"/>
    <w:multiLevelType w:val="hybridMultilevel"/>
    <w:lvl w:ilvl="0">
      <w:lvlJc w:val="left"/>
      <w:lvlText w:val="•"/>
      <w:numFmt w:val="bullet"/>
      <w:start w:val="1"/>
    </w:lvl>
  </w:abstractNum>
  <w:abstractNum w:abstractNumId="82">
    <w:nsid w:val="4FA0D2E3"/>
    <w:multiLevelType w:val="hybridMultilevel"/>
    <w:lvl w:ilvl="0">
      <w:lvlJc w:val="left"/>
      <w:lvlText w:val="•"/>
      <w:numFmt w:val="bullet"/>
      <w:start w:val="1"/>
    </w:lvl>
    <w:lvl w:ilvl="1">
      <w:lvlJc w:val="left"/>
      <w:lvlText w:val="•"/>
      <w:numFmt w:val="bullet"/>
      <w:start w:val="1"/>
    </w:lvl>
  </w:abstractNum>
  <w:abstractNum w:abstractNumId="83">
    <w:nsid w:val="6B1D2C14"/>
    <w:multiLevelType w:val="hybridMultilevel"/>
    <w:lvl w:ilvl="0">
      <w:lvlJc w:val="left"/>
      <w:lvlText w:val="(%1)"/>
      <w:numFmt w:val="lowerRoman"/>
      <w:start w:val="3"/>
    </w:lvl>
  </w:abstractNum>
  <w:abstractNum w:abstractNumId="84">
    <w:nsid w:val="68B867D3"/>
    <w:multiLevelType w:val="hybridMultilevel"/>
    <w:lvl w:ilvl="0">
      <w:lvlJc w:val="left"/>
      <w:lvlText w:val="(%1)"/>
      <w:numFmt w:val="decimal"/>
      <w:start w:val="1"/>
    </w:lvl>
  </w:abstractNum>
  <w:abstractNum w:abstractNumId="85">
    <w:nsid w:val="3F7F5DD9"/>
    <w:multiLevelType w:val="hybridMultilevel"/>
    <w:lvl w:ilvl="0">
      <w:lvlJc w:val="left"/>
      <w:lvlText w:val="(%1)"/>
      <w:numFmt w:val="decimal"/>
      <w:start w:val="2"/>
    </w:lvl>
  </w:abstractNum>
  <w:abstractNum w:abstractNumId="86">
    <w:nsid w:val="2AE05A34"/>
    <w:multiLevelType w:val="hybridMultilevel"/>
    <w:lvl w:ilvl="0">
      <w:lvlJc w:val="left"/>
      <w:lvlText w:val="•"/>
      <w:numFmt w:val="bullet"/>
      <w:start w:val="1"/>
    </w:lvl>
  </w:abstractNum>
  <w:abstractNum w:abstractNumId="87">
    <w:nsid w:val="32794FF7"/>
    <w:multiLevelType w:val="hybridMultilevel"/>
    <w:lvl w:ilvl="0">
      <w:lvlJc w:val="left"/>
      <w:lvlText w:val="•"/>
      <w:numFmt w:val="bullet"/>
      <w:start w:val="1"/>
    </w:lvl>
  </w:abstractNum>
  <w:abstractNum w:abstractNumId="88">
    <w:nsid w:val="5454945E"/>
    <w:multiLevelType w:val="hybridMultilevel"/>
    <w:lvl w:ilvl="0">
      <w:lvlJc w:val="left"/>
      <w:lvlText w:val="•"/>
      <w:numFmt w:val="bullet"/>
      <w:start w:val="1"/>
    </w:lvl>
  </w:abstractNum>
  <w:abstractNum w:abstractNumId="89">
    <w:nsid w:val="4DEFDFA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0">
    <w:nsid w:val="2123D5F2"/>
    <w:multiLevelType w:val="hybridMultilevel"/>
    <w:lvl w:ilvl="0">
      <w:lvlJc w:val="left"/>
      <w:lvlText w:val="•"/>
      <w:numFmt w:val="bullet"/>
      <w:start w:val="1"/>
    </w:lvl>
  </w:abstractNum>
  <w:abstractNum w:abstractNumId="91">
    <w:nsid w:val="135B8110"/>
    <w:multiLevelType w:val="hybridMultilevel"/>
    <w:lvl w:ilvl="0">
      <w:lvlJc w:val="left"/>
      <w:lvlText w:val="•"/>
      <w:numFmt w:val="bullet"/>
      <w:start w:val="1"/>
    </w:lvl>
  </w:abstractNum>
  <w:abstractNum w:abstractNumId="92">
    <w:nsid w:val="94927A8"/>
    <w:multiLevelType w:val="hybridMultilevel"/>
    <w:lvl w:ilvl="0">
      <w:lvlJc w:val="left"/>
      <w:lvlText w:val="•"/>
      <w:numFmt w:val="bullet"/>
      <w:start w:val="1"/>
    </w:lvl>
  </w:abstractNum>
  <w:abstractNum w:abstractNumId="93">
    <w:nsid w:val="DCDF8F6"/>
    <w:multiLevelType w:val="hybridMultilevel"/>
    <w:lvl w:ilvl="0">
      <w:lvlJc w:val="left"/>
      <w:lvlText w:val="•"/>
      <w:numFmt w:val="bullet"/>
      <w:start w:val="1"/>
    </w:lvl>
  </w:abstractNum>
  <w:abstractNum w:abstractNumId="94">
    <w:nsid w:val="52D7B105"/>
    <w:multiLevelType w:val="hybridMultilevel"/>
    <w:lvl w:ilvl="0">
      <w:lvlJc w:val="left"/>
      <w:lvlText w:val="•"/>
      <w:numFmt w:val="bullet"/>
      <w:start w:val="1"/>
    </w:lvl>
  </w:abstractNum>
  <w:abstractNum w:abstractNumId="95">
    <w:nsid w:val="2E8A6394"/>
    <w:multiLevelType w:val="hybridMultilevel"/>
    <w:lvl w:ilvl="0">
      <w:lvlJc w:val="left"/>
      <w:lvlText w:val="•"/>
      <w:numFmt w:val="bullet"/>
      <w:start w:val="1"/>
    </w:lvl>
  </w:abstractNum>
  <w:abstractNum w:abstractNumId="96">
    <w:nsid w:val="24E60401"/>
    <w:multiLevelType w:val="hybridMultilevel"/>
    <w:lvl w:ilvl="0">
      <w:lvlJc w:val="left"/>
      <w:lvlText w:val="•"/>
      <w:numFmt w:val="bullet"/>
      <w:start w:val="1"/>
    </w:lvl>
  </w:abstractNum>
  <w:abstractNum w:abstractNumId="97">
    <w:nsid w:val="2A6AD9BE"/>
    <w:multiLevelType w:val="hybridMultilevel"/>
    <w:lvl w:ilvl="0">
      <w:lvlJc w:val="left"/>
      <w:lvlText w:val="•"/>
      <w:numFmt w:val="bullet"/>
      <w:start w:val="1"/>
    </w:lvl>
  </w:abstractNum>
  <w:abstractNum w:abstractNumId="98">
    <w:nsid w:val="BAAC1B4"/>
    <w:multiLevelType w:val="hybridMultilevel"/>
    <w:lvl w:ilvl="0">
      <w:lvlJc w:val="left"/>
      <w:lvlText w:val="•"/>
      <w:numFmt w:val="bullet"/>
      <w:start w:val="1"/>
    </w:lvl>
  </w:abstractNum>
  <w:abstractNum w:abstractNumId="99">
    <w:nsid w:val="36B2ACBC"/>
    <w:multiLevelType w:val="hybridMultilevel"/>
    <w:lvl w:ilvl="0">
      <w:lvlJc w:val="left"/>
      <w:lvlText w:val="•"/>
      <w:numFmt w:val="bullet"/>
      <w:start w:val="1"/>
    </w:lvl>
    <w:lvl w:ilvl="1">
      <w:lvlJc w:val="left"/>
      <w:lvlText w:val="•"/>
      <w:numFmt w:val="bullet"/>
      <w:start w:val="1"/>
    </w:lvl>
  </w:abstractNum>
  <w:abstractNum w:abstractNumId="100">
    <w:nsid w:val="779D8544"/>
    <w:multiLevelType w:val="hybridMultilevel"/>
    <w:lvl w:ilvl="0">
      <w:lvlJc w:val="left"/>
      <w:lvlText w:val="•"/>
      <w:numFmt w:val="bullet"/>
      <w:start w:val="1"/>
    </w:lvl>
    <w:lvl w:ilvl="1">
      <w:lvlJc w:val="left"/>
      <w:lvlText w:val="•"/>
      <w:numFmt w:val="bullet"/>
      <w:start w:val="1"/>
    </w:lvl>
  </w:abstractNum>
  <w:abstractNum w:abstractNumId="101">
    <w:nsid w:val="4AB26E78"/>
    <w:multiLevelType w:val="hybridMultilevel"/>
    <w:lvl w:ilvl="0">
      <w:lvlJc w:val="left"/>
      <w:lvlText w:val="•"/>
      <w:numFmt w:val="bullet"/>
      <w:start w:val="1"/>
    </w:lvl>
  </w:abstractNum>
  <w:abstractNum w:abstractNumId="102">
    <w:nsid w:val="21FAA2FA"/>
    <w:multiLevelType w:val="hybridMultilevel"/>
    <w:lvl w:ilvl="0">
      <w:lvlJc w:val="left"/>
      <w:lvlText w:val="•"/>
      <w:numFmt w:val="bullet"/>
      <w:start w:val="1"/>
    </w:lvl>
  </w:abstractNum>
  <w:abstractNum w:abstractNumId="103">
    <w:nsid w:val="5451CF49"/>
    <w:multiLevelType w:val="hybridMultilevel"/>
    <w:lvl w:ilvl="0">
      <w:lvlJc w:val="left"/>
      <w:lvlText w:val="•"/>
      <w:numFmt w:val="bullet"/>
      <w:start w:val="1"/>
    </w:lvl>
    <w:lvl w:ilvl="1">
      <w:lvlJc w:val="left"/>
      <w:lvlText w:val="•"/>
      <w:numFmt w:val="bullet"/>
      <w:start w:val="1"/>
    </w:lvl>
  </w:abstractNum>
  <w:abstractNum w:abstractNumId="104">
    <w:nsid w:val="6181EF69"/>
    <w:multiLevelType w:val="hybridMultilevel"/>
    <w:lvl w:ilvl="0">
      <w:lvlJc w:val="left"/>
      <w:lvlText w:val="•"/>
      <w:numFmt w:val="bullet"/>
      <w:start w:val="1"/>
    </w:lvl>
    <w:lvl w:ilvl="1">
      <w:lvlJc w:val="left"/>
      <w:lvlText w:val="•"/>
      <w:numFmt w:val="bullet"/>
      <w:start w:val="1"/>
    </w:lvl>
  </w:abstractNum>
  <w:abstractNum w:abstractNumId="105">
    <w:nsid w:val="3E6400E6"/>
    <w:multiLevelType w:val="hybridMultilevel"/>
    <w:lvl w:ilvl="0">
      <w:lvlJc w:val="left"/>
      <w:lvlText w:val="•"/>
      <w:numFmt w:val="bullet"/>
      <w:start w:val="1"/>
    </w:lvl>
    <w:lvl w:ilvl="1">
      <w:lvlJc w:val="left"/>
      <w:lvlText w:val="•"/>
      <w:numFmt w:val="bullet"/>
      <w:start w:val="1"/>
    </w:lvl>
  </w:abstractNum>
  <w:abstractNum w:abstractNumId="106">
    <w:nsid w:val="14217E23"/>
    <w:multiLevelType w:val="hybridMultilevel"/>
    <w:lvl w:ilvl="0">
      <w:lvlJc w:val="left"/>
      <w:lvlText w:val="(%1)"/>
      <w:numFmt w:val="lowerRoman"/>
      <w:start w:val="10"/>
    </w:lvl>
  </w:abstractNum>
  <w:abstractNum w:abstractNumId="107">
    <w:nsid w:val="710757D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8">
    <w:nsid w:val="5015CD1A"/>
    <w:multiLevelType w:val="hybridMultilevel"/>
    <w:lvl w:ilvl="0">
      <w:lvlJc w:val="left"/>
      <w:lvlText w:val="•"/>
      <w:numFmt w:val="bullet"/>
      <w:start w:val="1"/>
    </w:lvl>
    <w:lvl w:ilvl="1">
      <w:lvlJc w:val="left"/>
      <w:lvlText w:val="•"/>
      <w:numFmt w:val="bullet"/>
      <w:start w:val="1"/>
    </w:lvl>
  </w:abstractNum>
  <w:abstractNum w:abstractNumId="109">
    <w:nsid w:val="424479DA"/>
    <w:multiLevelType w:val="hybridMultilevel"/>
    <w:lvl w:ilvl="0">
      <w:lvlJc w:val="left"/>
      <w:lvlText w:val="•"/>
      <w:numFmt w:val="bullet"/>
      <w:start w:val="1"/>
    </w:lvl>
    <w:lvl w:ilvl="1">
      <w:lvlJc w:val="left"/>
      <w:lvlText w:val="•"/>
      <w:numFmt w:val="bullet"/>
      <w:start w:val="1"/>
    </w:lvl>
  </w:abstractNum>
  <w:abstractNum w:abstractNumId="110">
    <w:nsid w:val="1A9A9E69"/>
    <w:multiLevelType w:val="hybridMultilevel"/>
    <w:lvl w:ilvl="0">
      <w:lvlJc w:val="left"/>
      <w:lvlText w:val="•"/>
      <w:numFmt w:val="bullet"/>
      <w:start w:val="1"/>
    </w:lvl>
  </w:abstractNum>
  <w:abstractNum w:abstractNumId="111">
    <w:nsid w:val="475E256A"/>
    <w:multiLevelType w:val="hybridMultilevel"/>
    <w:lvl w:ilvl="0">
      <w:lvlJc w:val="left"/>
      <w:lvlText w:val="•"/>
      <w:numFmt w:val="bullet"/>
      <w:start w:val="1"/>
    </w:lvl>
    <w:lvl w:ilvl="1">
      <w:lvlJc w:val="left"/>
      <w:lvlText w:val="•"/>
      <w:numFmt w:val="bullet"/>
      <w:start w:val="1"/>
    </w:lvl>
  </w:abstractNum>
  <w:abstractNum w:abstractNumId="112">
    <w:nsid w:val="368DB37E"/>
    <w:multiLevelType w:val="hybridMultilevel"/>
    <w:lvl w:ilvl="0">
      <w:lvlJc w:val="left"/>
      <w:lvlText w:val="•"/>
      <w:numFmt w:val="bullet"/>
      <w:start w:val="1"/>
    </w:lvl>
    <w:lvl w:ilvl="1">
      <w:lvlJc w:val="left"/>
      <w:lvlText w:val="•"/>
      <w:numFmt w:val="bullet"/>
      <w:start w:val="1"/>
    </w:lvl>
  </w:abstractNum>
  <w:abstractNum w:abstractNumId="113">
    <w:nsid w:val="6A3B714C"/>
    <w:multiLevelType w:val="hybridMultilevel"/>
    <w:lvl w:ilvl="0">
      <w:lvlJc w:val="left"/>
      <w:lvlText w:val="•"/>
      <w:numFmt w:val="bullet"/>
      <w:start w:val="1"/>
    </w:lvl>
    <w:lvl w:ilvl="1">
      <w:lvlJc w:val="left"/>
      <w:lvlText w:val="•"/>
      <w:numFmt w:val="bullet"/>
      <w:start w:val="1"/>
    </w:lvl>
  </w:abstractNum>
  <w:abstractNum w:abstractNumId="114">
    <w:nsid w:val="327B517E"/>
    <w:multiLevelType w:val="hybridMultilevel"/>
    <w:lvl w:ilvl="0">
      <w:lvlJc w:val="left"/>
      <w:lvlText w:val="•"/>
      <w:numFmt w:val="bullet"/>
      <w:start w:val="1"/>
    </w:lvl>
    <w:lvl w:ilvl="1">
      <w:lvlJc w:val="left"/>
      <w:lvlText w:val="•"/>
      <w:numFmt w:val="bullet"/>
      <w:start w:val="1"/>
    </w:lvl>
  </w:abstractNum>
  <w:abstractNum w:abstractNumId="115">
    <w:nsid w:val="1F461B51"/>
    <w:multiLevelType w:val="hybridMultilevel"/>
    <w:lvl w:ilvl="0">
      <w:lvlJc w:val="left"/>
      <w:lvlText w:val="•"/>
      <w:numFmt w:val="bullet"/>
      <w:start w:val="1"/>
    </w:lvl>
  </w:abstractNum>
  <w:abstractNum w:abstractNumId="116">
    <w:nsid w:val="29BACF25"/>
    <w:multiLevelType w:val="hybridMultilevel"/>
    <w:lvl w:ilvl="0">
      <w:lvlJc w:val="left"/>
      <w:lvlText w:val="•"/>
      <w:numFmt w:val="bullet"/>
      <w:start w:val="1"/>
    </w:lvl>
  </w:abstractNum>
  <w:abstractNum w:abstractNumId="117">
    <w:nsid w:val="5D5BABB3"/>
    <w:multiLevelType w:val="hybridMultilevel"/>
    <w:lvl w:ilvl="0">
      <w:lvlJc w:val="left"/>
      <w:lvlText w:val="•"/>
      <w:numFmt w:val="bullet"/>
      <w:start w:val="1"/>
    </w:lvl>
    <w:lvl w:ilvl="1">
      <w:lvlJc w:val="left"/>
      <w:lvlText w:val="•"/>
      <w:numFmt w:val="bullet"/>
      <w:start w:val="1"/>
    </w:lvl>
  </w:abstractNum>
  <w:abstractNum w:abstractNumId="118">
    <w:nsid w:val="51BF6B48"/>
    <w:multiLevelType w:val="hybridMultilevel"/>
    <w:lvl w:ilvl="0">
      <w:lvlJc w:val="left"/>
      <w:lvlText w:val="•"/>
      <w:numFmt w:val="bullet"/>
      <w:start w:val="1"/>
    </w:lvl>
    <w:lvl w:ilvl="1">
      <w:lvlJc w:val="left"/>
      <w:lvlText w:val="•"/>
      <w:numFmt w:val="bullet"/>
      <w:start w:val="1"/>
    </w:lvl>
  </w:abstractNum>
  <w:abstractNum w:abstractNumId="119">
    <w:nsid w:val="7E0F6384"/>
    <w:multiLevelType w:val="hybridMultilevel"/>
    <w:lvl w:ilvl="0">
      <w:lvlJc w:val="left"/>
      <w:lvlText w:val="(%1)"/>
      <w:numFmt w:val="lowerRoman"/>
      <w:start w:val="1"/>
    </w:lvl>
  </w:abstractNum>
  <w:abstractNum w:abstractNumId="120">
    <w:nsid w:val="2B4B8B53"/>
    <w:multiLevelType w:val="hybridMultilevel"/>
    <w:lvl w:ilvl="0">
      <w:lvlJc w:val="left"/>
      <w:lvlText w:val="(%1)"/>
      <w:numFmt w:val="decimal"/>
      <w:start w:val="1"/>
    </w:lvl>
  </w:abstractNum>
  <w:abstractNum w:abstractNumId="121">
    <w:nsid w:val="72E3413A"/>
    <w:multiLevelType w:val="hybridMultilevel"/>
    <w:lvl w:ilvl="0">
      <w:lvlJc w:val="left"/>
      <w:lvlText w:val="(%1)"/>
      <w:numFmt w:val="decimal"/>
      <w:start w:val="2"/>
    </w:lvl>
    <w:lvl w:ilvl="1">
      <w:lvlJc w:val="left"/>
      <w:lvlText w:val="(%2)"/>
      <w:numFmt w:val="lowerRoman"/>
      <w:start w:val="1"/>
    </w:lvl>
  </w:abstractNum>
  <w:abstractNum w:abstractNumId="122">
    <w:nsid w:val="116AE494"/>
    <w:multiLevelType w:val="hybridMultilevel"/>
    <w:lvl w:ilvl="0">
      <w:lvlJc w:val="left"/>
      <w:lvlText w:val="(%1)"/>
      <w:numFmt w:val="decimal"/>
      <w:start w:val="7"/>
    </w:lvl>
  </w:abstractNum>
  <w:abstractNum w:abstractNumId="123">
    <w:nsid w:val="3494B2FB"/>
    <w:multiLevelType w:val="hybridMultilevel"/>
    <w:lvl w:ilvl="0">
      <w:lvlJc w:val="left"/>
      <w:lvlText w:val="(%1)"/>
      <w:numFmt w:val="lowerRoman"/>
      <w:start w:val="4"/>
    </w:lvl>
  </w:abstractNum>
  <w:abstractNum w:abstractNumId="124">
    <w:nsid w:val="B13A31"/>
    <w:multiLevelType w:val="hybridMultilevel"/>
    <w:lvl w:ilvl="0">
      <w:lvlJc w:val="left"/>
      <w:lvlText w:val="(%1)"/>
      <w:numFmt w:val="lowerRoman"/>
      <w:start w:val="2"/>
    </w:lvl>
  </w:abstractNum>
  <w:abstractNum w:abstractNumId="125">
    <w:nsid w:val="64429599"/>
    <w:multiLevelType w:val="hybridMultilevel"/>
    <w:lvl w:ilvl="0">
      <w:lvlJc w:val="left"/>
      <w:lvlText w:val="(%1)"/>
      <w:numFmt w:val="lowerRoman"/>
      <w:start w:val="2"/>
    </w:lvl>
  </w:abstractNum>
  <w:abstractNum w:abstractNumId="126">
    <w:nsid w:val="631F1690"/>
    <w:multiLevelType w:val="hybridMultilevel"/>
    <w:lvl w:ilvl="0">
      <w:lvlJc w:val="left"/>
      <w:lvlText w:val="(%1)"/>
      <w:numFmt w:val="decimal"/>
      <w:start w:val="1"/>
    </w:lvl>
  </w:abstractNum>
  <w:abstractNum w:abstractNumId="127">
    <w:nsid w:val="25973E32"/>
    <w:multiLevelType w:val="hybridMultilevel"/>
    <w:lvl w:ilvl="0">
      <w:lvlJc w:val="left"/>
      <w:lvlText w:val="(%1)"/>
      <w:numFmt w:val="decimal"/>
      <w:start w:val="1"/>
    </w:lvl>
  </w:abstractNum>
  <w:abstractNum w:abstractNumId="128">
    <w:nsid w:val="EAD6F57"/>
    <w:multiLevelType w:val="hybridMultilevel"/>
    <w:lvl w:ilvl="0">
      <w:lvlJc w:val="left"/>
      <w:lvlText w:val="(%1)"/>
      <w:numFmt w:val="decimal"/>
      <w:start w:val="6"/>
    </w:lvl>
  </w:abstractNum>
  <w:abstractNum w:abstractNumId="129">
    <w:nsid w:val="6EC9D844"/>
    <w:multiLevelType w:val="hybridMultilevel"/>
    <w:lvl w:ilvl="0">
      <w:lvlJc w:val="left"/>
      <w:lvlText w:val="(%1)"/>
      <w:numFmt w:val="decimal"/>
      <w:start w:val="20"/>
    </w:lvl>
  </w:abstractNum>
  <w:abstractNum w:abstractNumId="130">
    <w:nsid w:val="5C49EAEE"/>
    <w:multiLevelType w:val="hybridMultilevel"/>
    <w:lvl w:ilvl="0">
      <w:lvlJc w:val="left"/>
      <w:lvlText w:val="(%1)"/>
      <w:numFmt w:val="decimal"/>
      <w:start w:val="32"/>
    </w:lvl>
  </w:abstractNum>
  <w:abstractNum w:abstractNumId="131">
    <w:nsid w:val="64AF49B"/>
    <w:multiLevelType w:val="hybridMultilevel"/>
    <w:lvl w:ilvl="0">
      <w:lvlJc w:val="left"/>
      <w:lvlText w:val="(%1)"/>
      <w:numFmt w:val="decimal"/>
      <w:start w:val="1"/>
    </w:lvl>
  </w:abstractNum>
  <w:abstractNum w:abstractNumId="132">
    <w:nsid w:val="397C46BC"/>
    <w:multiLevelType w:val="hybridMultilevel"/>
    <w:lvl w:ilvl="0">
      <w:lvlJc w:val="left"/>
      <w:lvlText w:val="(%1)"/>
      <w:numFmt w:val="upperLetter"/>
      <w:start w:val="3"/>
    </w:lvl>
  </w:abstractNum>
  <w:abstractNum w:abstractNumId="133">
    <w:nsid w:val="7E448DE9"/>
    <w:multiLevelType w:val="hybridMultilevel"/>
    <w:lvl w:ilvl="0">
      <w:lvlJc w:val="left"/>
      <w:lvlText w:val="(%1)"/>
      <w:numFmt w:val="lowerRoman"/>
      <w:start w:val="1"/>
    </w:lvl>
  </w:abstractNum>
  <w:abstractNum w:abstractNumId="134">
    <w:nsid w:val="5A9CC3E5"/>
    <w:multiLevelType w:val="hybridMultilevel"/>
    <w:lvl w:ilvl="0">
      <w:lvlJc w:val="left"/>
      <w:lvlText w:val="(%1)"/>
      <w:numFmt w:val="lowerLetter"/>
      <w:start w:val="25"/>
    </w:lvl>
  </w:abstractNum>
  <w:abstractNum w:abstractNumId="135">
    <w:nsid w:val="1AFE3625"/>
    <w:multiLevelType w:val="hybridMultilevel"/>
    <w:lvl w:ilvl="0">
      <w:lvlJc w:val="left"/>
      <w:lvlText w:val="(%1)"/>
      <w:numFmt w:val="lowerRoman"/>
      <w:start w:val="1"/>
    </w:lvl>
  </w:abstractNum>
  <w:abstractNum w:abstractNumId="136">
    <w:nsid w:val="3CA88EC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7">
    <w:nsid w:val="6EBE420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8">
    <w:nsid w:val="C058DF5"/>
    <w:multiLevelType w:val="hybridMultilevel"/>
    <w:lvl w:ilvl="0">
      <w:lvlJc w:val="left"/>
      <w:lvlText w:val="(%1)"/>
      <w:numFmt w:val="decimal"/>
      <w:start w:val="1"/>
    </w:lvl>
  </w:abstractNum>
  <w:abstractNum w:abstractNumId="139">
    <w:nsid w:val="CBE5BE9"/>
    <w:multiLevelType w:val="hybridMultilevel"/>
    <w:lvl w:ilvl="0">
      <w:lvlJc w:val="left"/>
      <w:lvlText w:val="(%1)"/>
      <w:numFmt w:val="decimal"/>
      <w:start w:val="2"/>
    </w:lvl>
  </w:abstractNum>
  <w:abstractNum w:abstractNumId="140">
    <w:nsid w:val="3102BBE2"/>
    <w:multiLevelType w:val="hybridMultilevel"/>
    <w:lvl w:ilvl="0">
      <w:lvlJc w:val="left"/>
      <w:lvlText w:val="(%1)"/>
      <w:numFmt w:val="decimal"/>
      <w:start w:val="8"/>
    </w:lvl>
  </w:abstractNum>
  <w:abstractNum w:abstractNumId="141">
    <w:nsid w:val="26A02C5E"/>
    <w:multiLevelType w:val="hybridMultilevel"/>
    <w:lvl w:ilvl="0">
      <w:lvlJc w:val="left"/>
      <w:lvlText w:val="(%1)"/>
      <w:numFmt w:val="decimal"/>
      <w:start w:val="9"/>
    </w:lvl>
  </w:abstractNum>
  <w:abstractNum w:abstractNumId="142">
    <w:nsid w:val="541C8153"/>
    <w:multiLevelType w:val="hybridMultilevel"/>
    <w:lvl w:ilvl="0">
      <w:lvlJc w:val="left"/>
      <w:lvlText w:val="(%1)"/>
      <w:numFmt w:val="lowerRoman"/>
      <w:start w:val="1"/>
    </w:lvl>
  </w:abstractNum>
  <w:abstractNum w:abstractNumId="143">
    <w:nsid w:val="67906F60"/>
    <w:multiLevelType w:val="hybridMultilevel"/>
    <w:lvl w:ilvl="0">
      <w:lvlJc w:val="left"/>
      <w:lvlText w:val="(%1)"/>
      <w:numFmt w:val="lowerRoman"/>
      <w:start w:val="3"/>
    </w:lvl>
  </w:abstractNum>
  <w:abstractNum w:abstractNumId="144">
    <w:nsid w:val="10DB9D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5">
    <w:nsid w:val="697D2D2"/>
    <w:multiLevelType w:val="hybridMultilevel"/>
    <w:lvl w:ilvl="0">
      <w:lvlJc w:val="left"/>
      <w:lvlText w:val="(%1)"/>
      <w:numFmt w:val="decimal"/>
      <w:start w:val="1"/>
    </w:lvl>
  </w:abstractNum>
  <w:abstractNum w:abstractNumId="146">
    <w:nsid w:val="6D68AB2"/>
    <w:multiLevelType w:val="hybridMultilevel"/>
    <w:lvl w:ilvl="0">
      <w:lvlJc w:val="left"/>
      <w:lvlText w:val="(%1)"/>
      <w:numFmt w:val="decimal"/>
      <w:start w:val="5"/>
    </w:lvl>
  </w:abstractNum>
  <w:abstractNum w:abstractNumId="147">
    <w:nsid w:val="3A966CD0"/>
    <w:multiLevelType w:val="hybridMultilevel"/>
    <w:lvl w:ilvl="0">
      <w:lvlJc w:val="left"/>
      <w:lvlText w:val="(%1)"/>
      <w:numFmt w:val="lowerRoman"/>
      <w:start w:val="1"/>
    </w:lvl>
  </w:abstractNum>
  <w:abstractNum w:abstractNumId="148">
    <w:nsid w:val="63F37E85"/>
    <w:multiLevelType w:val="hybridMultilevel"/>
    <w:lvl w:ilvl="0">
      <w:lvlJc w:val="left"/>
      <w:lvlText w:val="(%1)"/>
      <w:numFmt w:val="lowerRoman"/>
      <w:start w:val="3"/>
    </w:lvl>
  </w:abstractNum>
  <w:abstractNum w:abstractNumId="149">
    <w:nsid w:val="5895F5F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0">
    <w:nsid w:val="38A5D0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1">
    <w:nsid w:val="F3F09D8"/>
    <w:multiLevelType w:val="hybridMultilevel"/>
    <w:lvl w:ilvl="0">
      <w:lvlJc w:val="left"/>
      <w:lvlText w:val="(%1)"/>
      <w:numFmt w:val="decimal"/>
      <w:start w:val="1"/>
    </w:lvl>
  </w:abstractNum>
  <w:abstractNum w:abstractNumId="152">
    <w:nsid w:val="4B793735"/>
    <w:multiLevelType w:val="hybridMultilevel"/>
    <w:lvl w:ilvl="0">
      <w:lvlJc w:val="left"/>
      <w:lvlText w:val="(%1)"/>
      <w:numFmt w:val="decimal"/>
      <w:start w:val="2"/>
    </w:lvl>
  </w:abstractNum>
  <w:abstractNum w:abstractNumId="153">
    <w:nsid w:val="4A10B4E8"/>
    <w:multiLevelType w:val="hybridMultilevel"/>
    <w:lvl w:ilvl="0">
      <w:lvlJc w:val="left"/>
      <w:lvlText w:val="(%1)"/>
      <w:numFmt w:val="decimal"/>
      <w:start w:val="10"/>
    </w:lvl>
  </w:abstractNum>
  <w:abstractNum w:abstractNumId="154">
    <w:nsid w:val="43D3BCD4"/>
    <w:multiLevelType w:val="hybridMultilevel"/>
    <w:lvl w:ilvl="0">
      <w:lvlJc w:val="left"/>
      <w:lvlText w:val="(%1)"/>
      <w:numFmt w:val="lowerLetter"/>
      <w:start w:val="25"/>
    </w:lvl>
  </w:abstractNum>
  <w:abstractNum w:abstractNumId="155">
    <w:nsid w:val="4C2A7166"/>
    <w:multiLevelType w:val="hybridMultilevel"/>
    <w:lvl w:ilvl="0">
      <w:lvlJc w:val="left"/>
      <w:lvlText w:val="(%1)"/>
      <w:numFmt w:val="lowerRoman"/>
      <w:start w:val="1"/>
    </w:lvl>
  </w:abstractNum>
  <w:abstractNum w:abstractNumId="156">
    <w:nsid w:val="2E534A82"/>
    <w:multiLevelType w:val="hybridMultilevel"/>
    <w:lvl w:ilvl="0">
      <w:lvlJc w:val="left"/>
      <w:lvlText w:val="(%1)"/>
      <w:numFmt w:val="lowerRoman"/>
      <w:start w:val="3"/>
    </w:lvl>
  </w:abstractNum>
  <w:abstractNum w:abstractNumId="157">
    <w:nsid w:val="26F2D3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8">
    <w:nsid w:val="71C1AF98"/>
    <w:multiLevelType w:val="hybridMultilevel"/>
    <w:lvl w:ilvl="0">
      <w:lvlJc w:val="left"/>
      <w:lvlText w:val="(%1)"/>
      <w:numFmt w:val="decimal"/>
      <w:start w:val="1"/>
    </w:lvl>
  </w:abstractNum>
  <w:abstractNum w:abstractNumId="159">
    <w:nsid w:val="3D00B9D9"/>
    <w:multiLevelType w:val="hybridMultilevel"/>
    <w:lvl w:ilvl="0">
      <w:lvlJc w:val="left"/>
      <w:lvlText w:val="(%1)"/>
      <w:numFmt w:val="decimal"/>
      <w:start w:val="5"/>
    </w:lvl>
  </w:abstractNum>
  <w:abstractNum w:abstractNumId="160">
    <w:nsid w:val="15BCABA8"/>
    <w:multiLevelType w:val="hybridMultilevel"/>
    <w:lvl w:ilvl="0">
      <w:lvlJc w:val="left"/>
      <w:lvlText w:val="(%1)"/>
      <w:numFmt w:val="lowerRoman"/>
      <w:start w:val="1"/>
    </w:lvl>
  </w:abstractNum>
  <w:abstractNum w:abstractNumId="161">
    <w:nsid w:val="4E0B9A87"/>
    <w:multiLevelType w:val="hybridMultilevel"/>
    <w:lvl w:ilvl="0">
      <w:lvlJc w:val="left"/>
      <w:lvlText w:val="(%1)"/>
      <w:numFmt w:val="lowerRoman"/>
      <w:start w:val="1"/>
    </w:lvl>
  </w:abstractNum>
  <w:abstractNum w:abstractNumId="162">
    <w:nsid w:val="434BAE75"/>
    <w:multiLevelType w:val="hybridMultilevel"/>
    <w:lvl w:ilvl="0">
      <w:lvlJc w:val="left"/>
      <w:lvlText w:val="(%1)"/>
      <w:numFmt w:val="lowerRoman"/>
      <w:start w:val="4"/>
    </w:lvl>
  </w:abstractNum>
  <w:abstractNum w:abstractNumId="163">
    <w:nsid w:val="4F38F26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4">
    <w:nsid w:val="4C502870"/>
    <w:multiLevelType w:val="hybridMultilevel"/>
    <w:lvl w:ilvl="0">
      <w:lvlJc w:val="left"/>
      <w:lvlText w:val="(%1)"/>
      <w:numFmt w:val="decimal"/>
      <w:start w:val="1"/>
    </w:lvl>
  </w:abstractNum>
  <w:abstractNum w:abstractNumId="165">
    <w:nsid w:val="1DE8725A"/>
    <w:multiLevelType w:val="hybridMultilevel"/>
    <w:lvl w:ilvl="0">
      <w:lvlJc w:val="left"/>
      <w:lvlText w:val="(%1)"/>
      <w:numFmt w:val="decimal"/>
      <w:start w:val="5"/>
    </w:lvl>
    <w:lvl w:ilvl="1">
      <w:lvlJc w:val="left"/>
      <w:lvlText w:val="(%2)"/>
      <w:numFmt w:val="upperLetter"/>
      <w:start w:val="2"/>
    </w:lvl>
  </w:abstractNum>
  <w:abstractNum w:abstractNumId="166">
    <w:nsid w:val="6A37288A"/>
    <w:multiLevelType w:val="hybridMultilevel"/>
    <w:lvl w:ilvl="0">
      <w:lvlJc w:val="left"/>
      <w:lvlText w:val="%1"/>
      <w:numFmt w:val="decimal"/>
      <w:start w:val="1"/>
    </w:lvl>
    <w:lvl w:ilvl="1">
      <w:lvlJc w:val="left"/>
      <w:lvlText w:val="(%2)"/>
      <w:numFmt w:val="upperLetter"/>
      <w:start w:val="1"/>
    </w:lvl>
  </w:abstractNum>
  <w:abstractNum w:abstractNumId="167">
    <w:nsid w:val="8F8B73F"/>
    <w:multiLevelType w:val="hybridMultilevel"/>
    <w:lvl w:ilvl="0">
      <w:lvlJc w:val="left"/>
      <w:lvlText w:val="(%1)"/>
      <w:numFmt w:val="decimal"/>
      <w:start w:val="9"/>
    </w:lvl>
    <w:lvl w:ilvl="1">
      <w:lvlJc w:val="left"/>
      <w:lvlText w:val="%2"/>
      <w:numFmt w:val="upperLetter"/>
      <w:start w:val="1"/>
    </w:lvl>
  </w:abstractNum>
  <w:abstractNum w:abstractNumId="168">
    <w:nsid w:val="CA6B462"/>
    <w:multiLevelType w:val="hybridMultilevel"/>
    <w:lvl w:ilvl="0">
      <w:lvlJc w:val="left"/>
      <w:lvlText w:val="(%1)"/>
      <w:numFmt w:val="decimal"/>
      <w:start w:val="1"/>
    </w:lvl>
  </w:abstractNum>
  <w:abstractNum w:abstractNumId="169">
    <w:nsid w:val="763CB680"/>
    <w:multiLevelType w:val="hybridMultilevel"/>
    <w:lvl w:ilvl="0">
      <w:lvlJc w:val="left"/>
      <w:lvlText w:val="*"/>
      <w:numFmt w:val="bullet"/>
      <w:start w:val="1"/>
    </w:lvl>
  </w:abstractNum>
  <w:abstractNum w:abstractNumId="170">
    <w:nsid w:val="15B71329"/>
    <w:multiLevelType w:val="hybridMultilevel"/>
    <w:lvl w:ilvl="0">
      <w:lvlJc w:val="left"/>
      <w:lvlText w:val="(%1)"/>
      <w:numFmt w:val="decimal"/>
      <w:start w:val="1"/>
    </w:lvl>
  </w:abstractNum>
  <w:abstractNum w:abstractNumId="171">
    <w:nsid w:val="3DA97044"/>
    <w:multiLevelType w:val="hybridMultilevel"/>
    <w:lvl w:ilvl="0">
      <w:lvlJc w:val="left"/>
      <w:lvlText w:val="%1)"/>
      <w:numFmt w:val="decimal"/>
      <w:start w:val="1"/>
    </w:lvl>
  </w:abstractNum>
  <w:abstractNum w:abstractNumId="172">
    <w:nsid w:val="1CDCE2DE"/>
    <w:multiLevelType w:val="hybridMultilevel"/>
    <w:lvl w:ilvl="0">
      <w:lvlJc w:val="left"/>
      <w:lvlText w:val="%1)"/>
      <w:numFmt w:val="decimal"/>
      <w:start w:val="7"/>
    </w:lvl>
  </w:abstractNum>
  <w:abstractNum w:abstractNumId="173">
    <w:nsid w:val="69D3947C"/>
    <w:multiLevelType w:val="hybridMultilevel"/>
    <w:lvl w:ilvl="0">
      <w:lvlJc w:val="left"/>
      <w:lvlText w:val="•"/>
      <w:numFmt w:val="bullet"/>
      <w:start w:val="1"/>
    </w:lvl>
  </w:abstractNum>
  <w:abstractNum w:abstractNumId="174">
    <w:nsid w:val="2539DFA5"/>
    <w:multiLevelType w:val="hybridMultilevel"/>
    <w:lvl w:ilvl="0">
      <w:lvlJc w:val="left"/>
      <w:lvlText w:val="•"/>
      <w:numFmt w:val="bullet"/>
      <w:start w:val="1"/>
    </w:lvl>
  </w:abstractNum>
  <w:abstractNum w:abstractNumId="175">
    <w:nsid w:val="2DB88089"/>
    <w:multiLevelType w:val="hybridMultilevel"/>
    <w:lvl w:ilvl="0">
      <w:lvlJc w:val="left"/>
      <w:lvlText w:val="(%1)"/>
      <w:numFmt w:val="lowerRoman"/>
      <w:start w:val="1"/>
    </w:lvl>
  </w:abstractNum>
  <w:abstractNum w:abstractNumId="176">
    <w:nsid w:val="706B674E"/>
    <w:multiLevelType w:val="hybridMultilevel"/>
    <w:lvl w:ilvl="0">
      <w:lvlJc w:val="left"/>
      <w:lvlText w:val="•"/>
      <w:numFmt w:val="bullet"/>
      <w:start w:val="1"/>
    </w:lvl>
  </w:abstractNum>
  <w:abstractNum w:abstractNumId="177">
    <w:nsid w:val="2C106A57"/>
    <w:multiLevelType w:val="hybridMultilevel"/>
    <w:lvl w:ilvl="0">
      <w:lvlJc w:val="left"/>
      <w:lvlText w:val="•"/>
      <w:numFmt w:val="bullet"/>
      <w:start w:val="1"/>
    </w:lvl>
  </w:abstractNum>
  <w:abstractNum w:abstractNumId="178">
    <w:nsid w:val="684EED59"/>
    <w:multiLevelType w:val="hybridMultilevel"/>
    <w:lvl w:ilvl="0">
      <w:lvlJc w:val="left"/>
      <w:lvlText w:val="•"/>
      <w:numFmt w:val="bullet"/>
      <w:start w:val="1"/>
    </w:lvl>
  </w:abstractNum>
  <w:abstractNum w:abstractNumId="179">
    <w:nsid w:val="545EE5D3"/>
    <w:multiLevelType w:val="hybridMultilevel"/>
    <w:lvl w:ilvl="0">
      <w:lvlJc w:val="left"/>
      <w:lvlText w:val="•"/>
      <w:numFmt w:val="bullet"/>
      <w:start w:val="1"/>
    </w:lvl>
  </w:abstractNum>
  <w:abstractNum w:abstractNumId="180">
    <w:nsid w:val="4A66051"/>
    <w:multiLevelType w:val="hybridMultilevel"/>
    <w:lvl w:ilvl="0">
      <w:lvlJc w:val="left"/>
      <w:lvlText w:val="•"/>
      <w:numFmt w:val="bullet"/>
      <w:start w:val="1"/>
    </w:lvl>
  </w:abstractNum>
  <w:abstractNum w:abstractNumId="181">
    <w:nsid w:val="20F4BDAD"/>
    <w:multiLevelType w:val="hybridMultilevel"/>
    <w:lvl w:ilvl="0">
      <w:lvlJc w:val="left"/>
      <w:lvlText w:val="•"/>
      <w:numFmt w:val="bullet"/>
      <w:start w:val="1"/>
    </w:lvl>
  </w:abstractNum>
  <w:abstractNum w:abstractNumId="182">
    <w:nsid w:val="639DEFAC"/>
    <w:multiLevelType w:val="hybridMultilevel"/>
    <w:lvl w:ilvl="0">
      <w:lvlJc w:val="left"/>
      <w:lvlText w:val="•"/>
      <w:numFmt w:val="bullet"/>
      <w:start w:val="1"/>
    </w:lvl>
  </w:abstractNum>
  <w:abstractNum w:abstractNumId="183">
    <w:nsid w:val="501F9786"/>
    <w:multiLevelType w:val="hybridMultilevel"/>
    <w:lvl w:ilvl="0">
      <w:lvlJc w:val="left"/>
      <w:lvlText w:val="(%1)"/>
      <w:numFmt w:val="lowerLetter"/>
      <w:start w:val="1"/>
    </w:lvl>
  </w:abstractNum>
  <w:abstractNum w:abstractNumId="184">
    <w:nsid w:val="6B057295"/>
    <w:multiLevelType w:val="hybridMultilevel"/>
    <w:lvl w:ilvl="0">
      <w:lvlJc w:val="left"/>
      <w:lvlText w:val="(%1)"/>
      <w:numFmt w:val="lowerLetter"/>
      <w:start w:val="1"/>
    </w:lvl>
  </w:abstractNum>
  <w:abstractNum w:abstractNumId="185">
    <w:nsid w:val="2771AC80"/>
    <w:multiLevelType w:val="hybridMultilevel"/>
    <w:lvl w:ilvl="0">
      <w:lvlJc w:val="left"/>
      <w:lvlText w:val="(%1)"/>
      <w:numFmt w:val="lowerRoman"/>
      <w:start w:val="1"/>
    </w:lvl>
  </w:abstractNum>
  <w:abstractNum w:abstractNumId="186">
    <w:nsid w:val="1C4A08EC"/>
    <w:multiLevelType w:val="hybridMultilevel"/>
    <w:lvl w:ilvl="0">
      <w:lvlJc w:val="left"/>
      <w:lvlText w:val="(%1)"/>
      <w:numFmt w:val="lowerLetter"/>
      <w:start w:val="1"/>
    </w:lvl>
  </w:abstractNum>
  <w:abstractNum w:abstractNumId="187">
    <w:nsid w:val="1958BD17"/>
    <w:multiLevelType w:val="hybridMultilevel"/>
    <w:lvl w:ilvl="0">
      <w:lvlJc w:val="left"/>
      <w:lvlText w:val="(%1)"/>
      <w:numFmt w:val="lowerLetter"/>
      <w:start w:val="1"/>
    </w:lvl>
  </w:abstractNum>
  <w:abstractNum w:abstractNumId="188">
    <w:nsid w:val="4E647FE4"/>
    <w:multiLevelType w:val="hybridMultilevel"/>
    <w:lvl w:ilvl="0">
      <w:lvlJc w:val="left"/>
      <w:lvlText w:val="%1."/>
      <w:numFmt w:val="decimal"/>
      <w:start w:val="1"/>
    </w:lvl>
  </w:abstractNum>
  <w:abstractNum w:abstractNumId="189">
    <w:nsid w:val="E0BB885"/>
    <w:multiLevelType w:val="hybridMultilevel"/>
    <w:lvl w:ilvl="0">
      <w:lvlJc w:val="left"/>
      <w:lvlText w:val="%1."/>
      <w:numFmt w:val="decimal"/>
      <w:start w:val="2"/>
    </w:lvl>
  </w:abstractNum>
  <w:abstractNum w:abstractNumId="190">
    <w:nsid w:val="565976F1"/>
    <w:multiLevelType w:val="hybridMultilevel"/>
    <w:lvl w:ilvl="0">
      <w:lvlJc w:val="left"/>
      <w:lvlText w:val="%1."/>
      <w:numFmt w:val="decimal"/>
      <w:start w:val="3"/>
    </w:lvl>
  </w:abstractNum>
  <w:abstractNum w:abstractNumId="191">
    <w:nsid w:val="64212B8C"/>
    <w:multiLevelType w:val="hybridMultilevel"/>
    <w:lvl w:ilvl="0">
      <w:lvlJc w:val="left"/>
      <w:lvlText w:val="(%1)"/>
      <w:numFmt w:val="decimal"/>
      <w:start w:val="1"/>
    </w:lvl>
  </w:abstractNum>
  <w:abstractNum w:abstractNumId="192">
    <w:nsid w:val="5C17530C"/>
    <w:multiLevelType w:val="hybridMultilevel"/>
    <w:lvl w:ilvl="0">
      <w:lvlJc w:val="left"/>
      <w:lvlText w:val="%1."/>
      <w:numFmt w:val="decimal"/>
      <w:start w:val="4"/>
    </w:lvl>
  </w:abstractNum>
  <w:abstractNum w:abstractNumId="193">
    <w:nsid w:val="19A52566"/>
    <w:multiLevelType w:val="hybridMultilevel"/>
    <w:lvl w:ilvl="0">
      <w:lvlJc w:val="left"/>
      <w:lvlText w:val="%1."/>
      <w:numFmt w:val="decimal"/>
      <w:start w:val="5"/>
    </w:lvl>
  </w:abstractNum>
  <w:abstractNum w:abstractNumId="194">
    <w:nsid w:val="335A1DF1"/>
    <w:multiLevelType w:val="hybridMultilevel"/>
    <w:lvl w:ilvl="0">
      <w:lvlJc w:val="left"/>
      <w:lvlText w:val="(%1)"/>
      <w:numFmt w:val="decimal"/>
      <w:start w:val="1"/>
    </w:lvl>
  </w:abstractNum>
  <w:abstractNum w:abstractNumId="195">
    <w:nsid w:val="28677B7C"/>
    <w:multiLevelType w:val="hybridMultilevel"/>
    <w:lvl w:ilvl="0">
      <w:lvlJc w:val="left"/>
      <w:lvlText w:val="%1."/>
      <w:numFmt w:val="decimal"/>
      <w:start w:val="6"/>
    </w:lvl>
  </w:abstractNum>
  <w:abstractNum w:abstractNumId="196">
    <w:nsid w:val="378D97C0"/>
    <w:multiLevelType w:val="hybridMultilevel"/>
    <w:lvl w:ilvl="0">
      <w:lvlJc w:val="left"/>
      <w:lvlText w:val="•"/>
      <w:numFmt w:val="bullet"/>
      <w:start w:val="1"/>
    </w:lvl>
  </w:abstractNum>
  <w:abstractNum w:abstractNumId="197">
    <w:nsid w:val="1D91467C"/>
    <w:multiLevelType w:val="hybridMultilevel"/>
    <w:lvl w:ilvl="0">
      <w:lvlJc w:val="left"/>
      <w:lvlText w:val="%1."/>
      <w:numFmt w:val="decimal"/>
      <w:start w:val="7"/>
    </w:lvl>
  </w:abstractNum>
  <w:abstractNum w:abstractNumId="198">
    <w:nsid w:val="316032BB"/>
    <w:multiLevelType w:val="hybridMultilevel"/>
    <w:lvl w:ilvl="0">
      <w:lvlJc w:val="left"/>
      <w:lvlText w:val="%1."/>
      <w:numFmt w:val="decimal"/>
      <w:start w:val="8"/>
    </w:lvl>
  </w:abstractNum>
  <w:abstractNum w:abstractNumId="199">
    <w:nsid w:val="44344C22"/>
    <w:multiLevelType w:val="hybridMultilevel"/>
    <w:lvl w:ilvl="0">
      <w:lvlJc w:val="left"/>
      <w:lvlText w:val="(%1)"/>
      <w:numFmt w:val="decimal"/>
      <w:start w:val="1"/>
    </w:lvl>
  </w:abstractNum>
  <w:abstractNum w:abstractNumId="200">
    <w:nsid w:val="13CDFCFC"/>
    <w:multiLevelType w:val="hybridMultilevel"/>
    <w:lvl w:ilvl="0">
      <w:lvlJc w:val="left"/>
      <w:lvlText w:val="%1."/>
      <w:numFmt w:val="decimal"/>
      <w:start w:val="9"/>
    </w:lvl>
  </w:abstractNum>
  <w:abstractNum w:abstractNumId="201">
    <w:nsid w:val="471745E4"/>
    <w:multiLevelType w:val="hybridMultilevel"/>
    <w:lvl w:ilvl="0">
      <w:lvlJc w:val="left"/>
      <w:lvlText w:val="%1."/>
      <w:numFmt w:val="decimal"/>
      <w:start w:val="10"/>
    </w:lvl>
  </w:abstractNum>
  <w:abstractNum w:abstractNumId="202">
    <w:nsid w:val="1DDBC66"/>
    <w:multiLevelType w:val="hybridMultilevel"/>
    <w:lvl w:ilvl="0">
      <w:lvlJc w:val="left"/>
      <w:lvlText w:val="%1."/>
      <w:numFmt w:val="decimal"/>
      <w:start w:val="11"/>
    </w:lvl>
  </w:abstractNum>
  <w:abstractNum w:abstractNumId="203">
    <w:nsid w:val="30AADFDA"/>
    <w:multiLevelType w:val="hybridMultilevel"/>
    <w:lvl w:ilvl="0">
      <w:lvlJc w:val="left"/>
      <w:lvlText w:val="%1."/>
      <w:numFmt w:val="decimal"/>
      <w:start w:val="12"/>
    </w:lvl>
  </w:abstractNum>
  <w:abstractNum w:abstractNumId="204">
    <w:nsid w:val="30EADA61"/>
    <w:multiLevelType w:val="hybridMultilevel"/>
    <w:lvl w:ilvl="0">
      <w:lvlJc w:val="left"/>
      <w:lvlText w:val="%1."/>
      <w:numFmt w:val="decimal"/>
      <w:start w:val="13"/>
    </w:lvl>
  </w:abstractNum>
  <w:abstractNum w:abstractNumId="205">
    <w:nsid w:val="27179C0B"/>
    <w:multiLevelType w:val="hybridMultilevel"/>
    <w:lvl w:ilvl="0">
      <w:lvlJc w:val="left"/>
      <w:lvlText w:val="%1."/>
      <w:numFmt w:val="decimal"/>
      <w:start w:val="14"/>
    </w:lvl>
  </w:abstractNum>
  <w:abstractNum w:abstractNumId="206">
    <w:nsid w:val="5E636063"/>
    <w:multiLevelType w:val="hybridMultilevel"/>
    <w:lvl w:ilvl="0">
      <w:lvlJc w:val="left"/>
      <w:lvlText w:val="%1."/>
      <w:numFmt w:val="decimal"/>
      <w:start w:val="1"/>
    </w:lvl>
  </w:abstractNum>
  <w:abstractNum w:abstractNumId="207">
    <w:nsid w:val="215641AF"/>
    <w:multiLevelType w:val="hybridMultilevel"/>
    <w:lvl w:ilvl="0">
      <w:lvlJc w:val="left"/>
      <w:lvlText w:val="%1."/>
      <w:numFmt w:val="decimal"/>
      <w:start w:val="2"/>
    </w:lvl>
  </w:abstractNum>
  <w:abstractNum w:abstractNumId="208">
    <w:nsid w:val="53280662"/>
    <w:multiLevelType w:val="hybridMultilevel"/>
    <w:lvl w:ilvl="0">
      <w:lvlJc w:val="left"/>
      <w:lvlText w:val="%1."/>
      <w:numFmt w:val="decimal"/>
      <w:start w:val="3"/>
    </w:lvl>
  </w:abstractNum>
  <w:abstractNum w:abstractNumId="209">
    <w:nsid w:val="46B24DBC"/>
    <w:multiLevelType w:val="hybridMultilevel"/>
    <w:lvl w:ilvl="0">
      <w:lvlJc w:val="left"/>
      <w:lvlText w:val="(%1)"/>
      <w:numFmt w:val="decimal"/>
      <w:start w:val="1"/>
    </w:lvl>
  </w:abstractNum>
  <w:abstractNum w:abstractNumId="210">
    <w:nsid w:val="75B52783"/>
    <w:multiLevelType w:val="hybridMultilevel"/>
    <w:lvl w:ilvl="0">
      <w:lvlJc w:val="left"/>
      <w:lvlText w:val="(%1)"/>
      <w:numFmt w:val="decimal"/>
      <w:start w:val="2"/>
    </w:lvl>
  </w:abstractNum>
  <w:abstractNum w:abstractNumId="211">
    <w:nsid w:val="57CE66B4"/>
    <w:multiLevelType w:val="hybridMultilevel"/>
    <w:lvl w:ilvl="0">
      <w:lvlJc w:val="left"/>
      <w:lvlText w:val="%1."/>
      <w:numFmt w:val="decimal"/>
      <w:start w:val="4"/>
    </w:lvl>
  </w:abstractNum>
  <w:abstractNum w:abstractNumId="212">
    <w:nsid w:val="67A70B69"/>
    <w:multiLevelType w:val="hybridMultilevel"/>
    <w:lvl w:ilvl="0">
      <w:lvlJc w:val="left"/>
      <w:lvlText w:val="(%1)"/>
      <w:numFmt w:val="decimal"/>
      <w:start w:val="1"/>
    </w:lvl>
  </w:abstractNum>
  <w:abstractNum w:abstractNumId="213">
    <w:nsid w:val="5953172F"/>
    <w:multiLevelType w:val="hybridMultilevel"/>
    <w:lvl w:ilvl="0">
      <w:lvlJc w:val="left"/>
      <w:lvlText w:val="•"/>
      <w:numFmt w:val="bullet"/>
      <w:start w:val="1"/>
    </w:lvl>
  </w:abstractNum>
  <w:abstractNum w:abstractNumId="214">
    <w:nsid w:val="27EDFE3A"/>
    <w:multiLevelType w:val="hybridMultilevel"/>
    <w:lvl w:ilvl="0">
      <w:lvlJc w:val="left"/>
      <w:lvlText w:val="%1."/>
      <w:numFmt w:val="decimal"/>
      <w:start w:val="5"/>
    </w:lvl>
  </w:abstractNum>
  <w:abstractNum w:abstractNumId="215">
    <w:nsid w:val="52AC7DFF"/>
    <w:multiLevelType w:val="hybridMultilevel"/>
    <w:lvl w:ilvl="0">
      <w:lvlJc w:val="left"/>
      <w:lvlText w:val="(%1)"/>
      <w:numFmt w:val="decimal"/>
      <w:start w:val="1"/>
    </w:lvl>
  </w:abstractNum>
  <w:abstractNum w:abstractNumId="216">
    <w:nsid w:val="C4C3AF"/>
    <w:multiLevelType w:val="hybridMultilevel"/>
    <w:lvl w:ilvl="0">
      <w:lvlJc w:val="left"/>
      <w:lvlText w:val="%1."/>
      <w:numFmt w:val="decimal"/>
      <w:start w:val="6"/>
    </w:lvl>
  </w:abstractNum>
  <w:abstractNum w:abstractNumId="217">
    <w:nsid w:val="44380727"/>
    <w:multiLevelType w:val="hybridMultilevel"/>
    <w:lvl w:ilvl="0">
      <w:lvlJc w:val="left"/>
      <w:lvlText w:val="•"/>
      <w:numFmt w:val="bullet"/>
      <w:start w:val="1"/>
    </w:lvl>
  </w:abstractNum>
  <w:abstractNum w:abstractNumId="218">
    <w:nsid w:val="6C053B16"/>
    <w:multiLevelType w:val="hybridMultilevel"/>
    <w:lvl w:ilvl="0">
      <w:lvlJc w:val="left"/>
      <w:lvlText w:val="%1."/>
      <w:numFmt w:val="decimal"/>
      <w:start w:val="7"/>
    </w:lvl>
  </w:abstractNum>
  <w:abstractNum w:abstractNumId="219">
    <w:nsid w:val="4F294393"/>
    <w:multiLevelType w:val="hybridMultilevel"/>
    <w:lvl w:ilvl="0">
      <w:lvlJc w:val="left"/>
      <w:lvlText w:val="%1."/>
      <w:numFmt w:val="decimal"/>
      <w:start w:val="8"/>
    </w:lvl>
  </w:abstractNum>
  <w:abstractNum w:abstractNumId="220">
    <w:nsid w:val="5243BFAC"/>
    <w:multiLevelType w:val="hybridMultilevel"/>
    <w:lvl w:ilvl="0">
      <w:lvlJc w:val="left"/>
      <w:lvlText w:val="%1."/>
      <w:numFmt w:val="decimal"/>
      <w:start w:val="9"/>
    </w:lvl>
  </w:abstractNum>
  <w:abstractNum w:abstractNumId="221">
    <w:nsid w:val="425EB207"/>
    <w:multiLevelType w:val="hybridMultilevel"/>
    <w:lvl w:ilvl="0">
      <w:lvlJc w:val="left"/>
      <w:lvlText w:val="%1."/>
      <w:numFmt w:val="decimal"/>
      <w:start w:val="10"/>
    </w:lvl>
  </w:abstractNum>
  <w:abstractNum w:abstractNumId="222">
    <w:nsid w:val="334A6F1F"/>
    <w:multiLevelType w:val="hybridMultilevel"/>
    <w:lvl w:ilvl="0">
      <w:lvlJc w:val="left"/>
      <w:lvlText w:val="(%1)"/>
      <w:numFmt w:val="decimal"/>
      <w:start w:val="1"/>
    </w:lvl>
  </w:abstractNum>
  <w:abstractNum w:abstractNumId="223">
    <w:nsid w:val="2E5B12B8"/>
    <w:multiLevelType w:val="hybridMultilevel"/>
    <w:lvl w:ilvl="0">
      <w:lvlJc w:val="left"/>
      <w:lvlText w:val="(%1)"/>
      <w:numFmt w:val="decimal"/>
      <w:start w:val="1"/>
    </w:lvl>
  </w:abstractNum>
  <w:abstractNum w:abstractNumId="224">
    <w:nsid w:val="5C03D76D"/>
    <w:multiLevelType w:val="hybridMultilevel"/>
    <w:lvl w:ilvl="0">
      <w:lvlJc w:val="left"/>
      <w:lvlText w:val="%1."/>
      <w:numFmt w:val="decimal"/>
      <w:start w:val="11"/>
    </w:lvl>
  </w:abstractNum>
  <w:abstractNum w:abstractNumId="225">
    <w:nsid w:val="66A48D11"/>
    <w:multiLevelType w:val="hybridMultilevel"/>
    <w:lvl w:ilvl="0">
      <w:lvlJc w:val="left"/>
      <w:lvlText w:val="%1."/>
      <w:numFmt w:val="decimal"/>
      <w:start w:val="12"/>
    </w:lvl>
  </w:abstractNum>
  <w:abstractNum w:abstractNumId="226">
    <w:nsid w:val="56C28E34"/>
    <w:multiLevelType w:val="hybridMultilevel"/>
    <w:lvl w:ilvl="0">
      <w:lvlJc w:val="left"/>
      <w:lvlText w:val="%1."/>
      <w:numFmt w:val="decimal"/>
      <w:start w:val="13"/>
    </w:lvl>
  </w:abstractNum>
  <w:abstractNum w:abstractNumId="227">
    <w:nsid w:val="13916F2D"/>
    <w:multiLevelType w:val="hybridMultilevel"/>
    <w:lvl w:ilvl="0">
      <w:lvlJc w:val="left"/>
      <w:lvlText w:val="%1."/>
      <w:numFmt w:val="decimal"/>
      <w:start w:val="14"/>
    </w:lvl>
  </w:abstractNum>
  <w:abstractNum w:abstractNumId="228">
    <w:nsid w:val="435D38D"/>
    <w:multiLevelType w:val="hybridMultilevel"/>
    <w:lvl w:ilvl="0">
      <w:lvlJc w:val="left"/>
      <w:lvlText w:val="(%1)"/>
      <w:numFmt w:val="decimal"/>
      <w:start w:val="1"/>
    </w:lvl>
  </w:abstractNum>
  <w:abstractNum w:abstractNumId="229">
    <w:nsid w:val="822C0EF"/>
    <w:multiLevelType w:val="hybridMultilevel"/>
    <w:lvl w:ilvl="0">
      <w:lvlJc w:val="left"/>
      <w:lvlText w:val="(%1)"/>
      <w:numFmt w:val="decimal"/>
      <w:start w:val="1"/>
    </w:lvl>
  </w:abstractNum>
  <w:abstractNum w:abstractNumId="230">
    <w:nsid w:val="57C5BB4F"/>
    <w:multiLevelType w:val="hybridMultilevel"/>
    <w:lvl w:ilvl="0">
      <w:lvlJc w:val="left"/>
      <w:lvlText w:val="(%1)"/>
      <w:numFmt w:val="decimal"/>
      <w:start w:val="1"/>
    </w:lvl>
  </w:abstractNum>
  <w:abstractNum w:abstractNumId="231">
    <w:nsid w:val="1803D089"/>
    <w:multiLevelType w:val="hybridMultilevel"/>
    <w:lvl w:ilvl="0">
      <w:lvlJc w:val="left"/>
      <w:lvlText w:val="%1."/>
      <w:numFmt w:val="decimal"/>
      <w:start w:val="15"/>
    </w:lvl>
  </w:abstractNum>
  <w:abstractNum w:abstractNumId="232">
    <w:nsid w:val="4F3A06D4"/>
    <w:multiLevelType w:val="hybridMultilevel"/>
    <w:lvl w:ilvl="0">
      <w:lvlJc w:val="left"/>
      <w:lvlText w:val="%1."/>
      <w:numFmt w:val="decimal"/>
      <w:start w:val="16"/>
    </w:lvl>
  </w:abstractNum>
  <w:abstractNum w:abstractNumId="233">
    <w:nsid w:val="59A377B6"/>
    <w:multiLevelType w:val="hybridMultilevel"/>
    <w:lvl w:ilvl="0">
      <w:lvlJc w:val="left"/>
      <w:lvlText w:val="%1."/>
      <w:numFmt w:val="decimal"/>
      <w:start w:val="17"/>
    </w:lvl>
  </w:abstractNum>
  <w:abstractNum w:abstractNumId="234">
    <w:nsid w:val="48AEB063"/>
    <w:multiLevelType w:val="hybridMultilevel"/>
    <w:lvl w:ilvl="0">
      <w:lvlJc w:val="left"/>
      <w:lvlText w:val="(%1)"/>
      <w:numFmt w:val="decimal"/>
      <w:start w:val="1"/>
    </w:lvl>
  </w:abstractNum>
  <w:abstractNum w:abstractNumId="235">
    <w:nsid w:val="24E135"/>
    <w:multiLevelType w:val="hybridMultilevel"/>
    <w:lvl w:ilvl="0">
      <w:lvlJc w:val="left"/>
      <w:lvlText w:val="%1."/>
      <w:numFmt w:val="decimal"/>
      <w:start w:val="18"/>
    </w:lvl>
  </w:abstractNum>
  <w:abstractNum w:abstractNumId="236">
    <w:nsid w:val="BB13C1"/>
    <w:multiLevelType w:val="hybridMultilevel"/>
    <w:lvl w:ilvl="0">
      <w:lvlJc w:val="left"/>
      <w:lvlText w:val="%1."/>
      <w:numFmt w:val="decimal"/>
      <w:start w:val="19"/>
    </w:lvl>
  </w:abstractNum>
  <w:abstractNum w:abstractNumId="237">
    <w:nsid w:val="271210C7"/>
    <w:multiLevelType w:val="hybridMultilevel"/>
    <w:lvl w:ilvl="0">
      <w:lvlJc w:val="left"/>
      <w:lvlText w:val="%1."/>
      <w:numFmt w:val="decimal"/>
      <w:start w:val="1"/>
    </w:lvl>
  </w:abstractNum>
  <w:abstractNum w:abstractNumId="238">
    <w:nsid w:val="217B22E4"/>
    <w:multiLevelType w:val="hybridMultilevel"/>
    <w:lvl w:ilvl="0">
      <w:lvlJc w:val="left"/>
      <w:lvlText w:val="%1."/>
      <w:numFmt w:val="decimal"/>
      <w:start w:val="2"/>
    </w:lvl>
  </w:abstractNum>
  <w:abstractNum w:abstractNumId="239">
    <w:nsid w:val="53E31A24"/>
    <w:multiLevelType w:val="hybridMultilevel"/>
    <w:lvl w:ilvl="0">
      <w:lvlJc w:val="left"/>
      <w:lvlText w:val="%1."/>
      <w:numFmt w:val="decimal"/>
      <w:start w:val="3"/>
    </w:lvl>
  </w:abstractNum>
  <w:abstractNum w:abstractNumId="240">
    <w:nsid w:val="6DC45E83"/>
    <w:multiLevelType w:val="hybridMultilevel"/>
    <w:lvl w:ilvl="0">
      <w:lvlJc w:val="left"/>
      <w:lvlText w:val="%1."/>
      <w:numFmt w:val="decimal"/>
      <w:start w:val="4"/>
    </w:lvl>
  </w:abstractNum>
  <w:abstractNum w:abstractNumId="241">
    <w:nsid w:val="17304A67"/>
    <w:multiLevelType w:val="hybridMultilevel"/>
    <w:lvl w:ilvl="0">
      <w:lvlJc w:val="left"/>
      <w:lvlText w:val="*"/>
      <w:numFmt w:val="bullet"/>
      <w:start w:val="1"/>
    </w:lvl>
  </w:abstractNum>
  <w:abstractNum w:abstractNumId="242">
    <w:nsid w:val="2BB180D8"/>
    <w:multiLevelType w:val="hybridMultilevel"/>
    <w:lvl w:ilvl="0">
      <w:lvlJc w:val="left"/>
      <w:lvlText w:val="$"/>
      <w:numFmt w:val="bullet"/>
      <w:start w:val="1"/>
    </w:lvl>
  </w:abstractNum>
  <w:abstractNum w:abstractNumId="243">
    <w:nsid w:val="556B69ED"/>
    <w:multiLevelType w:val="hybridMultilevel"/>
    <w:lvl w:ilvl="0">
      <w:lvlJc w:val="left"/>
      <w:lvlText w:val="$"/>
      <w:numFmt w:val="bullet"/>
      <w:start w:val="1"/>
    </w:lvl>
  </w:abstractNum>
  <w:abstractNum w:abstractNumId="244">
    <w:nsid w:val="70836196"/>
    <w:multiLevelType w:val="hybridMultilevel"/>
    <w:lvl w:ilvl="0">
      <w:lvlJc w:val="left"/>
      <w:lvlText w:val="(%1)"/>
      <w:numFmt w:val="lowerLetter"/>
      <w:start w:val="2"/>
    </w:lvl>
  </w:abstractNum>
  <w:abstractNum w:abstractNumId="245">
    <w:nsid w:val="539F7F12"/>
    <w:multiLevelType w:val="hybridMultilevel"/>
    <w:lvl w:ilvl="0">
      <w:lvlJc w:val="left"/>
      <w:lvlText w:val="(%1)"/>
      <w:numFmt w:val="decimal"/>
      <w:start w:val="1"/>
    </w:lvl>
  </w:abstractNum>
  <w:abstractNum w:abstractNumId="246">
    <w:nsid w:val="2817E7EC"/>
    <w:multiLevelType w:val="hybridMultilevel"/>
    <w:lvl w:ilvl="0">
      <w:lvlJc w:val="left"/>
      <w:lvlText w:val="(%1)"/>
      <w:numFmt w:val="upperLetter"/>
      <w:start w:val="1"/>
    </w:lvl>
  </w:abstractNum>
  <w:abstractNum w:abstractNumId="247">
    <w:nsid w:val="71482545"/>
    <w:multiLevelType w:val="hybridMultilevel"/>
    <w:lvl w:ilvl="0">
      <w:lvlJc w:val="left"/>
      <w:lvlText w:val="*"/>
      <w:numFmt w:val="bullet"/>
      <w:start w:val="1"/>
    </w:lvl>
  </w:abstractNum>
  <w:abstractNum w:abstractNumId="248">
    <w:nsid w:val="17D7863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2020-09-09T23:12:49Z</dcterms:created>
  <dcterms:modified xsi:type="dcterms:W3CDTF">2020-09-09T23:12:49Z</dcterms:modified>
</cp:coreProperties>
</file>