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9277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9277985"/>
                    </a:xfrm>
                    <a:prstGeom prst="rect">
                      <a:avLst/>
                    </a:prstGeom>
                    <a:noFill/>
                  </pic:spPr>
                </pic:pic>
              </a:graphicData>
            </a:graphic>
          </wp:anchor>
        </w:drawing>
      </w:r>
    </w:p>
    <w:p>
      <w:pPr>
        <w:spacing w:after="0" w:line="101" w:lineRule="exact"/>
        <w:rPr>
          <w:sz w:val="24"/>
          <w:szCs w:val="24"/>
          <w:color w:val="auto"/>
        </w:rPr>
      </w:pPr>
    </w:p>
    <w:p>
      <w:pPr>
        <w:sectPr>
          <w:pgSz w:w="11900" w:h="16879" w:orient="portrait"/>
          <w:cols w:equalWidth="0" w:num="2">
            <w:col w:w="2260" w:space="30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Rutherford Jamey Traywick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Academy Sports &amp; Outdoors,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68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SVP, Omnichannel</w:t>
            </w:r>
          </w:p>
        </w:tc>
        <w:tc>
          <w:tcPr>
            <w:tcW w:w="0" w:type="dxa"/>
            <w:vAlign w:val="bottom"/>
          </w:tcPr>
          <w:p>
            <w:pPr>
              <w:spacing w:after="0"/>
              <w:rPr>
                <w:sz w:val="1"/>
                <w:szCs w:val="1"/>
                <w:color w:val="auto"/>
              </w:rPr>
            </w:pPr>
          </w:p>
        </w:tc>
      </w:tr>
      <w:tr>
        <w:trPr>
          <w:trHeight w:val="217"/>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12/08/2022</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79" w:orient="portrait"/>
          <w:cols w:equalWidth="0" w:num="2">
            <w:col w:w="3700" w:space="14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8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80" w:type="dxa"/>
            <w:vAlign w:val="bottom"/>
          </w:tcPr>
          <w:p>
            <w:pPr>
              <w:jc w:val="center"/>
              <w:ind w:left="601"/>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621"/>
              <w:spacing w:after="0"/>
              <w:rPr>
                <w:sz w:val="20"/>
                <w:szCs w:val="20"/>
                <w:color w:val="auto"/>
              </w:rPr>
            </w:pPr>
            <w:r>
              <w:rPr>
                <w:rFonts w:ascii="Times New Roman" w:cs="Times New Roman" w:eastAsia="Times New Roman" w:hAnsi="Times New Roman"/>
                <w:sz w:val="17"/>
                <w:szCs w:val="17"/>
                <w:color w:val="0000FF"/>
                <w:w w:val="98"/>
              </w:rPr>
              <w:t>12/08/2022</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40,000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55.14</w:t>
            </w:r>
            <w:r>
              <w:rPr>
                <w:rFonts w:ascii="Times New Roman" w:cs="Times New Roman" w:eastAsia="Times New Roman" w:hAnsi="Times New Roman"/>
                <w:sz w:val="21"/>
                <w:szCs w:val="21"/>
                <w:color w:val="008000"/>
                <w:w w:val="93"/>
                <w:vertAlign w:val="superscript"/>
              </w:rPr>
              <w:t>(1)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36,270</w:t>
            </w:r>
            <w:r>
              <w:rPr>
                <w:rFonts w:ascii="Times New Roman" w:cs="Times New Roman" w:eastAsia="Times New Roman" w:hAnsi="Times New Roman"/>
                <w:sz w:val="21"/>
                <w:szCs w:val="21"/>
                <w:color w:val="008000"/>
                <w:w w:val="91"/>
                <w:vertAlign w:val="superscript"/>
              </w:rPr>
              <w:t>(2)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jc w:val="center"/>
              <w:ind w:left="621"/>
              <w:spacing w:after="0"/>
              <w:rPr>
                <w:sz w:val="20"/>
                <w:szCs w:val="20"/>
                <w:color w:val="auto"/>
              </w:rPr>
            </w:pPr>
            <w:r>
              <w:rPr>
                <w:rFonts w:ascii="Times New Roman" w:cs="Times New Roman" w:eastAsia="Times New Roman" w:hAnsi="Times New Roman"/>
                <w:sz w:val="17"/>
                <w:szCs w:val="17"/>
                <w:color w:val="0000FF"/>
                <w:w w:val="98"/>
              </w:rPr>
              <w:t>12/09/2022</w:t>
            </w:r>
          </w:p>
        </w:tc>
        <w:tc>
          <w:tcPr>
            <w:tcW w:w="10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9,499</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6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16.57</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45,769</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621"/>
              <w:spacing w:after="0"/>
              <w:rPr>
                <w:sz w:val="20"/>
                <w:szCs w:val="20"/>
                <w:color w:val="auto"/>
              </w:rPr>
            </w:pPr>
            <w:r>
              <w:rPr>
                <w:rFonts w:ascii="Times New Roman" w:cs="Times New Roman" w:eastAsia="Times New Roman" w:hAnsi="Times New Roman"/>
                <w:sz w:val="17"/>
                <w:szCs w:val="17"/>
                <w:color w:val="0000FF"/>
                <w:w w:val="98"/>
              </w:rPr>
              <w:t>12/09/2022</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6,799</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54.57</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38,970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621"/>
              <w:spacing w:after="0"/>
              <w:rPr>
                <w:sz w:val="20"/>
                <w:szCs w:val="20"/>
                <w:color w:val="auto"/>
              </w:rPr>
            </w:pPr>
            <w:r>
              <w:rPr>
                <w:rFonts w:ascii="Times New Roman" w:cs="Times New Roman" w:eastAsia="Times New Roman" w:hAnsi="Times New Roman"/>
                <w:sz w:val="17"/>
                <w:szCs w:val="17"/>
                <w:color w:val="0000FF"/>
                <w:w w:val="98"/>
              </w:rPr>
              <w:t>12/09/2022</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2,700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55.23</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36,270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jc w:val="center"/>
              <w:ind w:left="621"/>
              <w:spacing w:after="0"/>
              <w:rPr>
                <w:sz w:val="20"/>
                <w:szCs w:val="20"/>
                <w:color w:val="auto"/>
              </w:rPr>
            </w:pPr>
            <w:r>
              <w:rPr>
                <w:rFonts w:ascii="Times New Roman" w:cs="Times New Roman" w:eastAsia="Times New Roman" w:hAnsi="Times New Roman"/>
                <w:sz w:val="17"/>
                <w:szCs w:val="17"/>
                <w:color w:val="0000FF"/>
                <w:w w:val="98"/>
              </w:rPr>
              <w:t>12/09/2022</w:t>
            </w:r>
          </w:p>
        </w:tc>
        <w:tc>
          <w:tcPr>
            <w:tcW w:w="10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4,973</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6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26.99</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41,243</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621"/>
              <w:spacing w:after="0"/>
              <w:rPr>
                <w:sz w:val="20"/>
                <w:szCs w:val="20"/>
                <w:color w:val="auto"/>
              </w:rPr>
            </w:pPr>
            <w:r>
              <w:rPr>
                <w:rFonts w:ascii="Times New Roman" w:cs="Times New Roman" w:eastAsia="Times New Roman" w:hAnsi="Times New Roman"/>
                <w:sz w:val="17"/>
                <w:szCs w:val="17"/>
                <w:color w:val="0000FF"/>
                <w:w w:val="98"/>
              </w:rPr>
              <w:t>12/09/2022</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4,973</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53.85</w:t>
            </w:r>
            <w:r>
              <w:rPr>
                <w:rFonts w:ascii="Times New Roman" w:cs="Times New Roman" w:eastAsia="Times New Roman" w:hAnsi="Times New Roman"/>
                <w:sz w:val="21"/>
                <w:szCs w:val="21"/>
                <w:color w:val="008000"/>
                <w:w w:val="93"/>
                <w:vertAlign w:val="superscript"/>
              </w:rPr>
              <w:t>(5)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36,270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jc w:val="center"/>
              <w:ind w:left="621"/>
              <w:spacing w:after="0"/>
              <w:rPr>
                <w:sz w:val="20"/>
                <w:szCs w:val="20"/>
                <w:color w:val="auto"/>
              </w:rPr>
            </w:pPr>
            <w:r>
              <w:rPr>
                <w:rFonts w:ascii="Times New Roman" w:cs="Times New Roman" w:eastAsia="Times New Roman" w:hAnsi="Times New Roman"/>
                <w:sz w:val="17"/>
                <w:szCs w:val="17"/>
                <w:color w:val="0000FF"/>
                <w:w w:val="98"/>
              </w:rPr>
              <w:t>12/09/2022</w:t>
            </w:r>
          </w:p>
        </w:tc>
        <w:tc>
          <w:tcPr>
            <w:tcW w:w="10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19,286</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6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16.57</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55,556</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621"/>
              <w:spacing w:after="0"/>
              <w:rPr>
                <w:sz w:val="20"/>
                <w:szCs w:val="20"/>
                <w:color w:val="auto"/>
              </w:rPr>
            </w:pPr>
            <w:r>
              <w:rPr>
                <w:rFonts w:ascii="Times New Roman" w:cs="Times New Roman" w:eastAsia="Times New Roman" w:hAnsi="Times New Roman"/>
                <w:sz w:val="17"/>
                <w:szCs w:val="17"/>
                <w:color w:val="0000FF"/>
                <w:w w:val="98"/>
              </w:rPr>
              <w:t>12/09/2022</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17,186</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54.6</w:t>
            </w:r>
            <w:r>
              <w:rPr>
                <w:rFonts w:ascii="Times New Roman" w:cs="Times New Roman" w:eastAsia="Times New Roman" w:hAnsi="Times New Roman"/>
                <w:sz w:val="21"/>
                <w:szCs w:val="21"/>
                <w:color w:val="008000"/>
                <w:w w:val="89"/>
                <w:vertAlign w:val="superscript"/>
              </w:rPr>
              <w:t>(6)</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38,370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621"/>
              <w:spacing w:after="0"/>
              <w:rPr>
                <w:sz w:val="20"/>
                <w:szCs w:val="20"/>
                <w:color w:val="auto"/>
              </w:rPr>
            </w:pPr>
            <w:r>
              <w:rPr>
                <w:rFonts w:ascii="Times New Roman" w:cs="Times New Roman" w:eastAsia="Times New Roman" w:hAnsi="Times New Roman"/>
                <w:sz w:val="17"/>
                <w:szCs w:val="17"/>
                <w:color w:val="0000FF"/>
                <w:w w:val="98"/>
              </w:rPr>
              <w:t>12/09/2022</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2,100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55.13</w:t>
            </w:r>
            <w:r>
              <w:rPr>
                <w:rFonts w:ascii="Times New Roman" w:cs="Times New Roman" w:eastAsia="Times New Roman" w:hAnsi="Times New Roman"/>
                <w:sz w:val="21"/>
                <w:szCs w:val="21"/>
                <w:color w:val="008000"/>
                <w:w w:val="93"/>
                <w:vertAlign w:val="superscript"/>
              </w:rPr>
              <w:t>(7)</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36,270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jc w:val="center"/>
              <w:ind w:left="621"/>
              <w:spacing w:after="0"/>
              <w:rPr>
                <w:sz w:val="20"/>
                <w:szCs w:val="20"/>
                <w:color w:val="auto"/>
              </w:rPr>
            </w:pPr>
            <w:r>
              <w:rPr>
                <w:rFonts w:ascii="Times New Roman" w:cs="Times New Roman" w:eastAsia="Times New Roman" w:hAnsi="Times New Roman"/>
                <w:sz w:val="17"/>
                <w:szCs w:val="17"/>
                <w:color w:val="0000FF"/>
                <w:w w:val="98"/>
              </w:rPr>
              <w:t>12/09/2022</w:t>
            </w:r>
          </w:p>
        </w:tc>
        <w:tc>
          <w:tcPr>
            <w:tcW w:w="10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19,350</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6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17.3</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55,620</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621"/>
              <w:spacing w:after="0"/>
              <w:rPr>
                <w:sz w:val="20"/>
                <w:szCs w:val="20"/>
                <w:color w:val="auto"/>
              </w:rPr>
            </w:pPr>
            <w:r>
              <w:rPr>
                <w:rFonts w:ascii="Times New Roman" w:cs="Times New Roman" w:eastAsia="Times New Roman" w:hAnsi="Times New Roman"/>
                <w:sz w:val="17"/>
                <w:szCs w:val="17"/>
                <w:color w:val="0000FF"/>
                <w:w w:val="98"/>
              </w:rPr>
              <w:t>12/09/2022</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19,350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54.79</w:t>
            </w:r>
            <w:r>
              <w:rPr>
                <w:rFonts w:ascii="Times New Roman" w:cs="Times New Roman" w:eastAsia="Times New Roman" w:hAnsi="Times New Roman"/>
                <w:sz w:val="21"/>
                <w:szCs w:val="21"/>
                <w:color w:val="008000"/>
                <w:w w:val="93"/>
                <w:vertAlign w:val="superscript"/>
              </w:rPr>
              <w:t>(8)</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36,270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jc w:val="center"/>
              <w:ind w:left="621"/>
              <w:spacing w:after="0"/>
              <w:rPr>
                <w:sz w:val="20"/>
                <w:szCs w:val="20"/>
                <w:color w:val="auto"/>
              </w:rPr>
            </w:pPr>
            <w:r>
              <w:rPr>
                <w:rFonts w:ascii="Times New Roman" w:cs="Times New Roman" w:eastAsia="Times New Roman" w:hAnsi="Times New Roman"/>
                <w:sz w:val="17"/>
                <w:szCs w:val="17"/>
                <w:color w:val="0000FF"/>
                <w:w w:val="98"/>
              </w:rPr>
              <w:t>12/09/2022</w:t>
            </w:r>
          </w:p>
        </w:tc>
        <w:tc>
          <w:tcPr>
            <w:tcW w:w="10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18,915</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6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16.7</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55,185</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621"/>
              <w:spacing w:after="0"/>
              <w:rPr>
                <w:sz w:val="20"/>
                <w:szCs w:val="20"/>
                <w:color w:val="auto"/>
              </w:rPr>
            </w:pPr>
            <w:r>
              <w:rPr>
                <w:rFonts w:ascii="Times New Roman" w:cs="Times New Roman" w:eastAsia="Times New Roman" w:hAnsi="Times New Roman"/>
                <w:sz w:val="17"/>
                <w:szCs w:val="17"/>
                <w:color w:val="0000FF"/>
                <w:w w:val="98"/>
              </w:rPr>
              <w:t>12/09/2022</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18,915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54.82</w:t>
            </w:r>
            <w:r>
              <w:rPr>
                <w:rFonts w:ascii="Times New Roman" w:cs="Times New Roman" w:eastAsia="Times New Roman" w:hAnsi="Times New Roman"/>
                <w:sz w:val="21"/>
                <w:szCs w:val="21"/>
                <w:color w:val="008000"/>
                <w:w w:val="93"/>
                <w:vertAlign w:val="superscript"/>
              </w:rPr>
              <w:t>(9)</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36,270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16.57</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12/09/2022</w:t>
            </w:r>
          </w:p>
        </w:tc>
        <w:tc>
          <w:tcPr>
            <w:tcW w:w="1100" w:type="dxa"/>
            <w:vAlign w:val="bottom"/>
          </w:tcPr>
          <w:p>
            <w:pPr>
              <w:spacing w:after="0"/>
              <w:rPr>
                <w:sz w:val="12"/>
                <w:szCs w:val="12"/>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vMerge w:val="restart"/>
          </w:tcPr>
          <w:p>
            <w:pPr>
              <w:jc w:val="center"/>
              <w:ind w:left="280"/>
              <w:spacing w:after="0"/>
              <w:rPr>
                <w:sz w:val="20"/>
                <w:szCs w:val="20"/>
                <w:color w:val="auto"/>
              </w:rPr>
            </w:pPr>
            <w:r>
              <w:rPr>
                <w:rFonts w:ascii="Times New Roman" w:cs="Times New Roman" w:eastAsia="Times New Roman" w:hAnsi="Times New Roman"/>
                <w:sz w:val="13"/>
                <w:szCs w:val="13"/>
                <w:color w:val="0000FF"/>
              </w:rPr>
              <w:t>9,499</w:t>
            </w:r>
          </w:p>
        </w:tc>
        <w:tc>
          <w:tcPr>
            <w:tcW w:w="80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rPr>
              <w:t>(10)</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03/07/2029</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9,499</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16.57</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26.99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12/09/2022</w:t>
            </w:r>
          </w:p>
        </w:tc>
        <w:tc>
          <w:tcPr>
            <w:tcW w:w="1100" w:type="dxa"/>
            <w:vAlign w:val="bottom"/>
          </w:tcPr>
          <w:p>
            <w:pPr>
              <w:spacing w:after="0"/>
              <w:rPr>
                <w:sz w:val="12"/>
                <w:szCs w:val="12"/>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vMerge w:val="restart"/>
          </w:tcPr>
          <w:p>
            <w:pPr>
              <w:jc w:val="center"/>
              <w:ind w:left="280"/>
              <w:spacing w:after="0"/>
              <w:rPr>
                <w:sz w:val="20"/>
                <w:szCs w:val="20"/>
                <w:color w:val="auto"/>
              </w:rPr>
            </w:pPr>
            <w:r>
              <w:rPr>
                <w:rFonts w:ascii="Times New Roman" w:cs="Times New Roman" w:eastAsia="Times New Roman" w:hAnsi="Times New Roman"/>
                <w:sz w:val="13"/>
                <w:szCs w:val="13"/>
                <w:color w:val="0000FF"/>
              </w:rPr>
              <w:t>4,973</w:t>
            </w:r>
          </w:p>
        </w:tc>
        <w:tc>
          <w:tcPr>
            <w:tcW w:w="80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rPr>
              <w:t>(11)</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03/31/2031</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4,973</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26.99</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14,922</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16.57</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12/09/2022</w:t>
            </w:r>
          </w:p>
        </w:tc>
        <w:tc>
          <w:tcPr>
            <w:tcW w:w="110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13"/>
                <w:szCs w:val="13"/>
                <w:color w:val="0000FF"/>
              </w:rPr>
              <w:t>19,286</w:t>
            </w:r>
          </w:p>
        </w:tc>
        <w:tc>
          <w:tcPr>
            <w:tcW w:w="80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008000"/>
              </w:rPr>
              <w:t>(11)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03/07/2029</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9"/>
              <w:spacing w:after="0" w:line="194" w:lineRule="exact"/>
              <w:rPr>
                <w:sz w:val="20"/>
                <w:szCs w:val="20"/>
                <w:color w:val="auto"/>
              </w:rPr>
            </w:pPr>
            <w:r>
              <w:rPr>
                <w:rFonts w:ascii="Times New Roman" w:cs="Times New Roman" w:eastAsia="Times New Roman" w:hAnsi="Times New Roman"/>
                <w:sz w:val="17"/>
                <w:szCs w:val="17"/>
                <w:color w:val="0000FF"/>
                <w:w w:val="98"/>
              </w:rPr>
              <w:t>19,286</w:t>
            </w:r>
          </w:p>
        </w:tc>
        <w:tc>
          <w:tcPr>
            <w:tcW w:w="6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16.57</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17.3</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12/09/2022</w:t>
            </w:r>
          </w:p>
        </w:tc>
        <w:tc>
          <w:tcPr>
            <w:tcW w:w="110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13"/>
                <w:szCs w:val="13"/>
                <w:color w:val="0000FF"/>
              </w:rPr>
              <w:t>19,350</w:t>
            </w:r>
          </w:p>
        </w:tc>
        <w:tc>
          <w:tcPr>
            <w:tcW w:w="80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008000"/>
              </w:rPr>
              <w:t>(11)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03/05/2030</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9"/>
              <w:spacing w:after="0" w:line="194" w:lineRule="exact"/>
              <w:rPr>
                <w:sz w:val="20"/>
                <w:szCs w:val="20"/>
                <w:color w:val="auto"/>
              </w:rPr>
            </w:pPr>
            <w:r>
              <w:rPr>
                <w:rFonts w:ascii="Times New Roman" w:cs="Times New Roman" w:eastAsia="Times New Roman" w:hAnsi="Times New Roman"/>
                <w:sz w:val="17"/>
                <w:szCs w:val="17"/>
                <w:color w:val="0000FF"/>
                <w:w w:val="98"/>
              </w:rPr>
              <w:t>19,350</w:t>
            </w:r>
          </w:p>
        </w:tc>
        <w:tc>
          <w:tcPr>
            <w:tcW w:w="6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17.3</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16.7</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12/09/2022</w:t>
            </w:r>
          </w:p>
        </w:tc>
        <w:tc>
          <w:tcPr>
            <w:tcW w:w="110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13"/>
                <w:szCs w:val="13"/>
                <w:color w:val="0000FF"/>
              </w:rPr>
              <w:t>18,915</w:t>
            </w:r>
          </w:p>
        </w:tc>
        <w:tc>
          <w:tcPr>
            <w:tcW w:w="80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008000"/>
              </w:rPr>
              <w:t>(11)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06/22/2028</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9"/>
              <w:spacing w:after="0" w:line="194" w:lineRule="exact"/>
              <w:rPr>
                <w:sz w:val="20"/>
                <w:szCs w:val="20"/>
                <w:color w:val="auto"/>
              </w:rPr>
            </w:pPr>
            <w:r>
              <w:rPr>
                <w:rFonts w:ascii="Times New Roman" w:cs="Times New Roman" w:eastAsia="Times New Roman" w:hAnsi="Times New Roman"/>
                <w:sz w:val="17"/>
                <w:szCs w:val="17"/>
                <w:color w:val="0000FF"/>
                <w:w w:val="98"/>
              </w:rPr>
              <w:t>18,915</w:t>
            </w:r>
          </w:p>
        </w:tc>
        <w:tc>
          <w:tcPr>
            <w:tcW w:w="6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16.7</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79" w:orient="portrait"/>
          <w:cols w:equalWidth="0" w:num="1">
            <w:col w:w="11080"/>
          </w:cols>
          <w:pgMar w:left="460" w:top="217" w:right="359" w:bottom="0" w:gutter="0" w:footer="0" w:header="0"/>
          <w:type w:val="continuous"/>
        </w:sectPr>
      </w:pPr>
    </w:p>
    <w:bookmarkStart w:id="1" w:name="page2"/>
    <w:bookmarkEnd w:id="1"/>
    <w:p>
      <w:pPr>
        <w:ind w:firstLine="2"/>
        <w:spacing w:after="0" w:line="241"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$55.09 to $55.44,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Common Stock acquired under the Issuer's employee stock purchase plan.</w:t>
      </w:r>
    </w:p>
    <w:p>
      <w:pPr>
        <w:spacing w:after="0" w:line="43" w:lineRule="exact"/>
        <w:rPr>
          <w:rFonts w:ascii="Times New Roman" w:cs="Times New Roman" w:eastAsia="Times New Roman" w:hAnsi="Times New Roman"/>
          <w:sz w:val="13"/>
          <w:szCs w:val="13"/>
          <w:color w:val="008000"/>
        </w:rPr>
      </w:pPr>
    </w:p>
    <w:p>
      <w:pPr>
        <w:ind w:right="240" w:firstLine="2"/>
        <w:spacing w:after="0" w:line="241"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$54.16 to $55.155,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jc w:val="both"/>
        <w:ind w:right="240" w:firstLine="2"/>
        <w:spacing w:after="0" w:line="241"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$55.165 to $55.298,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right="240" w:firstLine="2"/>
        <w:spacing w:after="0" w:line="241"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$53.46 to $54.455,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right="240" w:firstLine="2"/>
        <w:spacing w:after="0" w:line="241"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$54.045 to $55.01,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firstLine="2"/>
        <w:spacing w:after="0" w:line="241"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$55.10 to $55.27,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jc w:val="both"/>
        <w:ind w:right="240" w:firstLine="2"/>
        <w:spacing w:after="0" w:line="241"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$54.515 to $54.815,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right="240" w:firstLine="2"/>
        <w:spacing w:after="0" w:line="241"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$54.41 to $54.855,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firstLine="2"/>
        <w:spacing w:after="0" w:line="255" w:lineRule="auto"/>
        <w:tabs>
          <w:tab w:leader="none" w:pos="19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performance-based options previously granted under the Issuer's 2011 Unit Incentive Plan, or the 2011 Equity Plan, are fully vested due to a Change of Control (as defined in the 2011 Equity Plan) that resulted from the Issuer's secondary public offering that closed on May 10, 2021.</w:t>
      </w:r>
    </w:p>
    <w:p>
      <w:pPr>
        <w:spacing w:after="0" w:line="17" w:lineRule="exact"/>
        <w:rPr>
          <w:rFonts w:ascii="Times New Roman" w:cs="Times New Roman" w:eastAsia="Times New Roman" w:hAnsi="Times New Roman"/>
          <w:sz w:val="13"/>
          <w:szCs w:val="13"/>
          <w:color w:val="008000"/>
        </w:rPr>
      </w:pPr>
    </w:p>
    <w:p>
      <w:pPr>
        <w:ind w:firstLine="2"/>
        <w:spacing w:after="0" w:line="255" w:lineRule="auto"/>
        <w:tabs>
          <w:tab w:leader="none" w:pos="18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time-based options previously granted under the Issuer's 2011 Unit Incentive Plan, or the 2011 Equity Plan, are fully vested due to a Change of Control (as defined in the 2011 Equity Plan) that resulted from the Issuer's secondary public offering that closed on May 10, 2021.</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Gary Holland,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12/12/2022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40"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52"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5678"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2022-12-12T16:49:28Z</dcterms:created>
  <dcterms:modified xsi:type="dcterms:W3CDTF">2022-12-12T16:49:28Z</dcterms:modified>
</cp:coreProperties>
</file>