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16510</wp:posOffset>
            </wp:positionV>
            <wp:extent cx="7045960" cy="49041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49041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TURNEY SHAREN J</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line="278" w:lineRule="auto"/>
        <w:rPr>
          <w:sz w:val="20"/>
          <w:szCs w:val="20"/>
          <w:color w:val="auto"/>
        </w:rPr>
      </w:pPr>
      <w:r>
        <w:rPr>
          <w:rFonts w:ascii="Arial" w:cs="Arial" w:eastAsia="Arial" w:hAnsi="Arial"/>
          <w:sz w:val="17"/>
          <w:szCs w:val="17"/>
          <w:color w:val="0000FF"/>
        </w:rPr>
        <w:t>C/O ACADEMY SPORTS AND OUTDOORS, INC.</w:t>
      </w:r>
    </w:p>
    <w:p>
      <w:pPr>
        <w:spacing w:after="0" w:line="15"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NORTH MASON ROAD</w:t>
      </w:r>
    </w:p>
    <w:p>
      <w:pPr>
        <w:spacing w:after="0" w:line="293"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7"/>
          <w:szCs w:val="17"/>
          <w:color w:val="0000FF"/>
        </w:rPr>
        <w:t>KATY</w:t>
      </w:r>
      <w:r>
        <w:rPr>
          <w:sz w:val="20"/>
          <w:szCs w:val="20"/>
          <w:color w:val="auto"/>
        </w:rPr>
        <w:tab/>
      </w:r>
      <w:r>
        <w:rPr>
          <w:rFonts w:ascii="Arial" w:cs="Arial" w:eastAsia="Arial" w:hAnsi="Arial"/>
          <w:sz w:val="17"/>
          <w:szCs w:val="17"/>
          <w:color w:val="0000FF"/>
        </w:rPr>
        <w:t>TX</w:t>
      </w:r>
      <w:r>
        <w:rPr>
          <w:sz w:val="20"/>
          <w:szCs w:val="20"/>
          <w:color w:val="auto"/>
        </w:rPr>
        <w:tab/>
      </w:r>
      <w:r>
        <w:rPr>
          <w:rFonts w:ascii="Arial" w:cs="Arial" w:eastAsia="Arial" w:hAnsi="Arial"/>
          <w:sz w:val="15"/>
          <w:szCs w:val="15"/>
          <w:color w:val="0000FF"/>
        </w:rPr>
        <w:t>77449</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8"/>
        </w:trPr>
        <w:tc>
          <w:tcPr>
            <w:tcW w:w="6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Academy Sports &amp; Outdoors,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ASO</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700" w:type="dxa"/>
            <w:vAlign w:val="bottom"/>
            <w:tcBorders>
              <w:bottom w:val="single" w:sz="8" w:color="0000EE"/>
            </w:tcBorders>
          </w:tcPr>
          <w:p>
            <w:pPr>
              <w:spacing w:after="0"/>
              <w:rPr>
                <w:sz w:val="3"/>
                <w:szCs w:val="3"/>
                <w:color w:val="auto"/>
              </w:rPr>
            </w:pPr>
          </w:p>
        </w:tc>
        <w:tc>
          <w:tcPr>
            <w:tcW w:w="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3"/>
        </w:trPr>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270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86"/>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5"/>
        </w:trPr>
        <w:tc>
          <w:tcPr>
            <w:tcW w:w="2900" w:type="dxa"/>
            <w:vAlign w:val="bottom"/>
            <w:gridSpan w:val="3"/>
          </w:tcPr>
          <w:p>
            <w:pPr>
              <w:ind w:left="60"/>
              <w:spacing w:after="0"/>
              <w:rPr>
                <w:sz w:val="20"/>
                <w:szCs w:val="20"/>
                <w:color w:val="auto"/>
              </w:rPr>
            </w:pPr>
            <w:r>
              <w:rPr>
                <w:rFonts w:ascii="Arial" w:cs="Arial" w:eastAsia="Arial" w:hAnsi="Arial"/>
                <w:sz w:val="17"/>
                <w:szCs w:val="17"/>
                <w:color w:val="0000FF"/>
              </w:rPr>
              <w:t>08/05/2021</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0"/>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1"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360" w:space="480"/>
            <w:col w:w="7240"/>
          </w:cols>
          <w:pgMar w:left="460" w:top="222" w:right="359" w:bottom="1440" w:gutter="0" w:footer="0" w:header="0"/>
          <w:type w:val="continuous"/>
        </w:sectPr>
      </w:pPr>
    </w:p>
    <w:p>
      <w:pPr>
        <w:spacing w:after="0" w:line="5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72"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52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5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0"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3"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jc w:val="right"/>
              <w:ind w:right="243"/>
              <w:spacing w:after="0"/>
              <w:rPr>
                <w:sz w:val="20"/>
                <w:szCs w:val="20"/>
                <w:color w:val="auto"/>
              </w:rPr>
            </w:pPr>
            <w:r>
              <w:rPr>
                <w:rFonts w:ascii="Arial" w:cs="Arial" w:eastAsia="Arial" w:hAnsi="Arial"/>
                <w:sz w:val="11"/>
                <w:szCs w:val="11"/>
                <w:color w:val="008000"/>
              </w:rPr>
              <w:t>(2)</w:t>
            </w: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2,870</w:t>
            </w: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5"/>
                <w:szCs w:val="5"/>
                <w:color w:val="auto"/>
              </w:rPr>
            </w:pPr>
          </w:p>
        </w:tc>
        <w:tc>
          <w:tcPr>
            <w:tcW w:w="1080" w:type="dxa"/>
            <w:vAlign w:val="bottom"/>
            <w:vMerge w:val="restart"/>
          </w:tcPr>
          <w:p>
            <w:pPr>
              <w:jc w:val="right"/>
              <w:ind w:right="180"/>
              <w:spacing w:after="0" w:line="143" w:lineRule="exact"/>
              <w:rPr>
                <w:sz w:val="20"/>
                <w:szCs w:val="20"/>
                <w:color w:val="auto"/>
              </w:rPr>
            </w:pPr>
            <w:r>
              <w:rPr>
                <w:rFonts w:ascii="Arial" w:cs="Arial" w:eastAsia="Arial" w:hAnsi="Arial"/>
                <w:sz w:val="13"/>
                <w:szCs w:val="13"/>
                <w:color w:val="0000FF"/>
              </w:rPr>
              <w:t>08/05/2021</w:t>
            </w:r>
          </w:p>
        </w:tc>
        <w:tc>
          <w:tcPr>
            <w:tcW w:w="1100" w:type="dxa"/>
            <w:vAlign w:val="bottom"/>
          </w:tcPr>
          <w:p>
            <w:pPr>
              <w:spacing w:after="0"/>
              <w:rPr>
                <w:sz w:val="5"/>
                <w:szCs w:val="5"/>
                <w:color w:val="auto"/>
              </w:rPr>
            </w:pPr>
          </w:p>
        </w:tc>
        <w:tc>
          <w:tcPr>
            <w:tcW w:w="800" w:type="dxa"/>
            <w:vAlign w:val="bottom"/>
            <w:vMerge w:val="restart"/>
          </w:tcPr>
          <w:p>
            <w:pPr>
              <w:ind w:left="180"/>
              <w:spacing w:after="0" w:line="143" w:lineRule="exact"/>
              <w:rPr>
                <w:sz w:val="20"/>
                <w:szCs w:val="20"/>
                <w:color w:val="auto"/>
              </w:rPr>
            </w:pPr>
            <w:r>
              <w:rPr>
                <w:rFonts w:ascii="Arial" w:cs="Arial" w:eastAsia="Arial" w:hAnsi="Arial"/>
                <w:sz w:val="13"/>
                <w:szCs w:val="13"/>
                <w:color w:val="0000FF"/>
              </w:rPr>
              <w:t>A</w:t>
            </w:r>
          </w:p>
        </w:tc>
        <w:tc>
          <w:tcPr>
            <w:tcW w:w="480" w:type="dxa"/>
            <w:vAlign w:val="bottom"/>
            <w:vMerge w:val="restart"/>
          </w:tcPr>
          <w:p>
            <w:pPr>
              <w:ind w:left="100"/>
              <w:spacing w:after="0" w:line="143" w:lineRule="exact"/>
              <w:rPr>
                <w:sz w:val="20"/>
                <w:szCs w:val="20"/>
                <w:color w:val="auto"/>
              </w:rPr>
            </w:pPr>
            <w:r>
              <w:rPr>
                <w:rFonts w:ascii="Arial" w:cs="Arial" w:eastAsia="Arial" w:hAnsi="Arial"/>
                <w:sz w:val="13"/>
                <w:szCs w:val="13"/>
                <w:color w:val="0000FF"/>
              </w:rPr>
              <w:t>2,870</w:t>
            </w:r>
          </w:p>
        </w:tc>
        <w:tc>
          <w:tcPr>
            <w:tcW w:w="2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2,870</w:t>
            </w:r>
          </w:p>
        </w:tc>
        <w:tc>
          <w:tcPr>
            <w:tcW w:w="740" w:type="dxa"/>
            <w:vAlign w:val="bottom"/>
            <w:vMerge w:val="restart"/>
          </w:tcPr>
          <w:p>
            <w:pPr>
              <w:ind w:left="320"/>
              <w:spacing w:after="0" w:line="143"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upon vesting to receive one share of Issuer common stock, par value $0.01 per share ("Common Stock").</w:t>
      </w:r>
    </w:p>
    <w:p>
      <w:pPr>
        <w:spacing w:after="0" w:line="45" w:lineRule="exact"/>
        <w:rPr>
          <w:rFonts w:ascii="Arial" w:cs="Arial" w:eastAsia="Arial" w:hAnsi="Arial"/>
          <w:sz w:val="13"/>
          <w:szCs w:val="13"/>
          <w:color w:val="008000"/>
        </w:rPr>
      </w:pPr>
    </w:p>
    <w:p>
      <w:pPr>
        <w:ind w:left="40" w:right="160" w:firstLine="3"/>
        <w:spacing w:after="0" w:line="241"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a grant of time-based restricted stock units that vest 100%, subject to the director's continued service with the Company, on the vesting date, on the earliest of (i) the first anniversary of the date of grant, or, if earlier, the date which is the business day immediately preceding the date of the next annual stockholders meeting, (ii) the director's termination due to death or Disability (as defined in the Company's 2020 Omnibus Incentive Plan) or (iii) a Change in Control (as defined in the Company's 2020 Omnibus Incentive Plan).</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Gary Holland, Attorney in Fact 08/05/2021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-10795</wp:posOffset>
            </wp:positionV>
            <wp:extent cx="18840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884045" cy="8255"/>
                    </a:xfrm>
                    <a:prstGeom prst="rect">
                      <a:avLst/>
                    </a:prstGeom>
                    <a:noFill/>
                  </pic:spPr>
                </pic:pic>
              </a:graphicData>
            </a:graphic>
          </wp:anchor>
        </w:drawing>
      </w:r>
    </w:p>
    <w:p>
      <w:pPr>
        <w:spacing w:after="0" w:line="5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63500"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2021-08-05T17:42:44Z</dcterms:created>
  <dcterms:modified xsi:type="dcterms:W3CDTF">2021-08-05T17:42:44Z</dcterms:modified>
</cp:coreProperties>
</file>