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Johnson Samuel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EVP, Retail Operations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207,125</w:t>
            </w:r>
            <w:r>
              <w:rPr>
                <w:rFonts w:ascii="Arial" w:cs="Arial" w:eastAsia="Arial" w:hAnsi="Arial"/>
                <w:sz w:val="25"/>
                <w:szCs w:val="25"/>
                <w:color w:val="008000"/>
                <w:w w:val="84"/>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06/06/2027</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23,457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06/06/2027</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11,728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33,228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16,614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38,572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18,998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03/05/2030</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49,757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-3305175</wp:posOffset>
            </wp:positionV>
            <wp:extent cx="6946900" cy="316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163570"/>
                    </a:xfrm>
                    <a:prstGeom prst="rect">
                      <a:avLst/>
                    </a:prstGeom>
                    <a:noFill/>
                  </pic:spPr>
                </pic:pic>
              </a:graphicData>
            </a:graphic>
          </wp:anchor>
        </w:drawing>
      </w:r>
    </w:p>
    <w:p>
      <w:pPr>
        <w:spacing w:after="0" w:line="15"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(a) 184,531 time-based restricted stock units, and (b) 17,330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June 6, 2018.</w:t>
      </w:r>
    </w:p>
    <w:p>
      <w:pPr>
        <w:spacing w:after="0" w:line="52" w:lineRule="exact"/>
        <w:rPr>
          <w:rFonts w:ascii="Arial" w:cs="Arial" w:eastAsia="Arial" w:hAnsi="Arial"/>
          <w:sz w:val="15"/>
          <w:szCs w:val="15"/>
          <w:color w:val="008000"/>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4,969 have vested, (b) 1,656 shall vest on February 3, 2021, and (c) the remaining portion shall vest in full on February 1, 2021 if certain Issuer stock price conditions are met on such date as determined by the Issuer.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April 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4,749 have vested, and (b) the remaining portion shall vest in three equal annual installments beginning on February 1,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sectPr>
          <w:pgSz w:w="11900" w:h="16838" w:orient="portrait"/>
          <w:cols w:equalWidth="0" w:num="1">
            <w:col w:w="10940"/>
          </w:cols>
          <w:pgMar w:left="480" w:top="236"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Samuel J. Johnson</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Samuel J. Johnson</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82299"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2020-10-02T20:14:14Z</dcterms:created>
  <dcterms:modified xsi:type="dcterms:W3CDTF">2020-10-02T20:14:14Z</dcterms:modified>
</cp:coreProperties>
</file>