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Group Partnership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09/17/2021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jc w:val="center"/>
              <w:ind w:right="69"/>
              <w:spacing w:after="0"/>
              <w:rPr>
                <w:sz w:val="20"/>
                <w:szCs w:val="20"/>
                <w:color w:val="auto"/>
              </w:rPr>
            </w:pPr>
            <w:r>
              <w:rPr>
                <w:rFonts w:ascii="Arial" w:cs="Arial" w:eastAsia="Arial" w:hAnsi="Arial"/>
                <w:sz w:val="12"/>
                <w:szCs w:val="12"/>
                <w:b w:val="1"/>
                <w:bCs w:val="1"/>
                <w:color w:val="auto"/>
                <w:w w:val="98"/>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0000FF"/>
                <w:w w:val="91"/>
              </w:rPr>
              <w:t>09/17/2021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7"/>
              </w:rPr>
              <w:t>3,361,282</w:t>
            </w:r>
          </w:p>
        </w:tc>
        <w:tc>
          <w:tcPr>
            <w:tcW w:w="340" w:type="dxa"/>
            <w:vAlign w:val="bottom"/>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43.52</w:t>
            </w:r>
            <w:r>
              <w:rPr>
                <w:rFonts w:ascii="Arial" w:cs="Arial" w:eastAsia="Arial" w:hAnsi="Arial"/>
                <w:sz w:val="22"/>
                <w:szCs w:val="22"/>
                <w:color w:val="008000"/>
                <w:w w:val="88"/>
                <w:vertAlign w:val="superscript"/>
              </w:rPr>
              <w:t>(1)</w:t>
            </w:r>
          </w:p>
        </w:tc>
        <w:tc>
          <w:tcPr>
            <w:tcW w:w="84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w:t>
            </w:r>
          </w:p>
        </w:tc>
        <w:tc>
          <w:tcPr>
            <w:tcW w:w="960" w:type="dxa"/>
            <w:vAlign w:val="bottom"/>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09/17/2021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6,670,127</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43.52</w:t>
            </w:r>
            <w:r>
              <w:rPr>
                <w:rFonts w:ascii="Arial" w:cs="Arial" w:eastAsia="Arial" w:hAnsi="Arial"/>
                <w:sz w:val="22"/>
                <w:szCs w:val="22"/>
                <w:color w:val="008000"/>
                <w:w w:val="88"/>
                <w:vertAlign w:val="superscript"/>
              </w:rPr>
              <w:t>(1)</w:t>
            </w:r>
          </w:p>
        </w:tc>
        <w:tc>
          <w:tcPr>
            <w:tcW w:w="840" w:type="dxa"/>
            <w:vAlign w:val="bottom"/>
            <w:tcBorders>
              <w:top w:val="single" w:sz="8" w:color="2C2C2C"/>
            </w:tcBorders>
            <w:gridSpan w:val="2"/>
            <w:vMerge w:val="restart"/>
          </w:tcPr>
          <w:p>
            <w:pPr>
              <w:ind w:left="520"/>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09/17/2021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8,614,193</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43.52</w:t>
            </w:r>
            <w:r>
              <w:rPr>
                <w:rFonts w:ascii="Arial" w:cs="Arial" w:eastAsia="Arial" w:hAnsi="Arial"/>
                <w:sz w:val="22"/>
                <w:szCs w:val="22"/>
                <w:color w:val="008000"/>
                <w:w w:val="88"/>
                <w:vertAlign w:val="superscript"/>
              </w:rPr>
              <w:t>(1)</w:t>
            </w:r>
          </w:p>
        </w:tc>
        <w:tc>
          <w:tcPr>
            <w:tcW w:w="840" w:type="dxa"/>
            <w:vAlign w:val="bottom"/>
            <w:tcBorders>
              <w:top w:val="single" w:sz="8" w:color="2C2C2C"/>
            </w:tcBorders>
            <w:gridSpan w:val="2"/>
            <w:vMerge w:val="restart"/>
          </w:tcPr>
          <w:p>
            <w:pPr>
              <w:ind w:left="520"/>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(4)(5)(6)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40" w:type="dxa"/>
            <w:vAlign w:val="bottom"/>
            <w:gridSpan w:val="14"/>
          </w:tcPr>
          <w:p>
            <w:pPr>
              <w:jc w:val="center"/>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jc w:val="center"/>
              <w:ind w:right="4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jc w:val="right"/>
              <w:ind w:right="24"/>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KKR Group Partnership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jc w:val="center"/>
              <w:ind w:right="6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jc w:val="center"/>
              <w:ind w:right="109"/>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KKR Group Holdings Corp.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jc w:val="center"/>
              <w:ind w:right="6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jc w:val="center"/>
              <w:ind w:right="109"/>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2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&amp; Co. Inc.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KKR Management LLP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KRAVIS HENRY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ROBERTS GEORGE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2800 SAND HILL ROAD, SUITE 200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$44.75 secondary public offering price per share of common stock of Academy Sports and Outdoors, Inc. ("Common Stock") less the underwriting discount of $1.230625 per share for shares sold pursuant to an underwritten public offering.</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4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0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46" w:orient="portrait"/>
          <w:cols w:equalWidth="0" w:num="1">
            <w:col w:w="10900"/>
          </w:cols>
          <w:pgMar w:left="480" w:top="110" w:right="51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6" w:orient="portrait"/>
          <w:cols w:equalWidth="0" w:num="2">
            <w:col w:w="8720" w:space="40"/>
            <w:col w:w="2140"/>
          </w:cols>
          <w:pgMar w:left="480" w:top="110"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15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4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2021-09-21T15:33:10Z</dcterms:created>
  <dcterms:modified xsi:type="dcterms:W3CDTF">2021-09-21T15:33:10Z</dcterms:modified>
</cp:coreProperties>
</file>