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23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2320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Davis Heather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SVP-Accounting Treasury Tax</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ind w:left="520"/>
              <w:spacing w:after="0"/>
              <w:rPr>
                <w:sz w:val="20"/>
                <w:szCs w:val="20"/>
                <w:color w:val="auto"/>
              </w:rPr>
            </w:pPr>
            <w:r>
              <w:rPr>
                <w:rFonts w:ascii="Times New Roman" w:cs="Times New Roman" w:eastAsia="Times New Roman" w:hAnsi="Times New Roman"/>
                <w:sz w:val="17"/>
                <w:szCs w:val="17"/>
                <w:color w:val="0000FF"/>
              </w:rPr>
              <w:t>1,693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2,125</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2,125</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2,125</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39.17</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10,173</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10,173</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10,173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2,125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2022, and will vest in four equal annual installments beginning on the date of certification by the Issuer's compensation committee and thereafter on or after the second, third and fourth anniversaries of the Vesting Commencement Date (i.e., January 30, 2022), or upon certification by the Issuer's compensation committee of achievement of certain Issuer stock price conditions as of the fourth anniversary of the Vesting Commencement Date.</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vest in four equal installments beginning on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6144"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2022-04-01T16:57:07Z</dcterms:created>
  <dcterms:modified xsi:type="dcterms:W3CDTF">2022-04-01T16:57:07Z</dcterms:modified>
</cp:coreProperties>
</file>