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January 25, 2021</w:t>
      </w:r>
    </w:p>
    <w:p>
      <w:pPr>
        <w:spacing w:after="0" w:line="4" w:lineRule="exact"/>
        <w:rPr>
          <w:sz w:val="24"/>
          <w:szCs w:val="24"/>
          <w:color w:val="auto"/>
        </w:rPr>
      </w:pPr>
    </w:p>
    <w:p>
      <w:pPr>
        <w:ind w:left="95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S-1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Academy Sports and Outdoors, Inc.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tbl>
      <w:tblPr>
        <w:tblLayout w:type="fixed"/>
        <w:tblInd w:w="140" w:type="dxa"/>
        <w:tblCellMar>
          <w:top w:w="0" w:type="dxa"/>
          <w:left w:w="0" w:type="dxa"/>
          <w:bottom w:w="0" w:type="dxa"/>
          <w:right w:w="0" w:type="dxa"/>
        </w:tblCellMar>
      </w:tblPr>
      <w:tr>
        <w:trPr>
          <w:trHeight w:val="194"/>
        </w:trPr>
        <w:tc>
          <w:tcPr>
            <w:tcW w:w="4200" w:type="dxa"/>
            <w:vAlign w:val="bottom"/>
          </w:tcPr>
          <w:p>
            <w:pPr>
              <w:jc w:val="center"/>
              <w:ind w:right="424"/>
              <w:spacing w:after="0"/>
              <w:rPr>
                <w:sz w:val="20"/>
                <w:szCs w:val="20"/>
                <w:color w:val="auto"/>
              </w:rPr>
            </w:pPr>
            <w:r>
              <w:rPr>
                <w:rFonts w:ascii="Arial" w:cs="Arial" w:eastAsia="Arial" w:hAnsi="Arial"/>
                <w:sz w:val="16"/>
                <w:szCs w:val="16"/>
                <w:b w:val="1"/>
                <w:bCs w:val="1"/>
                <w:color w:val="auto"/>
                <w:w w:val="93"/>
              </w:rPr>
              <w:t>Delaware</w:t>
            </w:r>
          </w:p>
        </w:tc>
        <w:tc>
          <w:tcPr>
            <w:tcW w:w="3400" w:type="dxa"/>
            <w:vAlign w:val="bottom"/>
          </w:tcPr>
          <w:p>
            <w:pPr>
              <w:jc w:val="center"/>
              <w:ind w:right="525"/>
              <w:spacing w:after="0"/>
              <w:rPr>
                <w:sz w:val="20"/>
                <w:szCs w:val="20"/>
                <w:color w:val="auto"/>
              </w:rPr>
            </w:pPr>
            <w:r>
              <w:rPr>
                <w:rFonts w:ascii="Arial" w:cs="Arial" w:eastAsia="Arial" w:hAnsi="Arial"/>
                <w:sz w:val="16"/>
                <w:szCs w:val="16"/>
                <w:b w:val="1"/>
                <w:bCs w:val="1"/>
                <w:color w:val="auto"/>
                <w:w w:val="89"/>
              </w:rPr>
              <w:t>5940</w:t>
            </w:r>
          </w:p>
        </w:tc>
        <w:tc>
          <w:tcPr>
            <w:tcW w:w="2200" w:type="dxa"/>
            <w:vAlign w:val="bottom"/>
          </w:tcPr>
          <w:p>
            <w:pPr>
              <w:jc w:val="center"/>
              <w:ind w:left="985"/>
              <w:spacing w:after="0"/>
              <w:rPr>
                <w:sz w:val="20"/>
                <w:szCs w:val="20"/>
                <w:color w:val="auto"/>
              </w:rPr>
            </w:pPr>
            <w:r>
              <w:rPr>
                <w:rFonts w:ascii="Arial" w:cs="Arial" w:eastAsia="Arial" w:hAnsi="Arial"/>
                <w:sz w:val="16"/>
                <w:szCs w:val="16"/>
                <w:b w:val="1"/>
                <w:bCs w:val="1"/>
                <w:color w:val="auto"/>
                <w:w w:val="91"/>
              </w:rPr>
              <w:t>85-1800912</w:t>
            </w:r>
          </w:p>
        </w:tc>
      </w:tr>
      <w:tr>
        <w:trPr>
          <w:trHeight w:val="148"/>
        </w:trPr>
        <w:tc>
          <w:tcPr>
            <w:tcW w:w="4200" w:type="dxa"/>
            <w:vAlign w:val="bottom"/>
          </w:tcPr>
          <w:p>
            <w:pPr>
              <w:jc w:val="center"/>
              <w:ind w:right="424"/>
              <w:spacing w:after="0" w:line="149" w:lineRule="exact"/>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400" w:type="dxa"/>
            <w:vAlign w:val="bottom"/>
          </w:tcPr>
          <w:p>
            <w:pPr>
              <w:jc w:val="center"/>
              <w:ind w:right="52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200" w:type="dxa"/>
            <w:vAlign w:val="bottom"/>
          </w:tcPr>
          <w:p>
            <w:pPr>
              <w:spacing w:after="0"/>
              <w:rPr>
                <w:sz w:val="16"/>
                <w:szCs w:val="16"/>
                <w:color w:val="auto"/>
              </w:rPr>
            </w:pPr>
          </w:p>
        </w:tc>
        <w:tc>
          <w:tcPr>
            <w:tcW w:w="3400" w:type="dxa"/>
            <w:vAlign w:val="bottom"/>
          </w:tcPr>
          <w:p>
            <w:pPr>
              <w:jc w:val="center"/>
              <w:ind w:right="525"/>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1800 North Mason Road</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Katy, Texas 77449</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(281) 646-5200</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Rene G. Casares, Esq.</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Senior Vice President and General Counsel</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1800 North Mason Road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Katy, Texas 77449</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(281) 646-5200</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tbl>
      <w:tblPr>
        <w:tblLayout w:type="fixed"/>
        <w:tblInd w:w="186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4740" w:type="dxa"/>
            <w:vAlign w:val="bottom"/>
          </w:tcPr>
          <w:p>
            <w:pPr>
              <w:ind w:left="62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151"/>
        </w:trPr>
        <w:tc>
          <w:tcPr>
            <w:tcW w:w="2700" w:type="dxa"/>
            <w:vAlign w:val="bottom"/>
          </w:tcPr>
          <w:p>
            <w:pPr>
              <w:jc w:val="center"/>
              <w:ind w:right="548"/>
              <w:spacing w:after="0" w:line="151" w:lineRule="exact"/>
              <w:rPr>
                <w:sz w:val="20"/>
                <w:szCs w:val="20"/>
                <w:color w:val="auto"/>
              </w:rPr>
            </w:pPr>
            <w:r>
              <w:rPr>
                <w:rFonts w:ascii="Arial" w:cs="Arial" w:eastAsia="Arial" w:hAnsi="Arial"/>
                <w:sz w:val="14"/>
                <w:szCs w:val="14"/>
                <w:b w:val="1"/>
                <w:bCs w:val="1"/>
                <w:color w:val="auto"/>
                <w:w w:val="92"/>
              </w:rPr>
              <w:t>Joseph H. Kaufman, Esq.</w:t>
            </w:r>
          </w:p>
        </w:tc>
        <w:tc>
          <w:tcPr>
            <w:tcW w:w="4740" w:type="dxa"/>
            <w:vAlign w:val="bottom"/>
          </w:tcPr>
          <w:p>
            <w:pPr>
              <w:jc w:val="center"/>
              <w:ind w:left="2988"/>
              <w:spacing w:after="0" w:line="151" w:lineRule="exact"/>
              <w:rPr>
                <w:sz w:val="20"/>
                <w:szCs w:val="20"/>
                <w:color w:val="auto"/>
              </w:rPr>
            </w:pPr>
            <w:r>
              <w:rPr>
                <w:rFonts w:ascii="Arial" w:cs="Arial" w:eastAsia="Arial" w:hAnsi="Arial"/>
                <w:sz w:val="14"/>
                <w:szCs w:val="14"/>
                <w:b w:val="1"/>
                <w:bCs w:val="1"/>
                <w:color w:val="auto"/>
                <w:w w:val="96"/>
              </w:rPr>
              <w:t>Marc D. Jaffe, Esq.</w:t>
            </w:r>
          </w:p>
        </w:tc>
      </w:tr>
      <w:tr>
        <w:trPr>
          <w:trHeight w:val="148"/>
        </w:trPr>
        <w:tc>
          <w:tcPr>
            <w:tcW w:w="270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1"/>
              </w:rPr>
              <w:t>Sunny Cheong, Esq.</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2"/>
              </w:rPr>
              <w:t>Ian D. Schuman, Esq.</w:t>
            </w:r>
          </w:p>
        </w:tc>
      </w:tr>
      <w:tr>
        <w:trPr>
          <w:trHeight w:val="149"/>
        </w:trPr>
        <w:tc>
          <w:tcPr>
            <w:tcW w:w="270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5"/>
              </w:rPr>
              <w:t>Simpson Thacher &amp; Bartlett LLP</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rPr>
              <w:t>Latham &amp; Watkins LLP</w:t>
            </w:r>
          </w:p>
        </w:tc>
      </w:tr>
      <w:tr>
        <w:trPr>
          <w:trHeight w:val="148"/>
        </w:trPr>
        <w:tc>
          <w:tcPr>
            <w:tcW w:w="270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1"/>
              </w:rPr>
              <w:t>425 Lexington Avenue</w:t>
            </w:r>
          </w:p>
        </w:tc>
        <w:tc>
          <w:tcPr>
            <w:tcW w:w="47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4"/>
              </w:rPr>
              <w:t>885 Third Avenue</w:t>
            </w:r>
          </w:p>
        </w:tc>
      </w:tr>
      <w:tr>
        <w:trPr>
          <w:trHeight w:val="149"/>
        </w:trPr>
        <w:tc>
          <w:tcPr>
            <w:tcW w:w="270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4"/>
              </w:rPr>
              <w:t>New York, New York 10022</w:t>
            </w:r>
          </w:p>
        </w:tc>
      </w:tr>
      <w:tr>
        <w:trPr>
          <w:trHeight w:val="186"/>
        </w:trPr>
        <w:tc>
          <w:tcPr>
            <w:tcW w:w="2700" w:type="dxa"/>
            <w:vAlign w:val="bottom"/>
          </w:tcPr>
          <w:p>
            <w:pPr>
              <w:jc w:val="center"/>
              <w:ind w:right="568"/>
              <w:spacing w:after="0"/>
              <w:rPr>
                <w:sz w:val="20"/>
                <w:szCs w:val="20"/>
                <w:color w:val="auto"/>
              </w:rPr>
            </w:pPr>
            <w:r>
              <w:rPr>
                <w:rFonts w:ascii="Arial" w:cs="Arial" w:eastAsia="Arial" w:hAnsi="Arial"/>
                <w:sz w:val="14"/>
                <w:szCs w:val="14"/>
                <w:b w:val="1"/>
                <w:bCs w:val="1"/>
                <w:color w:val="auto"/>
                <w:w w:val="93"/>
              </w:rPr>
              <w:t>(212) 455-2000</w:t>
            </w:r>
          </w:p>
        </w:tc>
        <w:tc>
          <w:tcPr>
            <w:tcW w:w="4740" w:type="dxa"/>
            <w:vAlign w:val="bottom"/>
          </w:tcPr>
          <w:p>
            <w:pPr>
              <w:jc w:val="center"/>
              <w:ind w:left="2968"/>
              <w:spacing w:after="0"/>
              <w:rPr>
                <w:sz w:val="20"/>
                <w:szCs w:val="20"/>
                <w:color w:val="auto"/>
              </w:rPr>
            </w:pPr>
            <w:r>
              <w:rPr>
                <w:rFonts w:ascii="Arial" w:cs="Arial" w:eastAsia="Arial" w:hAnsi="Arial"/>
                <w:sz w:val="14"/>
                <w:szCs w:val="14"/>
                <w:b w:val="1"/>
                <w:bCs w:val="1"/>
                <w:color w:val="auto"/>
                <w:w w:val="93"/>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1"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25"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2" w:lineRule="exact"/>
        <w:rPr>
          <w:sz w:val="24"/>
          <w:szCs w:val="24"/>
          <w:color w:val="auto"/>
        </w:rPr>
      </w:pPr>
    </w:p>
    <w:p>
      <w:pPr>
        <w:ind w:left="120" w:right="340"/>
        <w:spacing w:after="0" w:line="17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6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68"/>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5"/>
        </w:trPr>
        <w:tc>
          <w:tcPr>
            <w:tcW w:w="1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3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24" w:lineRule="exact"/>
        <w:rPr>
          <w:sz w:val="24"/>
          <w:szCs w:val="24"/>
          <w:color w:val="auto"/>
        </w:rPr>
      </w:pPr>
    </w:p>
    <w:tbl>
      <w:tblPr>
        <w:tblLayout w:type="fixed"/>
        <w:tblInd w:w="120" w:type="dxa"/>
        <w:tblCellMar>
          <w:top w:w="0" w:type="dxa"/>
          <w:left w:w="0" w:type="dxa"/>
          <w:bottom w:w="0" w:type="dxa"/>
          <w:right w:w="0" w:type="dxa"/>
        </w:tblCellMar>
      </w:tblPr>
      <w:tr>
        <w:trPr>
          <w:trHeight w:val="146"/>
        </w:trPr>
        <w:tc>
          <w:tcPr>
            <w:tcW w:w="3560" w:type="dxa"/>
            <w:vAlign w:val="bottom"/>
            <w:tcBorders>
              <w:top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vMerge w:val="restart"/>
          </w:tcPr>
          <w:p>
            <w:pPr>
              <w:jc w:val="center"/>
              <w:ind w:left="7"/>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top w:val="single" w:sz="8" w:color="auto"/>
              <w:right w:val="single" w:sz="8" w:color="auto"/>
            </w:tcBorders>
            <w:vMerge w:val="restart"/>
          </w:tcPr>
          <w:p>
            <w:pPr>
              <w:jc w:val="center"/>
              <w:ind w:left="7"/>
              <w:spacing w:after="0"/>
              <w:rPr>
                <w:sz w:val="20"/>
                <w:szCs w:val="20"/>
                <w:color w:val="auto"/>
              </w:rPr>
            </w:pPr>
            <w:r>
              <w:rPr>
                <w:rFonts w:ascii="Arial" w:cs="Arial" w:eastAsia="Arial" w:hAnsi="Arial"/>
                <w:sz w:val="14"/>
                <w:szCs w:val="14"/>
                <w:b w:val="1"/>
                <w:bCs w:val="1"/>
                <w:color w:val="auto"/>
                <w:w w:val="89"/>
              </w:rPr>
              <w:t>Proposed</w:t>
            </w:r>
          </w:p>
        </w:tc>
        <w:tc>
          <w:tcPr>
            <w:tcW w:w="1860" w:type="dxa"/>
            <w:vAlign w:val="bottom"/>
            <w:tcBorders>
              <w:top w:val="single" w:sz="8" w:color="auto"/>
              <w:right w:val="single" w:sz="8" w:color="auto"/>
            </w:tcBorders>
          </w:tcPr>
          <w:p>
            <w:pPr>
              <w:jc w:val="center"/>
              <w:ind w:left="7"/>
              <w:spacing w:after="0" w:line="147" w:lineRule="exact"/>
              <w:rPr>
                <w:sz w:val="20"/>
                <w:szCs w:val="20"/>
                <w:color w:val="auto"/>
              </w:rPr>
            </w:pPr>
            <w:r>
              <w:rPr>
                <w:rFonts w:ascii="Arial" w:cs="Arial" w:eastAsia="Arial" w:hAnsi="Arial"/>
                <w:sz w:val="14"/>
                <w:szCs w:val="14"/>
                <w:b w:val="1"/>
                <w:bCs w:val="1"/>
                <w:color w:val="auto"/>
                <w:w w:val="89"/>
              </w:rPr>
              <w:t>Proposed</w:t>
            </w:r>
          </w:p>
        </w:tc>
        <w:tc>
          <w:tcPr>
            <w:tcW w:w="1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jc w:val="right"/>
              <w:ind w:right="1067"/>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right w:val="single" w:sz="8" w:color="auto"/>
            </w:tcBorders>
          </w:tcPr>
          <w:p>
            <w:pPr>
              <w:jc w:val="right"/>
              <w:ind w:right="907"/>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8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w:t>
            </w:r>
          </w:p>
        </w:tc>
        <w:tc>
          <w:tcPr>
            <w:tcW w:w="18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6"/>
              </w:rPr>
              <w:t>Offering Price</w:t>
            </w:r>
            <w:r>
              <w:rPr>
                <w:rFonts w:ascii="Arial" w:cs="Arial" w:eastAsia="Arial" w:hAnsi="Arial"/>
                <w:sz w:val="12"/>
                <w:szCs w:val="12"/>
                <w:b w:val="1"/>
                <w:bCs w:val="1"/>
                <w:color w:val="auto"/>
                <w:w w:val="96"/>
              </w:rPr>
              <w:t>(1)(2)</w:t>
            </w:r>
          </w:p>
        </w:tc>
        <w:tc>
          <w:tcPr>
            <w:tcW w:w="186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right w:val="single" w:sz="8" w:color="auto"/>
            </w:tcBorders>
          </w:tcPr>
          <w:p>
            <w:pPr>
              <w:jc w:val="right"/>
              <w:ind w:right="927"/>
              <w:spacing w:after="0" w:line="156" w:lineRule="exact"/>
              <w:rPr>
                <w:sz w:val="20"/>
                <w:szCs w:val="20"/>
                <w:color w:val="auto"/>
              </w:rPr>
            </w:pPr>
            <w:r>
              <w:rPr>
                <w:rFonts w:ascii="Arial" w:cs="Arial" w:eastAsia="Arial" w:hAnsi="Arial"/>
                <w:sz w:val="15"/>
                <w:szCs w:val="15"/>
                <w:color w:val="auto"/>
                <w:w w:val="90"/>
              </w:rPr>
              <w:t>Common Stock, $0.01 par value per share</w:t>
            </w:r>
          </w:p>
        </w:tc>
        <w:tc>
          <w:tcPr>
            <w:tcW w:w="1880" w:type="dxa"/>
            <w:vAlign w:val="bottom"/>
            <w:tcBorders>
              <w:bottom w:val="single" w:sz="8" w:color="auto"/>
              <w:right w:val="single" w:sz="8" w:color="auto"/>
            </w:tcBorders>
          </w:tcPr>
          <w:p>
            <w:pPr>
              <w:jc w:val="center"/>
              <w:ind w:left="7"/>
              <w:spacing w:after="0" w:line="156" w:lineRule="exact"/>
              <w:rPr>
                <w:sz w:val="20"/>
                <w:szCs w:val="20"/>
                <w:color w:val="auto"/>
              </w:rPr>
            </w:pPr>
            <w:r>
              <w:rPr>
                <w:rFonts w:ascii="Arial" w:cs="Arial" w:eastAsia="Arial" w:hAnsi="Arial"/>
                <w:sz w:val="15"/>
                <w:szCs w:val="15"/>
                <w:color w:val="auto"/>
                <w:w w:val="90"/>
              </w:rPr>
              <w:t>13,800,000</w:t>
            </w:r>
          </w:p>
        </w:tc>
        <w:tc>
          <w:tcPr>
            <w:tcW w:w="1860" w:type="dxa"/>
            <w:vAlign w:val="bottom"/>
            <w:tcBorders>
              <w:bottom w:val="single" w:sz="8" w:color="auto"/>
              <w:right w:val="single" w:sz="8" w:color="auto"/>
            </w:tcBorders>
          </w:tcPr>
          <w:p>
            <w:pPr>
              <w:jc w:val="center"/>
              <w:ind w:left="7"/>
              <w:spacing w:after="0" w:line="156" w:lineRule="exact"/>
              <w:rPr>
                <w:sz w:val="20"/>
                <w:szCs w:val="20"/>
                <w:color w:val="auto"/>
              </w:rPr>
            </w:pPr>
            <w:r>
              <w:rPr>
                <w:rFonts w:ascii="Arial" w:cs="Arial" w:eastAsia="Arial" w:hAnsi="Arial"/>
                <w:sz w:val="15"/>
                <w:szCs w:val="15"/>
                <w:color w:val="auto"/>
                <w:w w:val="91"/>
              </w:rPr>
              <w:t>$22.16</w:t>
            </w:r>
          </w:p>
        </w:tc>
        <w:tc>
          <w:tcPr>
            <w:tcW w:w="1860" w:type="dxa"/>
            <w:vAlign w:val="bottom"/>
            <w:tcBorders>
              <w:bottom w:val="single" w:sz="8" w:color="auto"/>
              <w:right w:val="single" w:sz="8" w:color="auto"/>
            </w:tcBorders>
          </w:tcPr>
          <w:p>
            <w:pPr>
              <w:jc w:val="center"/>
              <w:ind w:left="27"/>
              <w:spacing w:after="0" w:line="156" w:lineRule="exact"/>
              <w:rPr>
                <w:sz w:val="20"/>
                <w:szCs w:val="20"/>
                <w:color w:val="auto"/>
              </w:rPr>
            </w:pPr>
            <w:r>
              <w:rPr>
                <w:rFonts w:ascii="Arial" w:cs="Arial" w:eastAsia="Arial" w:hAnsi="Arial"/>
                <w:sz w:val="15"/>
                <w:szCs w:val="15"/>
                <w:color w:val="auto"/>
                <w:w w:val="91"/>
              </w:rPr>
              <w:t>$305,808,000</w:t>
            </w:r>
          </w:p>
        </w:tc>
        <w:tc>
          <w:tcPr>
            <w:tcW w:w="1860" w:type="dxa"/>
            <w:vAlign w:val="bottom"/>
            <w:tcBorders>
              <w:bottom w:val="single" w:sz="8" w:color="auto"/>
            </w:tcBorders>
          </w:tcPr>
          <w:p>
            <w:pPr>
              <w:jc w:val="center"/>
              <w:ind w:left="7"/>
              <w:spacing w:after="0" w:line="156" w:lineRule="exact"/>
              <w:rPr>
                <w:sz w:val="20"/>
                <w:szCs w:val="20"/>
                <w:color w:val="auto"/>
              </w:rPr>
            </w:pPr>
            <w:r>
              <w:rPr>
                <w:rFonts w:ascii="Arial" w:cs="Arial" w:eastAsia="Arial" w:hAnsi="Arial"/>
                <w:sz w:val="15"/>
                <w:szCs w:val="15"/>
                <w:color w:val="auto"/>
                <w:w w:val="92"/>
              </w:rPr>
              <w:t>$33,364</w:t>
            </w:r>
          </w:p>
        </w:tc>
        <w:tc>
          <w:tcPr>
            <w:tcW w:w="0" w:type="dxa"/>
            <w:vAlign w:val="bottom"/>
          </w:tcPr>
          <w:p>
            <w:pPr>
              <w:spacing w:after="0"/>
              <w:rPr>
                <w:sz w:val="1"/>
                <w:szCs w:val="1"/>
                <w:color w:val="auto"/>
              </w:rPr>
            </w:pPr>
          </w:p>
        </w:tc>
      </w:tr>
    </w:tbl>
    <w:p>
      <w:pPr>
        <w:spacing w:after="0" w:line="8"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1,800,000 shares of common stock that the underwriters have the option to purchase. See “Underwriting (Conflicts of Interest).”</w:t>
      </w:r>
    </w:p>
    <w:p>
      <w:pPr>
        <w:ind w:left="540" w:right="40" w:hanging="424"/>
        <w:spacing w:after="0" w:line="232"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 registrant’s common stock on January 21, 2021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-394335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67945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8" w:lineRule="exact"/>
        <w:rPr>
          <w:sz w:val="24"/>
          <w:szCs w:val="24"/>
          <w:color w:val="auto"/>
        </w:rPr>
      </w:pPr>
    </w:p>
    <w:p>
      <w:pPr>
        <w:ind w:left="120" w:right="1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45720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80"/>
        <w:spacing w:after="0" w:line="24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January 25, 2021</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183515</wp:posOffset>
            </wp:positionV>
            <wp:extent cx="1482725"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Academy Sports and Outdoors, Inc.</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257175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The selling stockholders named in this prospectus are offering 12,000,000 shares of common stock of Academy Sports and Outdoors, Inc. We will not receive any proceeds from the sale of our common stock by the selling stockholders.</w:t>
      </w:r>
    </w:p>
    <w:p>
      <w:pPr>
        <w:spacing w:after="0" w:line="197"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Our common stock is listed on the Nasdaq Global Select Market, or Nasdaq, under the symbol “ASO.” On January 22, 2021, the closing sales price of our common stock as reported on the Nasdaq was $22.46 per share.</w:t>
      </w:r>
    </w:p>
    <w:p>
      <w:pPr>
        <w:spacing w:after="0" w:line="197"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To the extent that the underwriters sell more than 12,000,000 shares of our common stock, the underwriters have the option to purchase up to an additional 1,800,000 shares from the selling stockholders at the public offering price, 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183" w:lineRule="exact"/>
        <w:rPr>
          <w:sz w:val="20"/>
          <w:szCs w:val="20"/>
          <w:color w:val="auto"/>
        </w:rPr>
      </w:pPr>
    </w:p>
    <w:p>
      <w:pPr>
        <w:ind w:left="120" w:right="180" w:firstLine="44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3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23 to read about factors you should consider before buying shares of our common stock.</w:t>
      </w:r>
    </w:p>
    <w:p>
      <w:pPr>
        <w:spacing w:after="0" w:line="15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Underwriting</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Proceeds to</w:t>
            </w:r>
          </w:p>
        </w:tc>
      </w:tr>
      <w:tr>
        <w:trPr>
          <w:trHeight w:val="159"/>
        </w:trPr>
        <w:tc>
          <w:tcPr>
            <w:tcW w:w="3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60" w:type="dxa"/>
            <w:vAlign w:val="bottom"/>
            <w:gridSpan w:val="2"/>
          </w:tcPr>
          <w:p>
            <w:pPr>
              <w:jc w:val="center"/>
              <w:ind w:right="860"/>
              <w:spacing w:after="0" w:line="159" w:lineRule="exact"/>
              <w:rPr>
                <w:sz w:val="20"/>
                <w:szCs w:val="20"/>
                <w:color w:val="auto"/>
              </w:rPr>
            </w:pPr>
            <w:r>
              <w:rPr>
                <w:rFonts w:ascii="Arial" w:cs="Arial" w:eastAsia="Arial" w:hAnsi="Arial"/>
                <w:sz w:val="14"/>
                <w:szCs w:val="14"/>
                <w:b w:val="1"/>
                <w:bCs w:val="1"/>
                <w:color w:val="auto"/>
              </w:rPr>
              <w:t>Discounts and</w:t>
            </w:r>
          </w:p>
        </w:tc>
        <w:tc>
          <w:tcPr>
            <w:tcW w:w="96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the Selling</w:t>
            </w:r>
          </w:p>
        </w:tc>
      </w:tr>
      <w:tr>
        <w:trPr>
          <w:trHeight w:val="179"/>
        </w:trPr>
        <w:tc>
          <w:tcPr>
            <w:tcW w:w="35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Price to Public</w:t>
            </w:r>
          </w:p>
        </w:tc>
        <w:tc>
          <w:tcPr>
            <w:tcW w:w="860" w:type="dxa"/>
            <w:vAlign w:val="bottom"/>
          </w:tcPr>
          <w:p>
            <w:pPr>
              <w:spacing w:after="0"/>
              <w:rPr>
                <w:sz w:val="15"/>
                <w:szCs w:val="15"/>
                <w:color w:val="auto"/>
              </w:rPr>
            </w:pPr>
          </w:p>
        </w:tc>
        <w:tc>
          <w:tcPr>
            <w:tcW w:w="1960" w:type="dxa"/>
            <w:vAlign w:val="bottom"/>
            <w:gridSpan w:val="2"/>
          </w:tcPr>
          <w:p>
            <w:pPr>
              <w:spacing w:after="0" w:line="179" w:lineRule="exact"/>
              <w:rPr>
                <w:sz w:val="20"/>
                <w:szCs w:val="20"/>
                <w:color w:val="auto"/>
              </w:rPr>
            </w:pPr>
            <w:r>
              <w:rPr>
                <w:rFonts w:ascii="Arial" w:cs="Arial" w:eastAsia="Arial" w:hAnsi="Arial"/>
                <w:sz w:val="12"/>
                <w:szCs w:val="12"/>
                <w:b w:val="1"/>
                <w:bCs w:val="1"/>
                <w:color w:val="auto"/>
              </w:rPr>
              <w:t>Commissions</w:t>
            </w:r>
            <w:r>
              <w:rPr>
                <w:rFonts w:ascii="Arial" w:cs="Arial" w:eastAsia="Arial" w:hAnsi="Arial"/>
                <w:sz w:val="20"/>
                <w:szCs w:val="20"/>
                <w:b w:val="1"/>
                <w:bCs w:val="1"/>
                <w:color w:val="auto"/>
                <w:vertAlign w:val="superscript"/>
              </w:rPr>
              <w:t>(1)</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7"/>
        </w:trPr>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(Conflicts of Interest)” for additional information regarding underwriting compensation.</w:t>
      </w:r>
    </w:p>
    <w:p>
      <w:pPr>
        <w:spacing w:after="0" w:line="212" w:lineRule="exact"/>
        <w:rPr>
          <w:sz w:val="20"/>
          <w:szCs w:val="20"/>
          <w:color w:val="auto"/>
        </w:rPr>
      </w:pPr>
    </w:p>
    <w:tbl>
      <w:tblPr>
        <w:tblLayout w:type="fixed"/>
        <w:tblInd w:w="2660" w:type="dxa"/>
        <w:tblCellMar>
          <w:top w:w="0" w:type="dxa"/>
          <w:left w:w="0" w:type="dxa"/>
          <w:bottom w:w="0" w:type="dxa"/>
          <w:right w:w="0" w:type="dxa"/>
        </w:tblCellMar>
      </w:tblP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The underwriters expect to deliver the shares on or about</w:t>
            </w:r>
          </w:p>
        </w:tc>
        <w:tc>
          <w:tcPr>
            <w:tcW w:w="9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99" w:lineRule="exact"/>
        <w:rPr>
          <w:sz w:val="20"/>
          <w:szCs w:val="20"/>
          <w:color w:val="auto"/>
        </w:rPr>
      </w:pPr>
    </w:p>
    <w:p>
      <w:pPr>
        <w:sectPr>
          <w:pgSz w:w="11900" w:h="16838" w:orient="portrait"/>
          <w:cols w:equalWidth="0" w:num="1">
            <w:col w:w="11120"/>
          </w:cols>
          <w:pgMar w:left="320" w:top="459" w:right="459" w:bottom="1440" w:gutter="0" w:footer="0" w:header="0"/>
        </w:sectPr>
      </w:pPr>
    </w:p>
    <w:p>
      <w:pPr>
        <w:ind w:left="460"/>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J.P. Morgan</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24"/>
          <w:szCs w:val="24"/>
          <w:b w:val="1"/>
          <w:bCs w:val="1"/>
          <w:color w:val="auto"/>
        </w:rPr>
        <w:t>KKR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BofA Securities</w:t>
      </w:r>
    </w:p>
    <w:p>
      <w:pPr>
        <w:spacing w:after="0" w:line="211" w:lineRule="exact"/>
        <w:rPr>
          <w:sz w:val="20"/>
          <w:szCs w:val="20"/>
          <w:color w:val="auto"/>
        </w:rPr>
      </w:pPr>
    </w:p>
    <w:p>
      <w:pPr>
        <w:sectPr>
          <w:pgSz w:w="11900" w:h="16838" w:orient="portrait"/>
          <w:cols w:equalWidth="0" w:num="4">
            <w:col w:w="3080" w:space="720"/>
            <w:col w:w="2180" w:space="720"/>
            <w:col w:w="1440" w:space="720"/>
            <w:col w:w="2260"/>
          </w:cols>
          <w:pgMar w:left="320" w:top="459" w:right="459" w:bottom="1440" w:gutter="0" w:footer="0" w:header="0"/>
          <w:type w:val="continuous"/>
        </w:sectPr>
      </w:pPr>
    </w:p>
    <w:p>
      <w:pPr>
        <w:spacing w:after="0" w:line="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2021.</w:t>
      </w:r>
    </w:p>
    <w:p>
      <w:pPr>
        <w:sectPr>
          <w:pgSz w:w="11900" w:h="16838" w:orient="portrait"/>
          <w:cols w:equalWidth="0" w:num="2">
            <w:col w:w="6320" w:space="720"/>
            <w:col w:w="4080"/>
          </w:cols>
          <w:pgMar w:left="320" w:top="459" w:right="45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220345</wp:posOffset>
            </wp:positionV>
            <wp:extent cx="6035040" cy="7543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7543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2380" w:type="dxa"/>
            <w:vAlign w:val="bottom"/>
          </w:tcPr>
          <w:p>
            <w:pPr>
              <w:spacing w:after="0"/>
              <w:rPr>
                <w:sz w:val="20"/>
                <w:szCs w:val="20"/>
                <w:color w:val="auto"/>
              </w:rPr>
            </w:pPr>
          </w:p>
        </w:tc>
      </w:tr>
      <w:tr>
        <w:trPr>
          <w:trHeight w:val="513"/>
        </w:trPr>
        <w:tc>
          <w:tcPr>
            <w:tcW w:w="87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445"/>
        </w:trPr>
        <w:tc>
          <w:tcPr>
            <w:tcW w:w="870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Industry and Market Data</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Trademarks, Tradenames, Service Marks and Copyrights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Basis of Presentation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Non-GAAP Financial Measures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Summary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Forward-Looking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Use of Proceeds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Dividend Policy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Capitalization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Selected Historical Consolidated Financial Data</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Management’s Discussion and Analysis of Financial Condition and Results of Operations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Business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Management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Executive Compensation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Certain Relationships and Related Party Transactions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Principal and Selling Stockholders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Description of Capital Stock</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Description of Certain Indebtedness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Shares Eligible for Future Sale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Material U.S. Federal Income and Estate Tax Consequences to Non-U.S. Holders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Underwriting (Conflicts of Interest)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Legal Matters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Experts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Where You Can Find More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8700" w:type="dxa"/>
            <w:vAlign w:val="bottom"/>
          </w:tcPr>
          <w:p>
            <w:pPr>
              <w:ind w:left="12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Index to Financial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You should rely only on the information contained in this prospectus or in any free writing prospectus we may authorize to be delivered or made available to you. None of us, the selling stockholders or the underwriters have authorized anyone to provide you with different information. The information contained in this prospectus or any free writing prospectus prepared by us or on our behalf is accurate only as of their respective dates, regardless of the time of delivery of this prospectus, or any free writing prospectus, as the case may be, or any sale of shares of our common stock.</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None of us, the selling stockholders and the underwriters can guarantee the accuracy or completeness of any such information contained in this prospectus.</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 TRADENAMES, SERVICE MARKS AND COPYRIGHTS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own and license a number of registered and common law trademarks and pending applications for trademark registrations in the United States, primarily through our subsidiaries, including, for example: Academy Sports + Outdoors</w:t>
      </w:r>
      <w:r>
        <w:rPr>
          <w:rFonts w:ascii="Arial" w:cs="Arial" w:eastAsia="Arial" w:hAnsi="Arial"/>
          <w:sz w:val="14"/>
          <w:szCs w:val="14"/>
          <w:color w:val="auto"/>
        </w:rPr>
        <w:t>®</w:t>
      </w:r>
      <w:r>
        <w:rPr>
          <w:rFonts w:ascii="Arial" w:cs="Arial" w:eastAsia="Arial" w:hAnsi="Arial"/>
          <w:sz w:val="17"/>
          <w:szCs w:val="17"/>
          <w:color w:val="auto"/>
        </w:rPr>
        <w:t>, Magellan Outdoors</w:t>
      </w:r>
      <w:r>
        <w:rPr>
          <w:rFonts w:ascii="Arial" w:cs="Arial" w:eastAsia="Arial" w:hAnsi="Arial"/>
          <w:sz w:val="14"/>
          <w:szCs w:val="14"/>
          <w:color w:val="auto"/>
        </w:rPr>
        <w:t>®</w:t>
      </w:r>
      <w:r>
        <w:rPr>
          <w:rFonts w:ascii="Arial" w:cs="Arial" w:eastAsia="Arial" w:hAnsi="Arial"/>
          <w:sz w:val="17"/>
          <w:szCs w:val="17"/>
          <w:color w:val="auto"/>
        </w:rPr>
        <w:t>, BCG</w:t>
      </w:r>
      <w:r>
        <w:rPr>
          <w:rFonts w:ascii="Arial" w:cs="Arial" w:eastAsia="Arial" w:hAnsi="Arial"/>
          <w:sz w:val="14"/>
          <w:szCs w:val="14"/>
          <w:color w:val="auto"/>
        </w:rPr>
        <w:t>®</w:t>
      </w:r>
      <w:r>
        <w:rPr>
          <w:rFonts w:ascii="Arial" w:cs="Arial" w:eastAsia="Arial" w:hAnsi="Arial"/>
          <w:sz w:val="17"/>
          <w:szCs w:val="17"/>
          <w:color w:val="auto"/>
        </w:rPr>
        <w:t>, O’rageous</w:t>
      </w:r>
      <w:r>
        <w:rPr>
          <w:rFonts w:ascii="Arial" w:cs="Arial" w:eastAsia="Arial" w:hAnsi="Arial"/>
          <w:sz w:val="14"/>
          <w:szCs w:val="14"/>
          <w:color w:val="auto"/>
        </w:rPr>
        <w:t>®</w:t>
      </w:r>
      <w:r>
        <w:rPr>
          <w:rFonts w:ascii="Arial" w:cs="Arial" w:eastAsia="Arial" w:hAnsi="Arial"/>
          <w:sz w:val="17"/>
          <w:szCs w:val="17"/>
          <w:color w:val="auto"/>
        </w:rPr>
        <w:t xml:space="preserve"> and Outdoor Gourmet</w:t>
      </w:r>
      <w:r>
        <w:rPr>
          <w:rFonts w:ascii="Arial" w:cs="Arial" w:eastAsia="Arial" w:hAnsi="Arial"/>
          <w:sz w:val="14"/>
          <w:szCs w:val="14"/>
          <w:color w:val="auto"/>
        </w:rPr>
        <w:t>®</w:t>
      </w:r>
      <w:r>
        <w:rPr>
          <w:rFonts w:ascii="Arial" w:cs="Arial" w:eastAsia="Arial" w:hAnsi="Arial"/>
          <w:sz w:val="17"/>
          <w:szCs w:val="17"/>
          <w:color w:val="auto"/>
        </w:rPr>
        <w:t xml:space="preserve">. Unless otherwise indicated, all trademarks appearing in this prospectus are proprietary to us, our affiliates and/or licensors. This prospectus also contains trademarks, tradenames, service marks and copyrights of other companies, which are the property of their respective owners. Solely for convenience, certain trademarks, tradenames, service marks and copyrights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right="1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“2015 Term Loan Facility” means our senior secured term loans facility due July 2, 2022, which was repaid in full on November 6, 2020 with the net proceeds from the 2027 Notes and the Term Loan Facility, together with cash on hand;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“2027 Notes” means our 6.00% senior secured notes due November 15, 2027, as described under “Description of Certain Indebtedness;”</w:t>
      </w:r>
    </w:p>
    <w:p>
      <w:pPr>
        <w:spacing w:after="0" w:line="153" w:lineRule="exact"/>
        <w:rPr>
          <w:rFonts w:ascii="Arial" w:cs="Arial" w:eastAsia="Arial" w:hAnsi="Arial"/>
          <w:sz w:val="16"/>
          <w:szCs w:val="16"/>
          <w:color w:val="auto"/>
        </w:rPr>
      </w:pPr>
    </w:p>
    <w:p>
      <w:pPr>
        <w:ind w:left="5580" w:right="160" w:hanging="4924"/>
        <w:spacing w:after="0" w:line="449" w:lineRule="auto"/>
        <w:tabs>
          <w:tab w:leader="none" w:pos="1094" w:val="left"/>
        </w:tabs>
        <w:numPr>
          <w:ilvl w:val="0"/>
          <w:numId w:val="3"/>
        </w:numPr>
        <w:rPr>
          <w:rFonts w:ascii="Arial" w:cs="Arial" w:eastAsia="Arial" w:hAnsi="Arial"/>
          <w:sz w:val="18"/>
          <w:szCs w:val="18"/>
          <w:color w:val="auto"/>
        </w:rPr>
      </w:pPr>
      <w:r>
        <w:rPr>
          <w:rFonts w:ascii="Arial" w:cs="Arial" w:eastAsia="Arial" w:hAnsi="Arial"/>
          <w:sz w:val="18"/>
          <w:szCs w:val="18"/>
          <w:color w:val="auto"/>
        </w:rPr>
        <w:t>“ABL Facility” means our senior secured asset-based revolving credit facility, as described under “Description of Certain Indebtedness;” 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“Adviser” has the meaning set forth under “Certain Relationships and Related Party Transactions—Monitoring Agreement;”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“Allstar Managers” means Allstar Managers, LLC, an entity owned by certain current and former executives and directors of the Company, which was dissolved in December 2020;</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order value” means in-store and e-commerce merchandise sales divided by the number of sales transactions, which indicates the average amount of a sales receipt;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“BOPIS” means our buy-online-pickup-in-store program;</w:t>
      </w:r>
    </w:p>
    <w:p>
      <w:pPr>
        <w:spacing w:after="0" w:line="130" w:lineRule="exact"/>
        <w:rPr>
          <w:rFonts w:ascii="Arial" w:cs="Arial" w:eastAsia="Arial" w:hAnsi="Arial"/>
          <w:sz w:val="18"/>
          <w:szCs w:val="18"/>
          <w:color w:val="auto"/>
        </w:rPr>
      </w:pPr>
    </w:p>
    <w:p>
      <w:pPr>
        <w:ind w:left="1080" w:right="240" w:hanging="424"/>
        <w:spacing w:after="0" w:line="275"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There may be variations in the way in which some of our competitors and other retailers calculate comparable sales. As a result, data included in this prospectus regarding our comparable sales may not be comparable to similar data made available by other retailers;</w:t>
      </w:r>
    </w:p>
    <w:p>
      <w:pPr>
        <w:spacing w:after="0" w:line="8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89" w:lineRule="exact"/>
        <w:rPr>
          <w:rFonts w:ascii="Arial" w:cs="Arial" w:eastAsia="Arial" w:hAnsi="Arial"/>
          <w:sz w:val="18"/>
          <w:szCs w:val="18"/>
          <w:color w:val="auto"/>
        </w:rPr>
      </w:pPr>
    </w:p>
    <w:p>
      <w:pPr>
        <w:ind w:left="1080" w:right="180" w:hanging="424"/>
        <w:spacing w:after="0" w:line="25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2019 is the second highest;</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“Gochman Investors” means, collectively, certain investors who are family descendants of our founder, Max Gochman;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“IPO” means the initial public offering of our common stock, which closed on October 6, 2020;</w:t>
      </w:r>
    </w:p>
    <w:p>
      <w:pPr>
        <w:spacing w:after="0" w:line="130"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“IPO Option Exercise” means the issuance and sale by us of 1,807,495 shares of our common stock on November 3, 2020 to the underwriters of the IPO pursuant to the partial exercise by the underwriters of their option to purchase up to 2,343,750 additional shares to cover over-allotments, if any, in connection with the IPO, which option has expired with respect to the remaining shares;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“KKR” means, collectively, investment funds and other entities affiliated with Kohlberg Kravis Roberts &amp; Co.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“KKR Stockholders” means, collectively, investment entities owned by KKR;</w:t>
      </w:r>
    </w:p>
    <w:p>
      <w:pPr>
        <w:spacing w:after="0" w:line="130"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four years;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sales transactions” means total quantity of sales transactions generated, whether in-store or online;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“owned brands” means our private label brands, which include both our own brands, as well as brands we license under exclusive license contracts;</w:t>
      </w:r>
    </w:p>
    <w:p>
      <w:pPr>
        <w:spacing w:after="0" w:line="75" w:lineRule="exact"/>
        <w:rPr>
          <w:rFonts w:ascii="Arial" w:cs="Arial" w:eastAsia="Arial" w:hAnsi="Arial"/>
          <w:sz w:val="18"/>
          <w:szCs w:val="18"/>
          <w:color w:val="auto"/>
        </w:rPr>
      </w:pPr>
    </w:p>
    <w:p>
      <w:pPr>
        <w:jc w:val="both"/>
        <w:ind w:left="1080" w:right="20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“Refinancing Transactions” means, collectively, the refinancing transactions, which occurred on November 6, 2020, consisting of (i) the issuance of the 2027 Notes; (ii) the entry into the Term Loan Facility; (iii) our use of the net proceeds from the 2027 Notes and the Term Loan Facility, together with cash on hand, to repay the 2015 Term Loan Facility; and (iv) the amendment of the ABL Facility to, among other things, extend its maturity to November 6, 2025;</w:t>
      </w:r>
    </w:p>
    <w:p>
      <w:pPr>
        <w:spacing w:after="0" w:line="92"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Transactions” means the series of reorganization transactions that took place on October 1, 2020 in connection with the IPO and resulted in, among other things, New Academy Holding Company, LLC, the prior holding company for the business described in this prospectus, being contributed to Academy Sports and Outdoors, Inc. by its unitholders and becoming a wholly owned subsidiary of Academy Sports and Outdoors, Inc.;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 Loan Facility” means our senior secured term loan facility, as described under “Description of Certain Indebtedness.”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Presentation of Financial Information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Academy Sports and Outdoors, Inc. conducts its operations through its subsidiaries, including its indirect subsidiary, Academy, Ltd., an operating company which is doing business as “Academy Sports + Outdoors.”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6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Any reference to the “2020 third quarter” or similar reference refers to the thirteen week period ended October 31, 2020, and any reference to the “2019 third quarter” or similar reference refers to the thirteen week period ended November 2, 2019. Any reference to “current year-to-date”, “year-to-date 2020” or similar reference represents the thirty-nine week period ended October 31, 2020, and any reference to “prior year-to-date”, “year-to-date 2019” or similar reference represents the thirty-nine week period ended November 2, 2019.</w:t>
      </w:r>
    </w:p>
    <w:p>
      <w:pPr>
        <w:spacing w:after="0" w:line="17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“Pro Forma Adjusted Earnings per Share” and “Adjusted Free Cash Flow.”</w:t>
      </w:r>
    </w:p>
    <w:p>
      <w:pPr>
        <w:spacing w:after="0" w:line="17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7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6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also present adjusted comparable sales, which is a non-GAAP measure, in this prospectus. For a discussion of adjusted comparable sales and a reconciliation to comparable sales, see “Management’s Discussion and Analysis of Financial Condition and Results of Operations—Non-GAAP Measures—Adjusted comparable sales.”</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Emerging, rapidly growing and profitable omnichannel strategy that leverages our strong BOPIS and shipping fulfillment capabilities.</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30"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or MSAs.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76"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63" w:lineRule="auto"/>
        <w:rPr>
          <w:sz w:val="20"/>
          <w:szCs w:val="20"/>
          <w:color w:val="auto"/>
        </w:rPr>
      </w:pPr>
      <w:r>
        <w:rPr>
          <w:rFonts w:ascii="Arial" w:cs="Arial" w:eastAsia="Arial" w:hAnsi="Arial"/>
          <w:sz w:val="18"/>
          <w:szCs w:val="18"/>
          <w:color w:val="auto"/>
        </w:rPr>
        <w:t>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11" w:lineRule="exact"/>
        <w:rPr>
          <w:sz w:val="20"/>
          <w:szCs w:val="20"/>
          <w:color w:val="auto"/>
        </w:rPr>
      </w:pPr>
    </w:p>
    <w:p>
      <w:pPr>
        <w:ind w:left="300" w:right="4400" w:firstLine="360"/>
        <w:spacing w:after="0" w:line="288" w:lineRule="auto"/>
        <w:rPr>
          <w:sz w:val="20"/>
          <w:szCs w:val="20"/>
          <w:color w:val="auto"/>
        </w:rPr>
      </w:pPr>
      <w:r>
        <w:rPr>
          <w:rFonts w:ascii="Arial" w:cs="Arial" w:eastAsia="Arial" w:hAnsi="Arial"/>
          <w:sz w:val="16"/>
          <w:szCs w:val="16"/>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195" w:lineRule="exact"/>
        <w:rPr>
          <w:sz w:val="20"/>
          <w:szCs w:val="20"/>
          <w:color w:val="auto"/>
        </w:rPr>
      </w:pPr>
    </w:p>
    <w:p>
      <w:pPr>
        <w:ind w:left="300" w:right="4380" w:firstLine="360"/>
        <w:spacing w:after="0" w:line="279" w:lineRule="auto"/>
        <w:rPr>
          <w:sz w:val="20"/>
          <w:szCs w:val="20"/>
          <w:color w:val="auto"/>
        </w:rPr>
      </w:pPr>
      <w:r>
        <w:rPr>
          <w:rFonts w:ascii="Arial" w:cs="Arial" w:eastAsia="Arial" w:hAnsi="Arial"/>
          <w:sz w:val="17"/>
          <w:szCs w:val="17"/>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right="20"/>
        <w:spacing w:after="0" w:line="254" w:lineRule="auto"/>
        <w:rPr>
          <w:sz w:val="20"/>
          <w:szCs w:val="20"/>
          <w:color w:val="auto"/>
        </w:rPr>
      </w:pPr>
      <w:r>
        <w:rPr>
          <w:rFonts w:ascii="Arial" w:cs="Arial" w:eastAsia="Arial" w:hAnsi="Arial"/>
          <w:sz w:val="18"/>
          <w:szCs w:val="18"/>
          <w:color w:val="auto"/>
        </w:rPr>
        <w:t>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95"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78" w:lineRule="exact"/>
        <w:rPr>
          <w:sz w:val="20"/>
          <w:szCs w:val="20"/>
          <w:color w:val="auto"/>
        </w:rPr>
      </w:pPr>
    </w:p>
    <w:p>
      <w:pPr>
        <w:ind w:left="300" w:right="40" w:firstLine="426"/>
        <w:spacing w:after="0" w:line="311" w:lineRule="auto"/>
        <w:rPr>
          <w:sz w:val="20"/>
          <w:szCs w:val="20"/>
          <w:color w:val="auto"/>
        </w:rPr>
      </w:pPr>
      <w:r>
        <w:rPr>
          <w:rFonts w:ascii="Arial" w:cs="Arial" w:eastAsia="Arial" w:hAnsi="Arial"/>
          <w:sz w:val="16"/>
          <w:szCs w:val="16"/>
          <w:color w:val="auto"/>
        </w:rPr>
        <w:t>Our emerging, profitable e-commerce platform that leverages our strong BOPIS and shipping fulfillment capabilities has achieved year-over-year sales growth of 8% and 209% during 2019 and the year-to-date 2020, respectively. Our e-commerce sales represented 5% and 10% of our merchandise sales in 2019 and the year-to-date 2020, respectively. We are deepening our customer relationships, further integrating our</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e-commerce platform with our stores and driving operating efficiencies by developing our omnichannel capabilities. Our BOPIS program, launched in 2019, accounted for approximately 24% and 50% of our e-commerce sales during 2019 and the year-to-date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25% of our e-commerce sales during first half 2020 coming from new households.</w:t>
      </w:r>
    </w:p>
    <w:p>
      <w:pPr>
        <w:spacing w:after="0" w:line="16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8"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finished the twelve months ended October 31, 2020 with approximately $5.5 billion in sales, $235 million of net income and $506 million in Adjusted EBITDA. Although comparable sales have been negative for the past three fiscal years, we have seen five consecutive quarters of positive comparable sales as of 2020 third quarter. In addition, 2020 third quarter reflected our fifth consecutive quarter of Adjusted EBITDA growth and our sixth consecutive quarter of Adjusted Free Cash Flow growth. We earned net income of $21 million, $120 million and $235 million and Pro Forma Adjusted Net Income of $41 million, $76 million and $226 million in 2018, 2019 and the twelve months ended October 31, 2020, respectively, which included $217 million of net income and $209 million of Pro Forma Adjusted Net Income for year-to-date 2020. See “— 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08" w:lineRule="exact"/>
        <w:rPr>
          <w:sz w:val="20"/>
          <w:szCs w:val="20"/>
          <w:color w:val="auto"/>
        </w:rPr>
      </w:pPr>
    </w:p>
    <w:p>
      <w:pPr>
        <w:ind w:left="1280"/>
        <w:spacing w:after="0"/>
        <w:tabs>
          <w:tab w:leader="none" w:pos="4880" w:val="left"/>
          <w:tab w:leader="none" w:pos="8120" w:val="left"/>
        </w:tabs>
        <w:rPr>
          <w:sz w:val="20"/>
          <w:szCs w:val="20"/>
          <w:color w:val="auto"/>
        </w:rPr>
      </w:pPr>
      <w:r>
        <w:rPr>
          <w:rFonts w:ascii="Arial" w:cs="Arial" w:eastAsia="Arial" w:hAnsi="Arial"/>
          <w:sz w:val="18"/>
          <w:szCs w:val="18"/>
          <w:color w:val="auto"/>
        </w:rPr>
        <w:t>Net Sales ($ in millions)</w:t>
      </w:r>
      <w:r>
        <w:rPr>
          <w:sz w:val="20"/>
          <w:szCs w:val="20"/>
          <w:color w:val="auto"/>
        </w:rPr>
        <w:tab/>
      </w:r>
      <w:r>
        <w:rPr>
          <w:rFonts w:ascii="Arial" w:cs="Arial" w:eastAsia="Arial" w:hAnsi="Arial"/>
          <w:sz w:val="18"/>
          <w:szCs w:val="18"/>
          <w:color w:val="auto"/>
        </w:rPr>
        <w:t>Adj. EBITDA ($ in millions)</w:t>
      </w:r>
      <w:r>
        <w:rPr>
          <w:sz w:val="20"/>
          <w:szCs w:val="20"/>
          <w:color w:val="auto"/>
        </w:rPr>
        <w:tab/>
      </w:r>
      <w:r>
        <w:rPr>
          <w:rFonts w:ascii="Arial" w:cs="Arial" w:eastAsia="Arial" w:hAnsi="Arial"/>
          <w:sz w:val="16"/>
          <w:szCs w:val="16"/>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five consecutive quarters ended October 31, 2020, and created a foundation for our future growth. These key initiatives include:</w:t>
      </w:r>
    </w:p>
    <w:p>
      <w:pPr>
        <w:spacing w:after="0" w:line="89" w:lineRule="exact"/>
        <w:rPr>
          <w:sz w:val="20"/>
          <w:szCs w:val="20"/>
          <w:color w:val="auto"/>
        </w:rPr>
      </w:pPr>
    </w:p>
    <w:p>
      <w:pPr>
        <w:ind w:left="1240" w:right="200" w:hanging="415"/>
        <w:spacing w:after="0" w:line="273"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leadership team </w:t>
      </w:r>
      <w:r>
        <w:rPr>
          <w:rFonts w:ascii="Arial" w:cs="Arial" w:eastAsia="Arial" w:hAnsi="Arial"/>
          <w:sz w:val="17"/>
          <w:szCs w:val="17"/>
          <w:color w:val="auto"/>
        </w:rPr>
        <w:t>– Our leadership team comprises nine highly experienced and proven individuals, six of whom joined</w:t>
      </w:r>
      <w:r>
        <w:rPr>
          <w:rFonts w:ascii="Arial" w:cs="Arial" w:eastAsia="Arial" w:hAnsi="Arial"/>
          <w:sz w:val="17"/>
          <w:szCs w:val="17"/>
          <w:i w:val="1"/>
          <w:iCs w:val="1"/>
          <w:color w:val="auto"/>
        </w:rPr>
        <w:t xml:space="preserve"> </w:t>
      </w:r>
      <w:r>
        <w:rPr>
          <w:rFonts w:ascii="Arial" w:cs="Arial" w:eastAsia="Arial" w:hAnsi="Arial"/>
          <w:sz w:val="17"/>
          <w:szCs w:val="17"/>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over the last three years in our omnichannel capabilities, we launched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92"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 inventory offerings.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 resulted in an improved customer shopping experience and increased sales.</w:t>
      </w:r>
    </w:p>
    <w:p>
      <w:pPr>
        <w:spacing w:after="0" w:line="75" w:lineRule="exact"/>
        <w:rPr>
          <w:rFonts w:ascii="Arial" w:cs="Arial" w:eastAsia="Arial" w:hAnsi="Arial"/>
          <w:sz w:val="18"/>
          <w:szCs w:val="18"/>
          <w:color w:val="auto"/>
        </w:rPr>
      </w:pPr>
    </w:p>
    <w:p>
      <w:pPr>
        <w:ind w:left="1240" w:right="18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we improved and focused our assortments in priority product categories, such as team sports, fishing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89" w:lineRule="exact"/>
        <w:rPr>
          <w:rFonts w:ascii="Arial" w:cs="Arial" w:eastAsia="Arial" w:hAnsi="Arial"/>
          <w:sz w:val="18"/>
          <w:szCs w:val="18"/>
          <w:color w:val="auto"/>
        </w:rPr>
      </w:pPr>
    </w:p>
    <w:p>
      <w:pPr>
        <w:ind w:left="1240" w:right="60" w:hanging="415"/>
        <w:spacing w:after="0" w:line="30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Enhance store optimization </w:t>
      </w:r>
      <w:r>
        <w:rPr>
          <w:rFonts w:ascii="Arial" w:cs="Arial" w:eastAsia="Arial" w:hAnsi="Arial"/>
          <w:sz w:val="17"/>
          <w:szCs w:val="17"/>
          <w:color w:val="auto"/>
        </w:rPr>
        <w:t>– We leverage technology to enable our store team members to better manage, prioritize and reduce tasks</w:t>
      </w:r>
      <w:r>
        <w:rPr>
          <w:rFonts w:ascii="Arial" w:cs="Arial" w:eastAsia="Arial" w:hAnsi="Arial"/>
          <w:sz w:val="17"/>
          <w:szCs w:val="17"/>
          <w:i w:val="1"/>
          <w:iCs w:val="1"/>
          <w:color w:val="auto"/>
        </w:rPr>
        <w:t xml:space="preserve"> </w:t>
      </w:r>
      <w:r>
        <w:rPr>
          <w:rFonts w:ascii="Arial" w:cs="Arial" w:eastAsia="Arial" w:hAnsi="Arial"/>
          <w:sz w:val="17"/>
          <w:szCs w:val="17"/>
          <w:color w:val="auto"/>
        </w:rPr>
        <w:t>to give them more time to engage in customer service, thereby increasing our productivity and sales conversion.</w:t>
      </w:r>
    </w:p>
    <w:p>
      <w:pPr>
        <w:spacing w:after="0" w:line="51" w:lineRule="exact"/>
        <w:rPr>
          <w:rFonts w:ascii="Arial" w:cs="Arial" w:eastAsia="Arial" w:hAnsi="Arial"/>
          <w:sz w:val="17"/>
          <w:szCs w:val="17"/>
          <w:color w:val="auto"/>
        </w:rPr>
      </w:pPr>
    </w:p>
    <w:p>
      <w:pPr>
        <w:ind w:left="1240" w:right="16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Digital marketing program </w:t>
      </w:r>
      <w:r>
        <w:rPr>
          <w:rFonts w:ascii="Arial" w:cs="Arial" w:eastAsia="Arial" w:hAnsi="Arial"/>
          <w:sz w:val="18"/>
          <w:szCs w:val="18"/>
          <w:color w:val="auto"/>
        </w:rPr>
        <w:t>– During the last two years, we shifted our primary marketing focus from print to digital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website also supports our stores with digital marketing and our BOPIS program. Each of these initiatives has given us a closer connection with our customers.</w:t>
      </w:r>
    </w:p>
    <w:p>
      <w:pPr>
        <w:spacing w:after="0" w:line="89" w:lineRule="exact"/>
        <w:rPr>
          <w:rFonts w:ascii="Arial" w:cs="Arial" w:eastAsia="Arial" w:hAnsi="Arial"/>
          <w:sz w:val="18"/>
          <w:szCs w:val="18"/>
          <w:color w:val="auto"/>
        </w:rPr>
      </w:pPr>
    </w:p>
    <w:p>
      <w:pPr>
        <w:jc w:val="both"/>
        <w:ind w:left="1240" w:right="12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 constituted approximately 4% of</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2020 net sales. Academy Credit Card represents a significant opportunity to build customer loyalty, as our Academy Credit Card customers both spend more per trip and visit our stores more often.</w:t>
      </w:r>
    </w:p>
    <w:p>
      <w:pPr>
        <w:spacing w:after="0" w:line="89" w:lineRule="exact"/>
        <w:rPr>
          <w:rFonts w:ascii="Arial" w:cs="Arial" w:eastAsia="Arial" w:hAnsi="Arial"/>
          <w:sz w:val="18"/>
          <w:szCs w:val="18"/>
          <w:color w:val="auto"/>
        </w:rPr>
      </w:pPr>
    </w:p>
    <w:p>
      <w:pPr>
        <w:ind w:left="1240" w:hanging="415"/>
        <w:spacing w:after="0" w:line="301"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Programmatic inventory management </w:t>
      </w:r>
      <w:r>
        <w:rPr>
          <w:rFonts w:ascii="Arial" w:cs="Arial" w:eastAsia="Arial" w:hAnsi="Arial"/>
          <w:sz w:val="16"/>
          <w:szCs w:val="16"/>
          <w:color w:val="auto"/>
        </w:rPr>
        <w:t>– We implemented a new disciplined price markdown strategy that has improved our margins</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3.55x for the twelve months ended October 31, 2020.</w:t>
      </w:r>
    </w:p>
    <w:p>
      <w:pPr>
        <w:spacing w:after="0" w:line="62" w:lineRule="exact"/>
        <w:rPr>
          <w:rFonts w:ascii="Arial" w:cs="Arial" w:eastAsia="Arial" w:hAnsi="Arial"/>
          <w:sz w:val="16"/>
          <w:szCs w:val="16"/>
          <w:color w:val="auto"/>
        </w:rPr>
      </w:pPr>
    </w:p>
    <w:p>
      <w:pPr>
        <w:ind w:left="1240" w:right="140" w:hanging="415"/>
        <w:spacing w:after="0" w:line="275"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Develop small box format </w:t>
      </w:r>
      <w:r>
        <w:rPr>
          <w:rFonts w:ascii="Arial" w:cs="Arial" w:eastAsia="Arial" w:hAnsi="Arial"/>
          <w:sz w:val="17"/>
          <w:szCs w:val="17"/>
          <w:color w:val="auto"/>
        </w:rPr>
        <w:t>– We opened our first small format store (approximately 40,000 square feet) in Dallas, Texas in 2019.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76" w:lineRule="exact"/>
        <w:rPr>
          <w:sz w:val="20"/>
          <w:szCs w:val="20"/>
          <w:color w:val="auto"/>
        </w:rPr>
      </w:pPr>
    </w:p>
    <w:p>
      <w:pPr>
        <w:ind w:left="300" w:right="80" w:firstLine="426"/>
        <w:spacing w:after="0" w:line="270" w:lineRule="auto"/>
        <w:rPr>
          <w:sz w:val="20"/>
          <w:szCs w:val="20"/>
          <w:color w:val="auto"/>
        </w:rPr>
      </w:pPr>
      <w:r>
        <w:rPr>
          <w:rFonts w:ascii="Arial" w:cs="Arial" w:eastAsia="Arial" w:hAnsi="Arial"/>
          <w:sz w:val="17"/>
          <w:szCs w:val="17"/>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11" w:lineRule="auto"/>
        <w:rPr>
          <w:sz w:val="20"/>
          <w:szCs w:val="20"/>
          <w:color w:val="auto"/>
        </w:rPr>
      </w:pPr>
      <w:r>
        <w:rPr>
          <w:rFonts w:ascii="Arial" w:cs="Arial" w:eastAsia="Arial" w:hAnsi="Arial"/>
          <w:sz w:val="16"/>
          <w:szCs w:val="16"/>
          <w:color w:val="auto"/>
        </w:rPr>
        <w:t>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Specialty footwear retailers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Catalogue &amp; Internet retailers</w:t>
      </w:r>
    </w:p>
    <w:p>
      <w:pPr>
        <w:spacing w:after="0" w:line="225"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70"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82"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8"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76" w:lineRule="exact"/>
        <w:rPr>
          <w:sz w:val="20"/>
          <w:szCs w:val="20"/>
          <w:color w:val="auto"/>
        </w:rPr>
      </w:pPr>
    </w:p>
    <w:p>
      <w:pPr>
        <w:ind w:left="300" w:right="380" w:firstLine="426"/>
        <w:spacing w:after="0" w:line="263" w:lineRule="auto"/>
        <w:rPr>
          <w:sz w:val="20"/>
          <w:szCs w:val="20"/>
          <w:color w:val="auto"/>
        </w:rPr>
      </w:pPr>
      <w:r>
        <w:rPr>
          <w:rFonts w:ascii="Arial" w:cs="Arial" w:eastAsia="Arial" w:hAnsi="Arial"/>
          <w:sz w:val="18"/>
          <w:szCs w:val="18"/>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300" w:right="200" w:firstLine="426"/>
        <w:spacing w:after="0" w:line="271" w:lineRule="auto"/>
        <w:rPr>
          <w:sz w:val="20"/>
          <w:szCs w:val="20"/>
          <w:color w:val="auto"/>
        </w:rPr>
      </w:pPr>
      <w:r>
        <w:rPr>
          <w:rFonts w:ascii="Arial" w:cs="Arial" w:eastAsia="Arial" w:hAnsi="Arial"/>
          <w:sz w:val="17"/>
          <w:szCs w:val="17"/>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 branded chairs at a softball game, or individuals wearing Magellan Outdoors shirts around town, our owned brands are worn and used throughout our footprint.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300" w:right="60" w:firstLine="426"/>
        <w:spacing w:after="0" w:line="288"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68"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 passionate local experts who are specially recruited and trained for category-specific positions.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81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4881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4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8"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61"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five consecutive quarters of positive comparable sales as of 2020 third quarter, Adjusted EBITDA growth to $323 million in 2019, or 8%, compared to 2018, and Adjusted Free Cash Flow growth of $99 million in 2018 to $197 million in 2019.</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300" w:right="160" w:firstLine="426"/>
        <w:spacing w:after="0" w:line="255" w:lineRule="auto"/>
        <w:rPr>
          <w:sz w:val="20"/>
          <w:szCs w:val="20"/>
          <w:color w:val="auto"/>
        </w:rPr>
      </w:pPr>
      <w:r>
        <w:rPr>
          <w:rFonts w:ascii="Arial" w:cs="Arial" w:eastAsia="Arial" w:hAnsi="Arial"/>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9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We have consistently demonstrated steady revenue growth, expanded profit margins and disciplined capital expenditures. We generated</w:t>
      </w:r>
    </w:p>
    <w:p>
      <w:pPr>
        <w:spacing w:after="0" w:line="35" w:lineRule="exact"/>
        <w:rPr>
          <w:sz w:val="20"/>
          <w:szCs w:val="20"/>
          <w:color w:val="auto"/>
        </w:rPr>
      </w:pPr>
    </w:p>
    <w:p>
      <w:pPr>
        <w:jc w:val="both"/>
        <w:ind w:left="300" w:right="20"/>
        <w:spacing w:after="0" w:line="302" w:lineRule="auto"/>
        <w:rPr>
          <w:sz w:val="20"/>
          <w:szCs w:val="20"/>
          <w:color w:val="auto"/>
        </w:rPr>
      </w:pPr>
      <w:r>
        <w:rPr>
          <w:rFonts w:ascii="Arial" w:cs="Arial" w:eastAsia="Arial" w:hAnsi="Arial"/>
          <w:sz w:val="16"/>
          <w:szCs w:val="16"/>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1.1x as of end of 2020 third quarter compared to 5.2x as of end of both 2017 and 2018 and 4.1x as of end of 2019.</w:t>
      </w:r>
    </w:p>
    <w:p>
      <w:pPr>
        <w:spacing w:after="0" w:line="155"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217 mature stores (stores opened longer than four years) were profitable on a four-wall basis for the twelve months ended October 31, 2020 and our new stores have average payback periods of four to five years.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are focused on the following four growth drivers: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e-commerce sales represented 5% and 10% of our merchandise sales for 2019 and for the year-to-date 2020, respectively. E-commerce sales increased 406% from the prior quarter in first quarter 2020, 210% from the prior quarter in second quarter 2020 and 96% from the prior quarter in 2020 third quarter.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95" w:lineRule="exact"/>
        <w:rPr>
          <w:sz w:val="20"/>
          <w:szCs w:val="20"/>
          <w:color w:val="auto"/>
        </w:rPr>
      </w:pPr>
    </w:p>
    <w:p>
      <w:pPr>
        <w:ind w:left="300" w:right="100" w:firstLine="426"/>
        <w:spacing w:after="0" w:line="271"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the year-to-date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2020 third quarter, which will continue to give our customers more options on how to shop Academy.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7"/>
          <w:szCs w:val="17"/>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65"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92"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66"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84"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This implementation, along with other factors, has allowed us to improve our inventory management in stores, increasing the average inventory turns from 2.68x in 2017 to 3.55x for the twelve months ended October 31, 2020, and has helped us to identify and exit certain product categories, such as luggage and toys.</w:t>
      </w:r>
    </w:p>
    <w:p>
      <w:pPr>
        <w:spacing w:after="0" w:line="184"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84"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95"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300" w:right="220" w:firstLine="426"/>
        <w:spacing w:after="0" w:line="296" w:lineRule="auto"/>
        <w:rPr>
          <w:sz w:val="20"/>
          <w:szCs w:val="20"/>
          <w:color w:val="auto"/>
        </w:rPr>
      </w:pPr>
      <w:r>
        <w:rPr>
          <w:rFonts w:ascii="Arial" w:cs="Arial" w:eastAsia="Arial" w:hAnsi="Arial"/>
          <w:sz w:val="16"/>
          <w:szCs w:val="16"/>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October 31, 2020, we had 217 mature stores, and all but one were profitable on a four-wall basis for the twelve months ended October 31, 2020. We expect to open eight to 10 new stores per year starting in 2022, which is similar to our growth rates from 2018 to 2019.</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42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70421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84" w:lineRule="exact"/>
        <w:rPr>
          <w:sz w:val="20"/>
          <w:szCs w:val="20"/>
          <w:color w:val="auto"/>
        </w:rPr>
      </w:pPr>
    </w:p>
    <w:p>
      <w:pPr>
        <w:jc w:val="both"/>
        <w:ind w:left="300" w:right="360" w:firstLine="426"/>
        <w:spacing w:after="0" w:line="263"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Preliminary, Unaudited Estimates for the Nine-Week Period Ended January 2, 2021</w:t>
      </w:r>
    </w:p>
    <w:p>
      <w:pPr>
        <w:spacing w:after="0" w:line="117"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We estimate that our comparable sales grew approximately 16.6% during the first nine weeks of the fourth quarter 2020 (from November 1, 2020 to January 2, 2021). This comparable sales increase was driven primarily by double digit sales growth in all of our merchandise categories. Additionally, our number of transactions, average ticket, units per transaction and average unit retails also increased during the period and contributed to this comparable sales increase. As of January 2, 2021, we operated 259 retail locations in 16 states.</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This preliminary financial information is for the first nine weeks of our fourth quarter 2020 and the fourth quarter 2020 has not ended. The unaudited, estimated results for this nine-week period represent only a portion of our fourth quarter 2020, are preliminary, based upon our estimates and currently available information, and are subject to revision based upon, among other things, quarter-end closing procedures and/or adjustments, the completion of our interim consolidated financial statements and other operational procedures. This preliminary financial information should not be viewed as a substitute for full interim financial statements prepared in accordance with GAAP and reviewed by our auditors. These preliminary results are not necessarily indicative of the results to be achieved for the thirteen-week period ending January 30, 2021 or any future period. Our actual results may be materially different from our estimates, which should not be regarded as a representation by us, our management, the selling stockholders or the underwriters as to our actual results for the thirteen-week period ending January 30, 2021. You should not place undue reliance on these estimates. This preliminary financial data has been prepared by, and is the responsibility of, our management. Deloitte &amp; Touche LLP has not audited, reviewed, compiled or performed any procedures with respect to the accompanying preliminary financial data. Accordingly, Deloitte &amp; Touche LLP does not express an opinion or any other form of assurance with respect thereto.</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92"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30"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75" w:lineRule="exact"/>
        <w:rPr>
          <w:rFonts w:ascii="Arial" w:cs="Arial" w:eastAsia="Arial" w:hAnsi="Arial"/>
          <w:sz w:val="18"/>
          <w:szCs w:val="18"/>
          <w:color w:val="auto"/>
        </w:rPr>
      </w:pPr>
    </w:p>
    <w:p>
      <w:pPr>
        <w:ind w:left="1240" w:right="6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30"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being a “controlled company” within the meaning of Nasdaq rules and, as a result, qualifying for exemptions from certain corporate governance requirements;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KKR Stockholders controlling us and their interests conflicting with ours or yours in the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75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KKR</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common stock began trading on Nasdaq under the symbol “ASO” on October 2, 2020 and we consummated the IPO on October 6, 2020.</w:t>
      </w:r>
    </w:p>
    <w:p>
      <w:pPr>
        <w:spacing w:after="0" w:line="248"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Arial" w:cs="Arial" w:eastAsia="Arial" w:hAnsi="Arial"/>
          <w:sz w:val="18"/>
          <w:szCs w:val="18"/>
          <w:b w:val="1"/>
          <w:bCs w:val="1"/>
          <w:color w:val="auto"/>
        </w:rPr>
        <w:t>The information contained on, or that</w:t>
      </w:r>
      <w:r>
        <w:rPr>
          <w:rFonts w:ascii="Arial" w:cs="Arial" w:eastAsia="Arial" w:hAnsi="Arial"/>
          <w:sz w:val="18"/>
          <w:szCs w:val="18"/>
          <w:color w:val="auto"/>
        </w:rPr>
        <w:t xml:space="preserve"> </w:t>
      </w:r>
      <w:r>
        <w:rPr>
          <w:rFonts w:ascii="Arial" w:cs="Arial" w:eastAsia="Arial" w:hAnsi="Arial"/>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0"/>
              </w:rPr>
              <w:t>Common stock offered by the selling stockholders</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12,000,000 shares.</w:t>
            </w:r>
          </w:p>
        </w:tc>
      </w:tr>
      <w:tr>
        <w:trPr>
          <w:trHeight w:val="454"/>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Option to purchase additional shares of common</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The selling stockholders have granted the underwriters a 30-day option from the date of</w:t>
            </w:r>
          </w:p>
        </w:tc>
      </w:tr>
      <w:tr>
        <w:trPr>
          <w:trHeight w:val="220"/>
        </w:trPr>
        <w:tc>
          <w:tcPr>
            <w:tcW w:w="410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stock</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this prospectus to purchase up to 1,800,000 additional shares of our common stock at the</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public offering price, less underwriting discounts and commissions.</w:t>
            </w:r>
          </w:p>
        </w:tc>
      </w:tr>
      <w:tr>
        <w:trPr>
          <w:trHeight w:val="459"/>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Common stock outstanding</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90,936,907 shares (as of January 2, 2021).</w:t>
            </w:r>
          </w:p>
        </w:tc>
      </w:tr>
      <w:tr>
        <w:trPr>
          <w:trHeight w:val="458"/>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We will not receive any proceeds from the sale of shares being sold in this offering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including from any exercise by the underwriters of their option to purchase additional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shares. The selling stockholders will receive all of the net proceeds and bear all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commissions and discounts, if any, from the sale of our common stock pursuant to this</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445"/>
        </w:trPr>
        <w:tc>
          <w:tcPr>
            <w:tcW w:w="41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The selling stockholders will bear the underwriting commissions and discounts, if any,</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attributable to their sale of our common stock, and expenses incurred by the selling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shareholders for brokerage, accounting, tax or legal services or any other expenses incurred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by the selling shareholders. We will bear all other costs, fees and expenses incurred in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effecting the registration of the shares covered by this prospectus, including, without</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limitation, all registration and filing fees, and fees and expenses of our counsel and one</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counsel for the selling stockholders and our independent registered public accountants.</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Conflicts of Interest</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Affiliates of KKR beneficially own in excess of 10% of our issued and outstanding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common stock. Because KKR Capital Markets LLC, an affiliate of KKR, is an underwriter</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 this offering and its affiliates own in excess of 10% of our issued and outstanding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common stock, KKR Capital Markets LLC is deemed to have a “conflict of interest” under</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Rule 5121, or Rule 5121, of the Financial Industry Regulatory Authority, Inc., or FINRA.</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Accordingly, this offering is being made in compliance with the requirements of Rule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5121. Pursuant to that rule, the appointment of a “qualified independent underwriter” is not</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required in connection with this offering, because a bona fide public market exists in the</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shares, as that term is defined in Rule 5121. See “Underwriting (Conflicts of Interest).”</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Controlled company</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After the completion of this offering, KKR Stockholders will collectively beneficially own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approximately 56% of the voting power of our common stock. We currently intend to avail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ourselves of the controlled company exemption under the corporate governance standards</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 Nasdaq.</w:t>
            </w:r>
          </w:p>
        </w:tc>
      </w:tr>
      <w:tr>
        <w:trPr>
          <w:trHeight w:val="240"/>
        </w:trPr>
        <w:tc>
          <w:tcPr>
            <w:tcW w:w="4100" w:type="dxa"/>
            <w:vAlign w:val="bottom"/>
            <w:tcBorders>
              <w:left w:val="single" w:sz="8" w:color="auto"/>
              <w:bottom w:val="single" w:sz="8" w:color="auto"/>
            </w:tcBorders>
          </w:tcPr>
          <w:p>
            <w:pPr>
              <w:spacing w:after="0"/>
              <w:rPr>
                <w:sz w:val="20"/>
                <w:szCs w:val="20"/>
                <w:color w:val="auto"/>
              </w:rPr>
            </w:pPr>
          </w:p>
        </w:tc>
        <w:tc>
          <w:tcPr>
            <w:tcW w:w="6920" w:type="dxa"/>
            <w:vAlign w:val="bottom"/>
            <w:tcBorders>
              <w:bottom w:val="single" w:sz="8" w:color="auto"/>
              <w:right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6920" w:type="dxa"/>
            <w:vAlign w:val="bottom"/>
          </w:tcPr>
          <w:p>
            <w:pPr>
              <w:ind w:left="13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181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18160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Investing in shares of our common stock involves a high degree of risk. See “Risk Factors” for a discussion of factors you should carefully consider before investing in shares of our common stock.</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7" w:lineRule="exact"/>
        <w:rPr>
          <w:sz w:val="20"/>
          <w:szCs w:val="20"/>
          <w:color w:val="auto"/>
        </w:rPr>
      </w:pPr>
    </w:p>
    <w:p>
      <w:pPr>
        <w:ind w:left="380" w:hanging="78"/>
        <w:spacing w:after="0" w:line="312" w:lineRule="auto"/>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ind w:right="280"/>
        <w:spacing w:after="0" w:line="263" w:lineRule="auto"/>
        <w:rPr>
          <w:sz w:val="20"/>
          <w:szCs w:val="20"/>
          <w:color w:val="auto"/>
        </w:rPr>
      </w:pPr>
      <w:r>
        <w:rPr>
          <w:rFonts w:ascii="Arial" w:cs="Arial" w:eastAsia="Arial" w:hAnsi="Arial"/>
          <w:sz w:val="18"/>
          <w:szCs w:val="18"/>
          <w:color w:val="auto"/>
        </w:rPr>
        <w:t>For a discussion of certain U.S. federal income and estate tax consequences that may be relevant to non-U.S. stockholders, see “Material U.S. Federal Income and Estate Tax Consequences to Non-U.S. Holders.”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“ASO.”</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Unless we indicate otherwise or the context otherwise requires, this prospectus reflects and assumes no exercise of the underwriters’ option to purchase 1,800,000 additional shares of our common stock.</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shares of common stock after this offering excludes:</w:t>
      </w:r>
    </w:p>
    <w:p>
      <w:pPr>
        <w:spacing w:after="0" w:line="131" w:lineRule="exact"/>
        <w:rPr>
          <w:sz w:val="20"/>
          <w:szCs w:val="20"/>
          <w:color w:val="auto"/>
        </w:rPr>
      </w:pPr>
    </w:p>
    <w:p>
      <w:pPr>
        <w:ind w:left="1240" w:right="40" w:hanging="415"/>
        <w:spacing w:after="0" w:line="287"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9,424,127 shares of common stock issuable upon exercise of outstanding options, (i) 6,381,288 of which are vested, with a weighted-average exercise price of $9.51 per share, and (ii) 3,042,839 of which are not vested, with a weighted-average exercise price of $16.87 per share, in each case, issued under the New Academy Holding Company, LLC 2011 Unit Incentive Plan, or the 2011 Equity Plan.</w:t>
      </w:r>
    </w:p>
    <w:p>
      <w:pPr>
        <w:spacing w:after="0" w:line="2"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See “Executive Compensation—Equity Compensation Plans—2011 Equity Plan;”</w:t>
      </w:r>
    </w:p>
    <w:p>
      <w:pPr>
        <w:spacing w:after="0" w:line="116" w:lineRule="exact"/>
        <w:rPr>
          <w:rFonts w:ascii="Arial" w:cs="Arial" w:eastAsia="Arial" w:hAnsi="Arial"/>
          <w:sz w:val="16"/>
          <w:szCs w:val="16"/>
          <w:color w:val="auto"/>
        </w:rPr>
      </w:pPr>
    </w:p>
    <w:p>
      <w:pPr>
        <w:ind w:left="1240" w:right="180" w:hanging="415"/>
        <w:spacing w:after="0" w:line="342"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1,413,286 shares of common stock issuable upon settlement of outstanding restricted stock units, all of which are not vested, in each case, issued under the 2011 Equity Plan. See “Executive Compensation—Equity Compensation Plans—2011 Equity Plan;”</w:t>
      </w:r>
    </w:p>
    <w:p>
      <w:pPr>
        <w:spacing w:after="0" w:line="29" w:lineRule="exact"/>
        <w:rPr>
          <w:rFonts w:ascii="Arial" w:cs="Arial" w:eastAsia="Arial" w:hAnsi="Arial"/>
          <w:sz w:val="16"/>
          <w:szCs w:val="16"/>
          <w:color w:val="auto"/>
        </w:rPr>
      </w:pPr>
    </w:p>
    <w:p>
      <w:pPr>
        <w:ind w:left="1240" w:right="40" w:hanging="415"/>
        <w:spacing w:after="0" w:line="30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172,464 shares of common stock issuable upon exercise of outstanding options, none of which are vested, with a weighted-average exercise price of $13.71, (ii) 36,813 shares of common stock issuable upon settlement of outstanding restricted stock units, none of which are vested, and (iii) 4,940,723 shares of common stock reserved for future issuance, in each case, under our new 2020 Omnibus Incentive Plan, or the 2020 Equity Plan. See “Executive Compensation—Equity Compensation Plans—2020 Equity Plan;” and</w:t>
      </w:r>
    </w:p>
    <w:p>
      <w:pPr>
        <w:spacing w:after="0" w:line="62" w:lineRule="exact"/>
        <w:rPr>
          <w:rFonts w:ascii="Arial" w:cs="Arial" w:eastAsia="Arial" w:hAnsi="Arial"/>
          <w:sz w:val="16"/>
          <w:szCs w:val="16"/>
          <w:color w:val="auto"/>
        </w:rPr>
      </w:pPr>
    </w:p>
    <w:p>
      <w:pPr>
        <w:ind w:left="1240" w:right="10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1,000,000 shares of common stock reserved for future issuance under our new 2020 Employee Stock Purchase Plan, or the ESPP.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61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4461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29" w:lineRule="exact"/>
        <w:rPr>
          <w:sz w:val="20"/>
          <w:szCs w:val="20"/>
          <w:color w:val="auto"/>
        </w:rPr>
      </w:pPr>
    </w:p>
    <w:p>
      <w:pPr>
        <w:ind w:left="300" w:right="260" w:firstLine="426"/>
        <w:spacing w:after="0" w:line="293"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February 1, 2020 and February 2, 2019 and for 2019, 2018 and 2017 has been derived from our audited consolidated financial statements included elsewhere in this prospectus. The summary historical financial data as of February 3, 2018 has been derived from our consolidated financial statements not included in this prospectus. The summary historical financial data as of and for the thirty-nine weeks ended October 31, 2020 and November 2,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64"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7"/>
          </w:tcPr>
          <w:p>
            <w:pPr>
              <w:ind w:left="12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1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February 1,</w:t>
            </w: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October 31,</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November 2,</w:t>
            </w:r>
          </w:p>
        </w:tc>
        <w:tc>
          <w:tcPr>
            <w:tcW w:w="320" w:type="dxa"/>
            <w:vAlign w:val="bottom"/>
            <w:gridSpan w:val="2"/>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Period length</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 weeks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1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18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15"/>
                <w:szCs w:val="15"/>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4,829,897</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4,783,893</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4,835,582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4,091,797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3,459,405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3,398,743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3,415,941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3,436,618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2,856,840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2,398,783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1,431,154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1,367,952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1,398,964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1,234,957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1,060,622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1,251,733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1,239,002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1,241,643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923,418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179,421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128,950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279,366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(Gain) on early retirement of debt, net</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932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Period length</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 weeks</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(In thousands, except store data and per share data)</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149,385</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75,691</w:t>
            </w:r>
          </w:p>
        </w:tc>
        <w:tc>
          <w:tcPr>
            <w:tcW w:w="4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31,045</w:t>
            </w:r>
          </w:p>
        </w:tc>
        <w:tc>
          <w:tcPr>
            <w:tcW w:w="4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869,725</w:t>
            </w:r>
          </w:p>
        </w:tc>
        <w:tc>
          <w:tcPr>
            <w:tcW w:w="3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43,538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1,099,749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1,134,156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1,223,486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1,082,907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1,331,969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538,795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582,789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605,083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750,990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571,788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4,331,321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3,238,957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3,323,046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4,981,916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4,488,709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debt, net of deferred loan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1,462,658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1,625,060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1,675,356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1,427,135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1,510,859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988,219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857,039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984,564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Cash Flow Data:</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198,481</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83,355</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857,218</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(99,027)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(115,901)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(13,790)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(52,579)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(123,192)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(54,808)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(123,088)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62,818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107,905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132,126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(21,915)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(48,614)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 (unaudited):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Comparable sales increase (decrease)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at end of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8"/>
              </w:rPr>
              <w:t>Total square feet at end of period (in millions)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sales per square foot</w:t>
            </w:r>
            <w:r>
              <w:rPr>
                <w:rFonts w:ascii="Arial" w:cs="Arial" w:eastAsia="Arial" w:hAnsi="Arial"/>
                <w:sz w:val="15"/>
                <w:szCs w:val="15"/>
                <w:color w:val="auto"/>
              </w:rPr>
              <w:t>(4)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300,259</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315,420</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428,640</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101,469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55,405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72,078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278,001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Income</w:t>
            </w:r>
            <w:r>
              <w:rPr>
                <w:rFonts w:ascii="Arial" w:cs="Arial" w:eastAsia="Arial" w:hAnsi="Arial"/>
                <w:sz w:val="15"/>
                <w:szCs w:val="15"/>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208,591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 Forma Adjusted Earnings per Share</w:t>
            </w:r>
            <w:r>
              <w:rPr>
                <w:rFonts w:ascii="Arial" w:cs="Arial" w:eastAsia="Arial" w:hAnsi="Arial"/>
                <w:sz w:val="15"/>
                <w:szCs w:val="15"/>
                <w:color w:val="auto"/>
              </w:rPr>
              <w:t>(5)</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r>
              <w:rPr>
                <w:rFonts w:ascii="Arial" w:cs="Arial" w:eastAsia="Arial" w:hAnsi="Arial"/>
                <w:sz w:val="15"/>
                <w:szCs w:val="15"/>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843,428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42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53rd week to 2017 net sales was $60.6 million.</w:t>
      </w:r>
    </w:p>
    <w:p>
      <w:pPr>
        <w:spacing w:after="0" w:line="23" w:lineRule="exact"/>
        <w:rPr>
          <w:rFonts w:ascii="Arial" w:cs="Arial" w:eastAsia="Arial" w:hAnsi="Arial"/>
          <w:sz w:val="18"/>
          <w:szCs w:val="18"/>
          <w:color w:val="auto"/>
        </w:rPr>
      </w:pPr>
    </w:p>
    <w:p>
      <w:pPr>
        <w:ind w:left="720" w:right="40" w:hanging="422"/>
        <w:spacing w:after="0" w:line="26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first half 2020 and in 2019 and 2017,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 of $6.3 million.</w:t>
      </w:r>
    </w:p>
    <w:p>
      <w:pPr>
        <w:ind w:left="720" w:right="60" w:hanging="422"/>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Arial" w:cs="Arial" w:eastAsia="Arial" w:hAnsi="Arial"/>
          <w:sz w:val="18"/>
          <w:szCs w:val="18"/>
          <w:color w:val="auto"/>
        </w:rPr>
      </w:pPr>
    </w:p>
    <w:p>
      <w:pPr>
        <w:ind w:left="720" w:right="520" w:hanging="422"/>
        <w:spacing w:after="0" w:line="290"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line="285"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less the retrospective tax effect of Adjusted Net Income (Loss)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68" w:lineRule="exact"/>
        <w:rPr>
          <w:rFonts w:ascii="Arial" w:cs="Arial" w:eastAsia="Arial" w:hAnsi="Arial"/>
          <w:sz w:val="16"/>
          <w:szCs w:val="16"/>
          <w:color w:val="auto"/>
        </w:rPr>
      </w:pPr>
    </w:p>
    <w:p>
      <w:pPr>
        <w:ind w:left="720"/>
        <w:spacing w:after="0" w:line="287" w:lineRule="auto"/>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59" w:lineRule="exact"/>
        <w:rPr>
          <w:rFonts w:ascii="Arial" w:cs="Arial" w:eastAsia="Arial" w:hAnsi="Arial"/>
          <w:sz w:val="16"/>
          <w:szCs w:val="16"/>
          <w:color w:val="auto"/>
        </w:rPr>
      </w:pPr>
    </w:p>
    <w:p>
      <w:pPr>
        <w:ind w:left="720" w:right="100"/>
        <w:spacing w:after="0" w:line="269" w:lineRule="auto"/>
        <w:rPr>
          <w:rFonts w:ascii="Arial" w:cs="Arial" w:eastAsia="Arial" w:hAnsi="Arial"/>
          <w:sz w:val="16"/>
          <w:szCs w:val="16"/>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Pro Forma Adjusted Net Income (Loss) and Pro Forma Adjusted Earnings per Share should not be construed to imply that our future results will be unaffected by unusual or non-recurring items. In evaluating Adjusted EBITDA, Adjusted Net Income (Loss), Pro Forma Adjusted Net Income (Loss), Pro Forma Adjusted Earnings per Share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98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4598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0"/>
        <w:spacing w:after="0" w:line="255" w:lineRule="auto"/>
        <w:rPr>
          <w:sz w:val="20"/>
          <w:szCs w:val="20"/>
          <w:color w:val="auto"/>
        </w:rPr>
      </w:pPr>
      <w:r>
        <w:rPr>
          <w:rFonts w:ascii="Arial" w:cs="Arial" w:eastAsia="Arial" w:hAnsi="Arial"/>
          <w:sz w:val="18"/>
          <w:szCs w:val="18"/>
          <w:color w:val="auto"/>
        </w:rPr>
        <w:t>Adjusted Free Cash Flow, you should be aware that in the future we may incur expenses that are the same as or similar to some of the adjustments in this presentation. Our presentation of Adjusted EBITDA, Adjusted Net Income (Loss), Pro Forma Adjusted Net Income (Loss), Pro Forma Adjusted Earnings per Share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Pro Forma Adjusted Earnings per Share and Adjusted Free Cash Flow supplementally.</w:t>
      </w:r>
    </w:p>
    <w:p>
      <w:pPr>
        <w:spacing w:after="0" w:line="84" w:lineRule="exact"/>
        <w:rPr>
          <w:sz w:val="20"/>
          <w:szCs w:val="20"/>
          <w:color w:val="auto"/>
        </w:rPr>
      </w:pPr>
    </w:p>
    <w:p>
      <w:pPr>
        <w:jc w:val="both"/>
        <w:ind w:left="720" w:right="160"/>
        <w:spacing w:after="0" w:line="263" w:lineRule="auto"/>
        <w:rPr>
          <w:sz w:val="20"/>
          <w:szCs w:val="20"/>
          <w:color w:val="auto"/>
        </w:rPr>
      </w:pPr>
      <w:r>
        <w:rPr>
          <w:rFonts w:ascii="Arial" w:cs="Arial" w:eastAsia="Arial" w:hAnsi="Arial"/>
          <w:sz w:val="18"/>
          <w:szCs w:val="18"/>
          <w:color w:val="auto"/>
        </w:rPr>
        <w:t>Our Adjusted EBITDA, Adjusted Net Income (Loss), Pro Forma Adjusted Net Income (Loss),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89" w:lineRule="exact"/>
        <w:rPr>
          <w:sz w:val="20"/>
          <w:szCs w:val="20"/>
          <w:color w:val="auto"/>
        </w:rPr>
      </w:pPr>
    </w:p>
    <w:p>
      <w:pPr>
        <w:ind w:left="1240" w:right="20" w:hanging="415"/>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costs or cash outlays for capital expenditures or contractual commitments;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changes in, or cash requirements for, our working capital needs;</w:t>
      </w:r>
    </w:p>
    <w:p>
      <w:pPr>
        <w:spacing w:after="0" w:line="75" w:lineRule="exact"/>
        <w:rPr>
          <w:rFonts w:ascii="Arial" w:cs="Arial" w:eastAsia="Arial" w:hAnsi="Arial"/>
          <w:sz w:val="18"/>
          <w:szCs w:val="18"/>
          <w:color w:val="auto"/>
        </w:rPr>
      </w:pPr>
    </w:p>
    <w:p>
      <w:pPr>
        <w:ind w:left="1240" w:right="40" w:hanging="415"/>
        <w:spacing w:after="0" w:line="342" w:lineRule="auto"/>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Adjusted EBITDA does not reflect period to period changes in taxes, income tax expense or the cash necessary to pay income taxes;</w:t>
      </w:r>
    </w:p>
    <w:p>
      <w:pPr>
        <w:spacing w:after="0" w:line="153" w:lineRule="exact"/>
        <w:rPr>
          <w:rFonts w:ascii="Arial" w:cs="Arial" w:eastAsia="Arial" w:hAnsi="Arial"/>
          <w:sz w:val="16"/>
          <w:szCs w:val="16"/>
          <w:color w:val="auto"/>
        </w:rPr>
      </w:pPr>
    </w:p>
    <w:p>
      <w:pPr>
        <w:ind w:left="1240" w:right="20" w:hanging="523"/>
        <w:spacing w:after="0" w:line="342"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and Pro Forma Adjusted Earnings per Share do not reflect the impact of earnings or charges resulting from matters we consider not to be indicative of our ongoing operations;</w:t>
      </w:r>
    </w:p>
    <w:p>
      <w:pPr>
        <w:spacing w:after="0" w:line="29" w:lineRule="exact"/>
        <w:rPr>
          <w:rFonts w:ascii="Arial" w:cs="Arial" w:eastAsia="Arial" w:hAnsi="Arial"/>
          <w:sz w:val="16"/>
          <w:szCs w:val="16"/>
          <w:color w:val="auto"/>
        </w:rPr>
      </w:pPr>
    </w:p>
    <w:p>
      <w:pPr>
        <w:ind w:left="1240" w:right="18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89" w:lineRule="exact"/>
        <w:rPr>
          <w:rFonts w:ascii="Arial" w:cs="Arial" w:eastAsia="Arial" w:hAnsi="Arial"/>
          <w:sz w:val="18"/>
          <w:szCs w:val="18"/>
          <w:color w:val="auto"/>
        </w:rPr>
      </w:pPr>
    </w:p>
    <w:p>
      <w:pPr>
        <w:ind w:left="1240" w:right="62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170"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Because of these limitations, Adjusted EBITDA, Adjusted Net Income (Loss), Pro Forma Adjusted Net Income (Loss), Pro Forma Adjusted Earnings per Share and Adjusted Free Cash Flow should not be considered as measures of discretionary cash available to invest in business growth or to reduce indebtedness.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9" w:right="6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The following tables provide reconciliations of net income (loss) to Adjusted EBITDA, Adjusted Net Income (Loss), Pro Forma Adjusted Net Income (Loss) and Pro Forma Adjusted Earnings per Share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rPr>
              <w:t>Thirty-Nine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$ 120,043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$ 217,242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102,305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101,307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108,652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104,857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70,487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117,254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134,190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135,680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79,718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 (a)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Adviser monitoring fee (b)</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14,793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Gain on early extinguishment of debt,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(42,265)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(7,831)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executive transition costs (d)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Costs related to the COVID-19 pandemic (e)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17,632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merchandising initiative (f)</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7,111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$ 322,814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$ 300,259</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$ 315,420</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$ 428,640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245,596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rPr>
              <w:t>Thirty-Nine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 except per share data)</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$ 120,043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$ 217,242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102,305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Consulting fees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Adviser monitoring fee (b)</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compensation (c)</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27,049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Severance and executive transition costs (d)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the COVID-19 pandemic (e)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merchandising initiative (f)</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(10,144)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Tax effects of these adjustments (h)</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$ 101,469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55,405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Estimated tax effect of change to C-Corporation status (i)</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(25,542)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(18,346)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(69,410)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Adjusted Net Income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75,927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41,338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53,732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$ 208,591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 Forma Adjusted Earnings per Share: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83,013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73,908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72,480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80" w:type="dxa"/>
            <w:vAlign w:val="bottom"/>
            <w:gridSpan w:val="3"/>
          </w:tcPr>
          <w:p>
            <w:pPr>
              <w:ind w:left="4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044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480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720" w:right="38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our contractual payments under our Monitoring Agreement with the Adviser, which was terminated in connection with the IPO. See “Certain Relationships and Related Party Transactions—Monitoring Agreement.”</w:t>
      </w:r>
    </w:p>
    <w:p>
      <w:pPr>
        <w:ind w:left="720" w:right="50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9" w:lineRule="exact"/>
        <w:rPr>
          <w:rFonts w:ascii="Arial" w:cs="Arial" w:eastAsia="Arial" w:hAnsi="Arial"/>
          <w:sz w:val="18"/>
          <w:szCs w:val="18"/>
          <w:color w:val="auto"/>
        </w:rPr>
      </w:pPr>
    </w:p>
    <w:p>
      <w:pPr>
        <w:ind w:left="720" w:right="26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Arial" w:cs="Arial" w:eastAsia="Arial" w:hAnsi="Arial"/>
          <w:sz w:val="18"/>
          <w:szCs w:val="18"/>
          <w:color w:val="auto"/>
        </w:rPr>
      </w:pPr>
    </w:p>
    <w:p>
      <w:pPr>
        <w:ind w:left="720" w:right="112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ind w:left="720" w:right="220" w:hanging="422"/>
        <w:spacing w:after="0" w:line="26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made to arrive at Adjusted Net Income (Loss) at our historical tax rate.</w:t>
      </w:r>
    </w:p>
    <w:p>
      <w:pPr>
        <w:spacing w:after="0" w:line="9" w:lineRule="exact"/>
        <w:rPr>
          <w:rFonts w:ascii="Arial" w:cs="Arial" w:eastAsia="Arial" w:hAnsi="Arial"/>
          <w:sz w:val="18"/>
          <w:szCs w:val="18"/>
          <w:color w:val="auto"/>
        </w:rPr>
      </w:pPr>
    </w:p>
    <w:p>
      <w:pPr>
        <w:ind w:left="720" w:right="980" w:hanging="422"/>
        <w:spacing w:after="0" w:line="323"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(Loss) at our estimated effective tax rate of 25% for periods prior to October 1, 2020, the effective date of our conversion to a C-Corporation, upon which we became subject to federal income taxes.</w:t>
      </w:r>
    </w:p>
    <w:p>
      <w:pPr>
        <w:spacing w:after="0" w:line="138" w:lineRule="exact"/>
        <w:rPr>
          <w:sz w:val="20"/>
          <w:szCs w:val="20"/>
          <w:color w:val="auto"/>
        </w:rPr>
      </w:pPr>
    </w:p>
    <w:p>
      <w:pPr>
        <w:ind w:left="300" w:right="860" w:firstLine="426"/>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9"/>
              </w:rPr>
              <w:t>Fiscal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4"/>
              </w:rPr>
              <w:t>Thirty-Nine Weeks</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3"/>
              </w:rPr>
              <w:t>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February 1,</w:t>
            </w:r>
          </w:p>
        </w:tc>
        <w:tc>
          <w:tcPr>
            <w:tcW w:w="26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w w:val="97"/>
              </w:rPr>
              <w:t>October 31,</w:t>
            </w:r>
          </w:p>
        </w:tc>
        <w:tc>
          <w:tcPr>
            <w:tcW w:w="18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w:t>
            </w:r>
          </w:p>
        </w:tc>
        <w:tc>
          <w:tcPr>
            <w:tcW w:w="14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90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$ 263,669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198,481</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$ 857,218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(99,027)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(115,901)</w:t>
            </w:r>
          </w:p>
        </w:tc>
        <w:tc>
          <w:tcPr>
            <w:tcW w:w="1120" w:type="dxa"/>
            <w:vAlign w:val="bottom"/>
            <w:gridSpan w:val="3"/>
          </w:tcPr>
          <w:p>
            <w:pPr>
              <w:jc w:val="right"/>
              <w:ind w:right="88"/>
              <w:spacing w:after="0"/>
              <w:rPr>
                <w:sz w:val="20"/>
                <w:szCs w:val="20"/>
                <w:color w:val="auto"/>
              </w:rPr>
            </w:pPr>
            <w:r>
              <w:rPr>
                <w:rFonts w:ascii="Arial" w:cs="Arial" w:eastAsia="Arial" w:hAnsi="Arial"/>
                <w:sz w:val="18"/>
                <w:szCs w:val="18"/>
                <w:color w:val="auto"/>
              </w:rPr>
              <w:t>(13,790)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(52,579)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Free Cash Flow</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$ 196,886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99,454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$ 843,428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40" w:type="dxa"/>
            <w:vAlign w:val="bottom"/>
            <w:gridSpan w:val="2"/>
          </w:tcPr>
          <w:p>
            <w:pPr>
              <w:jc w:val="right"/>
              <w:ind w:right="48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of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market volatility;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wages, jobs and unemployment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housing market, including real estate prices and mortgage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credit availability;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gasoline and fuel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rates and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rates and tax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immigration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and customs duties/tariffs and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natural or man-made disasters;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legislation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unrest, trade disputes, labor shortages, and other disruptions to the supply chain;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raw material and commodity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international security and safety concerns;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Increasing volatility in financial markets may cause some of the aforementioned conditions to change with even greater degree of frequency and magnitude. In addition, the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24"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9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shifts in behavior away from team sports and outdoor activities in favor of media and electronics-driven leisure activities;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local and federal government budget cuts on facilities and activities, such as school athletic budgets, parks, ball fields, recreational sports leagues, hunting and fishing services, etc.;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legal and regulatory changes in federal and state hunting and fishing seasons, bag limits and firearm and ammunition restrictions;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escalating costs of sporting and outdoor activities due to adverse changes in economic conditions, including rising fuel prices, rising participation fees and rising sporting license fees;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Intense competition in the sporting goods and outdoor recreation retail industries could limit our growth and reduce our profitability.</w:t>
      </w:r>
    </w:p>
    <w:p>
      <w:pPr>
        <w:spacing w:after="0" w:line="1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specialty footwear retailers;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catalogue and internet retailers.</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impact of COVID-19 may adversely affect our business and financial results.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7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8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76"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A significant amount of our merchandise is produced in China and the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4" w:lineRule="exact"/>
        <w:rPr>
          <w:sz w:val="20"/>
          <w:szCs w:val="20"/>
          <w:color w:val="auto"/>
        </w:rPr>
      </w:pPr>
    </w:p>
    <w:p>
      <w:pPr>
        <w:ind w:left="120" w:right="160"/>
        <w:spacing w:after="0" w:line="340" w:lineRule="auto"/>
        <w:rPr>
          <w:sz w:val="20"/>
          <w:szCs w:val="20"/>
          <w:color w:val="auto"/>
        </w:rPr>
      </w:pPr>
      <w:r>
        <w:rPr>
          <w:rFonts w:ascii="Arial" w:cs="Arial" w:eastAsia="Arial" w:hAnsi="Arial"/>
          <w:sz w:val="15"/>
          <w:szCs w:val="15"/>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23"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6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95"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89"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3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8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General trade tensions between the United States and China began escalating in 2018, with multiple rounds of U.S. tariffs on Chinese goods taking effect. The Trump administration has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8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website design and content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2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9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62"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29" w:lineRule="exact"/>
        <w:rPr>
          <w:sz w:val="20"/>
          <w:szCs w:val="20"/>
          <w:color w:val="auto"/>
        </w:rPr>
      </w:pPr>
    </w:p>
    <w:p>
      <w:pPr>
        <w:ind w:left="1080" w:right="10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purchase, manufacture, import, distribution and sale of our owned brand products;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municipalities or other organizations attempting to recover costs from firearm manufacturers and retailers, relating to the use of firearms and ammunition;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operations of a fleet of trucks for distribution purposes, including transportation of hazardous materials by such fleet;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procurement and ownership, leasing or operation of property for retail stores, distribution centers and other corporate needs;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alleged infringement upon intellectual property rights to merchandise we sell or technology or services we use, including information technology, marketing and advertising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sourcing, including international, customs and trade issues;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 estate issues, including construction, leasing, zoning and environmental issues;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disputes, including contractual and business disputes with vendors, landlords, or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tort, personal injury and property damage claims related to our stores, e-commerce, distribution centers or corporate headquarters; and</w:t>
      </w:r>
    </w:p>
    <w:p>
      <w:pPr>
        <w:spacing w:after="0" w:line="153" w:lineRule="exact"/>
        <w:rPr>
          <w:rFonts w:ascii="Arial" w:cs="Arial" w:eastAsia="Arial" w:hAnsi="Arial"/>
          <w:sz w:val="16"/>
          <w:szCs w:val="16"/>
          <w:color w:val="auto"/>
        </w:rPr>
      </w:pPr>
    </w:p>
    <w:p>
      <w:pPr>
        <w:jc w:val="both"/>
        <w:ind w:left="1080" w:right="240" w:hanging="424"/>
        <w:spacing w:after="0" w:line="31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may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6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7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Harm to our reputation could adversely impact our ability to attract and retain customers, team members, vendors and/or other partners.</w:t>
      </w:r>
    </w:p>
    <w:p>
      <w:pPr>
        <w:spacing w:after="0" w:line="14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8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62"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5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of normal operations;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or other operating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or general computer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maintaining accuracy of historical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and dedication of key business resources to the updating of existing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ability to attract and retain adequate experienced technical resources and third-party contractors for the updating of existing systems;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unknown impact on remaining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adequacy of training and change management to address critical changes in business processes and job functions;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311" w:lineRule="auto"/>
        <w:rPr>
          <w:sz w:val="20"/>
          <w:szCs w:val="20"/>
          <w:color w:val="auto"/>
        </w:rPr>
      </w:pPr>
      <w:r>
        <w:rPr>
          <w:rFonts w:ascii="Arial" w:cs="Arial" w:eastAsia="Arial" w:hAnsi="Arial"/>
          <w:sz w:val="16"/>
          <w:szCs w:val="16"/>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86"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7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303"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6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e-commerce activities expose us to various risks that could have a material adverse impact on our overall results of operations.</w:t>
      </w:r>
    </w:p>
    <w:p>
      <w:pPr>
        <w:spacing w:after="0" w:line="1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7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expansion of our sales across the United States, thereby, subjecting us to the regulatory and other requirements of the 50 states;</w:t>
      </w:r>
    </w:p>
    <w:p>
      <w:pPr>
        <w:spacing w:after="0" w:line="142"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keep pace with rapid technological change and maintain investments necessary for our e-commerce operation;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compliance issues related to the online sale of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litigation related to the enforcement of patent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privacy and personal data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protection against credit card and gift card fraud;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fulfillment, inventory control and shipping issues for e-commerce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issues, including state sales tax collection for e-commerce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hiring, retention and training of personnel qualified to conduct our e-commerce operation;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ability to procure adequate computer hardware and software and technology services and solutions from third-party providers;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7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6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76" w:lineRule="exact"/>
        <w:rPr>
          <w:sz w:val="20"/>
          <w:szCs w:val="20"/>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and profitably conduct sourcing and manufacturing activities internally or with third-party agents, manufacturers and distributors;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mandatory or voluntary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claims and lawsuits resulting from injuries associated with the use of our owned brand merchandise;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protect our intellectual property or other proprietary rights (e.g., defending against counterfeit, knock-offs, grey-market, infringing or otherwise unauthorized goods);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successfully navigate and avoid claims related to the intellectual property or other proprietary rights of third parties;</w:t>
      </w:r>
    </w:p>
    <w:p>
      <w:pPr>
        <w:spacing w:after="0" w:line="142" w:lineRule="exact"/>
        <w:rPr>
          <w:rFonts w:ascii="Arial" w:cs="Arial" w:eastAsia="Arial" w:hAnsi="Arial"/>
          <w:sz w:val="17"/>
          <w:szCs w:val="17"/>
          <w:color w:val="auto"/>
        </w:rPr>
      </w:pPr>
    </w:p>
    <w:p>
      <w:pPr>
        <w:ind w:left="1080" w:right="1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29"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failure to adequately address some or all of these risks could have a material adverse effect on our business, results of operations and financial condition.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quarterly operating results and comparable sales may fluctuate due to seasonality and other factors outside of our control.</w:t>
      </w:r>
    </w:p>
    <w:p>
      <w:pPr>
        <w:spacing w:after="0" w:line="1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quarterly results of operations and comparable sales have historically fluctuated, and may continue to fluctuate, as a result of factors outside our control, including:</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unseasonal or extreme weather conditions, natural or man-made disasters (such as snow storms, hurricanes, tornadoes, and floods);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catastrophic or tragic events (such as tragedies involving firearms or public health pandemics) in or affecting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demand for the products that we offer in our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new product introduction;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lockouts or strikes involving professional sports teams;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retirement of sports superstars used in marketing various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sports scandals, including those involving leagues, associations, teams or athletes with ties to us or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the closure of existing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or failure of college and professional sports teams in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existing or entry of new competitors into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consolidation of competitors in our markets;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320" w:top="459" w:right="5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shift in consumer tastes and fashion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calendar shifts or holiday or seasonal periods;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income tax refunds to customers;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regulations, politics or consumer advocacy affecting our business, including sentiment relating to the sale of firearms and ammunition;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cancellations of tax-free holidays in certain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promotions or other actions taken by us or our existing or possible new competitors;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other tenants or landlords or surrounding geographic circumstances in the shopping centers in which we are located.</w:t>
      </w:r>
    </w:p>
    <w:p>
      <w:pPr>
        <w:spacing w:after="0" w:line="23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57" w:lineRule="exact"/>
        <w:rPr>
          <w:sz w:val="20"/>
          <w:szCs w:val="20"/>
          <w:color w:val="auto"/>
        </w:rPr>
      </w:pPr>
    </w:p>
    <w:p>
      <w:pPr>
        <w:jc w:val="both"/>
        <w:ind w:left="120" w:right="140"/>
        <w:spacing w:after="0" w:line="340" w:lineRule="auto"/>
        <w:rPr>
          <w:sz w:val="20"/>
          <w:szCs w:val="20"/>
          <w:color w:val="auto"/>
        </w:rPr>
      </w:pPr>
      <w:r>
        <w:rPr>
          <w:rFonts w:ascii="Arial" w:cs="Arial" w:eastAsia="Arial" w:hAnsi="Arial"/>
          <w:sz w:val="15"/>
          <w:szCs w:val="15"/>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23"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27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6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significantly dependent on our ability to meet our labor needs.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success of our business depends significantly on our ability to hire and retain quality team members, including store managers,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7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stores are located primarily in the southern United States which could subject us to regional risks.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62"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 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6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6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loss of our key executives could have a material adverse effect on our business.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We may pursue strategic acquisitions, which could have an adverse impact on our business, as could assimilation of companies following acquisition.</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and advertising programs.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1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October 31, 2020, after giving effect to the Refinancing Transactions, we would have had approximately $800.0 million of outstanding indebtedness, all of which would be secured, with $844.7 million of unused availability under the ABL Facility (which is subject to customary borrowing conditions, including a borrowing base), and outstanding letters of credit of $30.8 million, $21.1 million of which were issued under the ABL Facility.</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overall level of indebtedness requires that we dedicate a substantial portion of our cash flows to debt service payments. Our substantial indebtedness reduces the funds that would otherwise be available for operations, future business opportunities and payments of our debt obligations and limits our ability to:</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obtain additional financing, if necessary, for working capital and operations, or such financing may not be available on favorable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react to changes or withstand a future downturn in our business, the industry or the economy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meet store growth, distribution center expansion, e-commerce growth, budget targets and forecasts of future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react to competitive pressures or compete with competitors with less debt.</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and/or holders of the 2027 Notes could foreclose against the assets securing their borrowings, and we could be forced into bankruptcy or liquidation.</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6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Despite our high level of indebtedness, we may be able to incur significant additional indebtedness in the future, including off-balance sheet financings, trade credit, contractual obligations and general and commercial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liabilities. Although the credit agreements governing the Term Loan Facility and the ABL Facility and the indenture governing the 2027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October 31, 2020, after giving effect to the Refinancing Transactions, we would have had no borrowings outstanding under the ABL Facility, and an available borrowing capacity under the ABL Facility of approximately $844.7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the greater of (x) $480.0 million and (y) 100% of Consolidated EBITDA (as defined in the Term Loan Facility),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and the indenture governing the 2027 Notes will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8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cannot generate sufficient cash flow to permit us to make scheduled payments on our debt, then we will be in default and holders of that debt could declare all outstanding principal and interest to be due and payable. If our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and/or holders of the 2027 Notes could foreclose against the assets securing their borrowings and we could be forced into bankruptcy or liquidation.</w:t>
      </w:r>
    </w:p>
    <w:p>
      <w:pPr>
        <w:spacing w:after="0" w:line="53"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credit agreements governing the Term Loan Facility and the ABL Facility and the indenture governing the 2027 Notes contain restrictive covenants that impose significant operating and financial restrictions on us and may limit our ability to engage in acts that may be in our best interest, including restrictions on our ability to:</w:t>
      </w:r>
    </w:p>
    <w:p>
      <w:pPr>
        <w:spacing w:after="0" w:line="8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loans, investments and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Additionally, at certain times, the ABL Facility requires maintenance of a certain minimum adjusted fixed charge coverage ratio. Our ability to comply with the covenants and restrictions contained in the credit agreements and the indenture may be affected by events beyond our control. If market or other economic conditions deteriorate, our ability to comply with these covenants and restrictions may be impaired.</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indebtedness were to be accelerated, there can be no assurance that we would have, or be able to obtain, sufficient funds to repay such indebtedness in full. In addition, an event of default under the credit agreement governing the ABL Facility would permit the lenders under our ABL Facility to terminate all commitments to extend further credit under that facility. Furthermore, if we were unable to repay the amounts due and payable under our secured indebtedness, the lenders/holders of such indebtedness could proceed against the collateral granted to them to secure that indebtedness, and we could be forced into bankruptcy or liquidation.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variable rate indebtedness subjects us to interest rate risk, which could cause our debt service obligations to increase significantly.</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7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One of our sources of liquidity is the ABL Facility. Each financial institution that is a lender under the ABL Facility is responsible on a several but not joint basis for providing a portion of the loans to be made under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29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the rules of the SEC and, as a result, qualify for, and rely on, exemptions from certain corporate governance requirements. You will not have the same protections afforded to stockholders of other companies that are subject to such requirements.</w:t>
      </w:r>
    </w:p>
    <w:p>
      <w:pPr>
        <w:spacing w:after="0" w:line="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After completion of this offering, KKR Stockholders will collectively beneficially own approximately 56% of the voting power of common stock (or approximately 55% if the underwriters exercise in full their option to purchase additional shares). As a result, we will continue to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93"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director nominees be selected, or recommended for our board of directors’ selection by a nominating/governance committee comprised solely of independent directors;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compensation of our executive officers be determined, or recommended to our board of directors for determination, by a compensation committee comprised solely of independent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Because we utilize these exemptions, we do not have a majority of independent directors, our compensation committee and nominating and governance committee do not consist entirely of independent directors. Accordingly, you will not have the same protections afforded to stockholders of companies that are subject to all of the corporate governance requirements of Nasdaq.</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KKR Stockholders control us and their interests may conflict with yours in the future.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Immediately following this offering, KKR Stockholders will collectively beneficially own approximately 56% of the voting power of our common stock (or approximately 55% if the underwriters exercise in full their option to purchase additional shares). KKR Stockholders will be able to continue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appoint individuals to our board of directors under the stockholders agreement. See “Certain Relationships and Related Party Transactions—Stockholders Agreement.” The interests of KKR Stockholders may not coincide with the interests of other holders of our common stock.</w:t>
      </w:r>
    </w:p>
    <w:p>
      <w:pPr>
        <w:spacing w:after="0" w:line="17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ordinary course of their business activities, KKR Stockholders and their affiliates may engage in activities where their interests conflict with our interests or those of our stockholders. Our certificate of incorporation provides that any of KKR Stockholders, any of their affiliates or any director who is not employed by us (including any non-employee director who serves as one of our officers in both his or her director and officer capacities) or his or her affiliates does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192"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In addition, KKR Stockholders and their affiliates are able to determine the outcome of all matters requiring stockholder approval and are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9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incur additional costs associated with the requirements of being a public company, and our management will be required to devote substantial time to compliance, adding complexity to running to our business.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public company, we incur significant legal, regulatory, finance, accounting, investor relations, insurance and other expenses that we did not incur as a private company, including costs associated with public company governance and reporting requirements and costs of recruiting and retaining non-executive directors. We also have incurred and will continue to incur costs associated with the Sarbanes-Oxley Act, and the Dodd-Frank Wall Street Reform and Consumer Protection Act, or the Dodd-Frank Act, and related rules implemented by the SEC, and costs in connection with continued listing on Nasdaq. The expenses incurred by public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companies generally for reporting and corporate governance purposes have been increasing. Our efforts to comply with these rules and regulations have significantly increased our legal and financial compliance costs, and have made some activities more time-consuming and/or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73"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w:t>
      </w:r>
    </w:p>
    <w:p>
      <w:pPr>
        <w:spacing w:after="0" w:line="12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404(a) of the Sarbanes-Oxley Act, or Section 404, to furnish a report by management on, among other things, the effectiveness of our internal control over financial reporting in the annual report for the fiscal year ended January 29, 2022.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7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You may be diluted by the future issuance of additional common stock in connection with our incentive plans, acquisitions or otherwise.</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After this offering, we will have approximately 209 million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ESPP. See “Executive Compensation—Equity Compensation Plans.”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30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2"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4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Upon the completion of this offering, we will have a total of 90,936,907 shares of our common stock outstanding. Of the outstanding shares, the 29,432,495 shares sold in the IPO and this offering (or 31,232,495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stockholders), may be sold only in compliance with the limitations described in “Shares Eligible for Future Sale.”</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remaining outstanding 61,504,412 shares of common stock held by our existing stockholders after this offering (or approximately 59,704,412 shares if the underwriters exercise in full their option to purchase additional shares), representing approximately 68% of the total outstanding shares of our common stock following this offering (or approximately 66% if the underwriters exercise in full their option to purchase additional shares),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9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our executive officers, directors and the selling stockholders will sign lock-up agreements with the underwriters that will, subject to certain customary exceptions, restrict the sale of the shares of our common stock and certain other securities held by them for 90 days (or in the case of the executive officers other than our chief executive officer and our chief financial officer, 60 days) following the date of this prospectus. Credit Suisse Securities (USA) LLC and J.P. Morgan Securities LLC may, in their sole discretion and at any time without notice, release all or any portion of the shares or securities subject to any such lock-up agreements. See “Underwriting (Conflicts of Interest)” for a description of these lock-up agreements. In addition, holders of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 certain of such IPO lock-up agreements to permit the filing of this registration statement and are expected to waive certain of the IPO lock-up agreements to permit the sale of our common stock in this offering by the selling stockholders.</w:t>
      </w:r>
    </w:p>
    <w:p>
      <w:pPr>
        <w:spacing w:after="0" w:line="16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Upon the expiration of the lock-up agreements described above, all of such shares will be eligible for resale in a public market pursuant to Rule 144, subject to our compliance with the public information requirement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the case of shares held by our affiliates, to volume, manner of sale and other limitations under Rule 144. We expect that certain of our existing stockholders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6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pursuant to a registration rights agreement, KKR Stockholders and the Gochman Investors will each have the right, subject to certain conditions, to require us to register the sale of their shares of our common stock under the Securities Act. See “Certain Relationships and Related Party Transactions—Registration Rights Agreement.” By exercising their registration rights and selling a large number of shares, KKR Stockholders and/or the Gochman Investors could cause the prevailing market price of our common stock to decline. Certain of our existing stockholders have “piggyback” registration rights with respect to future registered offerings of our common stock. Following completion of this offering, the shares covered by registration rights would represent approximately 67% of our total common stock outstanding (or approximately 65%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165"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statements are available for sale in the open market. The initial registration statement on Form S-8 covered 15,983,311 shares of our common stock.</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provide for, among other things:</w:t>
      </w:r>
    </w:p>
    <w:p>
      <w:pPr>
        <w:spacing w:after="0" w:line="131" w:lineRule="exact"/>
        <w:rPr>
          <w:sz w:val="20"/>
          <w:szCs w:val="20"/>
          <w:color w:val="auto"/>
        </w:rPr>
      </w:pPr>
    </w:p>
    <w:p>
      <w:pPr>
        <w:ind w:left="1080" w:right="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8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9"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63"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w:t>
      </w:r>
    </w:p>
    <w:p>
      <w:pPr>
        <w:ind w:left="120" w:hanging="4"/>
        <w:spacing w:after="0" w:line="251"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will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320" w:top="459" w:right="5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0"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of severe weather events, catastrophic health events, natural or man-made disasters, social and political conditions or civil unrest;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merchandise costs and availability;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manage the growth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expenses incurred by the selling shareholders for brokerage, accounting, tax or legal services or any other expenses incurred by the selling shareholders.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“Selling Stockholders.”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320" w:top="459" w:right="5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sets forth our cash and cash equivalents and capitalization as of October 31, 2020 on an actual basis and on an as adjusted basis to reflect the IPO Option Exercise and the Refinancing Transactions.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As of October 31, 2020</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Actual</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00" w:type="dxa"/>
            <w:vAlign w:val="bottom"/>
            <w:vMerge w:val="restart"/>
          </w:tcPr>
          <w:p>
            <w:pPr>
              <w:spacing w:after="0"/>
              <w:rPr>
                <w:sz w:val="20"/>
                <w:szCs w:val="20"/>
                <w:color w:val="auto"/>
              </w:rPr>
            </w:pPr>
            <w:r>
              <w:rPr>
                <w:rFonts w:ascii="Arial" w:cs="Arial" w:eastAsia="Arial" w:hAnsi="Arial"/>
                <w:sz w:val="14"/>
                <w:szCs w:val="14"/>
                <w:color w:val="auto"/>
              </w:rPr>
              <w:t>(In thousands, except par value)</w:t>
            </w:r>
          </w:p>
        </w:tc>
        <w:tc>
          <w:tcPr>
            <w:tcW w:w="3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unaudited</w:t>
            </w: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(unaudited</w:t>
            </w: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869,725</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245,456</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2027 Notes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394,870</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ABL Facility</w:t>
            </w:r>
            <w:r>
              <w:rPr>
                <w:rFonts w:ascii="Arial" w:cs="Arial" w:eastAsia="Arial" w:hAnsi="Arial"/>
                <w:sz w:val="15"/>
                <w:szCs w:val="15"/>
                <w:color w:val="auto"/>
              </w:rPr>
              <w:t>(1)</w:t>
            </w: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 Term Loan Facility</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1,427,135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Term Loan Facility</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390,181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1,427,135</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785,051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Preferred stock, $0.01 par value per share, 50,000 shares authorized,</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 issued and outstanding</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$0.01 par value per share, 300,000 shares authorized,</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40"/>
              <w:spacing w:after="0"/>
              <w:rPr>
                <w:sz w:val="20"/>
                <w:szCs w:val="20"/>
                <w:color w:val="auto"/>
              </w:rPr>
            </w:pPr>
            <w:r>
              <w:rPr>
                <w:rFonts w:ascii="Arial" w:cs="Arial" w:eastAsia="Arial" w:hAnsi="Arial"/>
                <w:sz w:val="18"/>
                <w:szCs w:val="18"/>
                <w:color w:val="auto"/>
              </w:rPr>
              <w:t>88,104 shares issued and outstanding</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881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93,064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115,147</w:t>
            </w:r>
          </w:p>
        </w:tc>
        <w:tc>
          <w:tcPr>
            <w:tcW w:w="0" w:type="dxa"/>
            <w:vAlign w:val="bottom"/>
          </w:tcPr>
          <w:p>
            <w:pPr>
              <w:spacing w:after="0"/>
              <w:rPr>
                <w:sz w:val="1"/>
                <w:szCs w:val="1"/>
                <w:color w:val="auto"/>
              </w:rPr>
            </w:pPr>
          </w:p>
        </w:tc>
      </w:tr>
      <w:tr>
        <w:trPr>
          <w:trHeight w:val="324"/>
        </w:trPr>
        <w:tc>
          <w:tcPr>
            <w:tcW w:w="57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895,646</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891,360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and other comprehensive income (loss)</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(5,027)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30"/>
        </w:trPr>
        <w:tc>
          <w:tcPr>
            <w:tcW w:w="57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984,564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1,002,379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capitalization</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2,411,699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1,787,430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6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October 31, 2020, there were $30.8 million letters of credit outstanding, $21.1 million of which were issued under the ABL Facility. For a further description of our ABL Facility, see “Description of Certain Indebtedness.”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thirty-nine weeks ended October 31, 2020 and November 2, 2019 have been derived from our unaudited condensed consolidated financial statements and related notes thereto included elsewhere in this prospectus. The results of operations for any period are not necessarily indicative of the results to be expected for any future period.</w:t>
      </w:r>
    </w:p>
    <w:p>
      <w:pPr>
        <w:spacing w:after="0" w:line="19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February 1,</w:t>
            </w:r>
          </w:p>
        </w:tc>
        <w:tc>
          <w:tcPr>
            <w:tcW w:w="92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February 3,</w:t>
            </w: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January 28,</w:t>
            </w: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30,</w:t>
            </w:r>
          </w:p>
        </w:tc>
        <w:tc>
          <w:tcPr>
            <w:tcW w:w="22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October 31,</w:t>
            </w: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November 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3"/>
              <w:spacing w:after="0" w:line="123" w:lineRule="exact"/>
              <w:rPr>
                <w:sz w:val="20"/>
                <w:szCs w:val="20"/>
                <w:color w:val="auto"/>
              </w:rPr>
            </w:pPr>
            <w:r>
              <w:rPr>
                <w:rFonts w:ascii="Arial" w:cs="Arial" w:eastAsia="Arial" w:hAnsi="Arial"/>
                <w:sz w:val="14"/>
                <w:szCs w:val="14"/>
                <w:color w:val="auto"/>
                <w:w w:val="91"/>
              </w:rPr>
              <w:t>53 weeks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4"/>
              <w:spacing w:after="0" w:line="123" w:lineRule="exact"/>
              <w:rPr>
                <w:sz w:val="20"/>
                <w:szCs w:val="20"/>
                <w:color w:val="auto"/>
              </w:rPr>
            </w:pPr>
            <w:r>
              <w:rPr>
                <w:rFonts w:ascii="Arial" w:cs="Arial" w:eastAsia="Arial" w:hAnsi="Arial"/>
                <w:sz w:val="14"/>
                <w:szCs w:val="14"/>
                <w:color w:val="auto"/>
                <w:w w:val="91"/>
              </w:rPr>
              <w:t>39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3"/>
              <w:spacing w:after="0" w:line="123" w:lineRule="exact"/>
              <w:rPr>
                <w:sz w:val="20"/>
                <w:szCs w:val="20"/>
                <w:color w:val="auto"/>
              </w:rPr>
            </w:pPr>
            <w:r>
              <w:rPr>
                <w:rFonts w:ascii="Arial" w:cs="Arial" w:eastAsia="Arial" w:hAnsi="Arial"/>
                <w:sz w:val="14"/>
                <w:szCs w:val="14"/>
                <w:color w:val="auto"/>
                <w:w w:val="91"/>
              </w:rPr>
              <w:t>39 weeks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15"/>
                <w:szCs w:val="15"/>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4,829,897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4,783,893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4,835,582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4,738,474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4,646,686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4,091,797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3,459,405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3,398,743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3,415,941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3,436,618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3,419,784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3,299,972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2,856,840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2,398,783</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1,431,154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1,398,964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1,318,690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1,346,714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1,234,957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1,060,622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4"/>
              </w:rPr>
              <w:t>Selling, general and administrative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1,251,733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1,239,002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1,241,643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1,171,411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1,094,500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955,591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923,418</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179,421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147,279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279,366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104,857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70,487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5"/>
              </w:rPr>
              <w:t>(Gain) loss on early retirement of debt, net</w:t>
            </w:r>
            <w:r>
              <w:rPr>
                <w:rFonts w:ascii="Arial" w:cs="Arial" w:eastAsia="Arial" w:hAnsi="Arial"/>
                <w:sz w:val="15"/>
                <w:szCs w:val="15"/>
                <w:color w:val="auto"/>
                <w:w w:val="95"/>
              </w:rPr>
              <w:t>(2)</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(42,265)</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55,498</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(7,831)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61,282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82,699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120,043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217,242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61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10"/>
          </w:tcPr>
          <w:p>
            <w:pPr>
              <w:jc w:val="center"/>
              <w:ind w:right="44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6"/>
          </w:tcPr>
          <w:p>
            <w:pPr>
              <w:jc w:val="center"/>
              <w:ind w:right="80"/>
              <w:spacing w:after="0" w:line="119" w:lineRule="exact"/>
              <w:rPr>
                <w:sz w:val="20"/>
                <w:szCs w:val="20"/>
                <w:color w:val="auto"/>
              </w:rPr>
            </w:pPr>
            <w:r>
              <w:rPr>
                <w:rFonts w:ascii="Arial" w:cs="Arial" w:eastAsia="Arial" w:hAnsi="Arial"/>
                <w:sz w:val="13"/>
                <w:szCs w:val="13"/>
                <w:b w:val="1"/>
                <w:bCs w:val="1"/>
                <w:color w:val="auto"/>
              </w:rPr>
              <w:t>February 3,</w:t>
            </w:r>
          </w:p>
        </w:tc>
        <w:tc>
          <w:tcPr>
            <w:tcW w:w="4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jc w:val="center"/>
              <w:ind w:right="520"/>
              <w:spacing w:after="0" w:line="119" w:lineRule="exact"/>
              <w:rPr>
                <w:sz w:val="20"/>
                <w:szCs w:val="20"/>
                <w:color w:val="auto"/>
              </w:rPr>
            </w:pPr>
            <w:r>
              <w:rPr>
                <w:rFonts w:ascii="Arial" w:cs="Arial" w:eastAsia="Arial" w:hAnsi="Arial"/>
                <w:sz w:val="13"/>
                <w:szCs w:val="13"/>
                <w:b w:val="1"/>
                <w:bCs w:val="1"/>
                <w:color w:val="auto"/>
              </w:rPr>
              <w:t>January 28,</w:t>
            </w:r>
          </w:p>
        </w:tc>
        <w:tc>
          <w:tcPr>
            <w:tcW w:w="7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30,</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Pr>
          <w:p>
            <w:pPr>
              <w:spacing w:after="0"/>
              <w:rPr>
                <w:sz w:val="14"/>
                <w:szCs w:val="14"/>
                <w:color w:val="auto"/>
              </w:rPr>
            </w:pPr>
          </w:p>
        </w:tc>
        <w:tc>
          <w:tcPr>
            <w:tcW w:w="76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00"/>
              <w:spacing w:after="0" w:line="123" w:lineRule="exact"/>
              <w:rPr>
                <w:sz w:val="20"/>
                <w:szCs w:val="20"/>
                <w:color w:val="auto"/>
              </w:rPr>
            </w:pPr>
            <w:r>
              <w:rPr>
                <w:rFonts w:ascii="Arial" w:cs="Arial" w:eastAsia="Arial" w:hAnsi="Arial"/>
                <w:sz w:val="14"/>
                <w:szCs w:val="14"/>
                <w:color w:val="auto"/>
                <w:w w:val="91"/>
              </w:rPr>
              <w:t>52 weeks</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52 weeks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4"/>
          </w:tcPr>
          <w:p>
            <w:pPr>
              <w:jc w:val="center"/>
              <w:ind w:right="28"/>
              <w:spacing w:after="0" w:line="123" w:lineRule="exact"/>
              <w:rPr>
                <w:sz w:val="20"/>
                <w:szCs w:val="20"/>
                <w:color w:val="auto"/>
              </w:rPr>
            </w:pPr>
            <w:r>
              <w:rPr>
                <w:rFonts w:ascii="Arial" w:cs="Arial" w:eastAsia="Arial" w:hAnsi="Arial"/>
                <w:sz w:val="14"/>
                <w:szCs w:val="14"/>
                <w:color w:val="auto"/>
                <w:w w:val="91"/>
              </w:rPr>
              <w:t>53 weeks</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Borders>
              <w:top w:val="single" w:sz="8" w:color="auto"/>
            </w:tcBorders>
            <w:gridSpan w:val="4"/>
          </w:tcPr>
          <w:p>
            <w:pPr>
              <w:jc w:val="center"/>
              <w:spacing w:after="0" w:line="123" w:lineRule="exact"/>
              <w:rPr>
                <w:sz w:val="20"/>
                <w:szCs w:val="20"/>
                <w:color w:val="auto"/>
              </w:rPr>
            </w:pPr>
            <w:r>
              <w:rPr>
                <w:rFonts w:ascii="Arial" w:cs="Arial" w:eastAsia="Arial" w:hAnsi="Arial"/>
                <w:sz w:val="14"/>
                <w:szCs w:val="14"/>
                <w:color w:val="auto"/>
                <w:w w:val="91"/>
              </w:rPr>
              <w:t>52 weeks</w:t>
            </w:r>
          </w:p>
        </w:tc>
        <w:tc>
          <w:tcPr>
            <w:tcW w:w="50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13"/>
              <w:spacing w:after="0" w:line="123" w:lineRule="exact"/>
              <w:rPr>
                <w:sz w:val="20"/>
                <w:szCs w:val="20"/>
                <w:color w:val="auto"/>
              </w:rPr>
            </w:pPr>
            <w:r>
              <w:rPr>
                <w:rFonts w:ascii="Arial" w:cs="Arial" w:eastAsia="Arial" w:hAnsi="Arial"/>
                <w:sz w:val="14"/>
                <w:szCs w:val="14"/>
                <w:color w:val="auto"/>
              </w:rPr>
              <w:t>52 weeks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39 weeks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32"/>
              <w:spacing w:after="0" w:line="123" w:lineRule="exact"/>
              <w:rPr>
                <w:sz w:val="20"/>
                <w:szCs w:val="20"/>
                <w:color w:val="auto"/>
              </w:rPr>
            </w:pPr>
            <w:r>
              <w:rPr>
                <w:rFonts w:ascii="Arial" w:cs="Arial" w:eastAsia="Arial" w:hAnsi="Arial"/>
                <w:sz w:val="14"/>
                <w:szCs w:val="14"/>
                <w:color w:val="auto"/>
              </w:rPr>
              <w:t>39 weeks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3"/>
              </w:rPr>
              <w:t>Net cash provided by 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180" w:type="dxa"/>
            <w:vAlign w:val="bottom"/>
            <w:gridSpan w:val="6"/>
          </w:tcPr>
          <w:p>
            <w:pPr>
              <w:jc w:val="right"/>
              <w:ind w:right="240"/>
              <w:spacing w:after="0"/>
              <w:rPr>
                <w:sz w:val="20"/>
                <w:szCs w:val="20"/>
                <w:color w:val="auto"/>
              </w:rPr>
            </w:pPr>
            <w:r>
              <w:rPr>
                <w:rFonts w:ascii="Arial" w:cs="Arial" w:eastAsia="Arial" w:hAnsi="Arial"/>
                <w:sz w:val="18"/>
                <w:szCs w:val="18"/>
                <w:color w:val="auto"/>
              </w:rPr>
              <w:t>$ 263,669</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$ 198,481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83,355</w:t>
            </w: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$ 164,555</w:t>
            </w:r>
          </w:p>
        </w:tc>
        <w:tc>
          <w:tcPr>
            <w:tcW w:w="1060" w:type="dxa"/>
            <w:vAlign w:val="bottom"/>
            <w:gridSpan w:val="4"/>
          </w:tcPr>
          <w:p>
            <w:pPr>
              <w:jc w:val="right"/>
              <w:ind w:right="300"/>
              <w:spacing w:after="0"/>
              <w:rPr>
                <w:sz w:val="20"/>
                <w:szCs w:val="20"/>
                <w:color w:val="auto"/>
              </w:rPr>
            </w:pPr>
            <w:r>
              <w:rPr>
                <w:rFonts w:ascii="Arial" w:cs="Arial" w:eastAsia="Arial" w:hAnsi="Arial"/>
                <w:sz w:val="18"/>
                <w:szCs w:val="18"/>
                <w:color w:val="auto"/>
                <w:w w:val="92"/>
              </w:rPr>
              <w:t>$ 249,376</w:t>
            </w:r>
          </w:p>
        </w:tc>
        <w:tc>
          <w:tcPr>
            <w:tcW w:w="160" w:type="dxa"/>
            <w:vAlign w:val="bottom"/>
          </w:tcPr>
          <w:p>
            <w:pPr>
              <w:spacing w:after="0"/>
              <w:rPr>
                <w:sz w:val="20"/>
                <w:szCs w:val="20"/>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8"/>
                <w:szCs w:val="18"/>
                <w:color w:val="auto"/>
                <w:w w:val="89"/>
              </w:rPr>
              <w:t>$ 857,218</w:t>
            </w:r>
          </w:p>
        </w:tc>
        <w:tc>
          <w:tcPr>
            <w:tcW w:w="4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94,756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investing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(66,783)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(99,027)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8"/>
              </w:rPr>
              <w:t>(115,901)</w:t>
            </w:r>
          </w:p>
        </w:tc>
        <w:tc>
          <w:tcPr>
            <w:tcW w:w="168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(153,215)</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(118,096)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(13,790)</w:t>
            </w:r>
          </w:p>
        </w:tc>
        <w:tc>
          <w:tcPr>
            <w:tcW w:w="40" w:type="dxa"/>
            <w:vAlign w:val="bottom"/>
            <w:shd w:val="clear" w:color="auto" w:fill="CCEEFF"/>
          </w:tcPr>
          <w:p>
            <w:pPr>
              <w:spacing w:after="0"/>
              <w:rPr>
                <w:sz w:val="20"/>
                <w:szCs w:val="20"/>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(52,579)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5"/>
              </w:rPr>
              <w:t>Net cash provided by (used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(123,192)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(54,808)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8,514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(8,392)</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(287,052)</w:t>
            </w:r>
          </w:p>
        </w:tc>
        <w:tc>
          <w:tcPr>
            <w:tcW w:w="160" w:type="dxa"/>
            <w:vAlign w:val="bottom"/>
          </w:tcPr>
          <w:p>
            <w:pPr>
              <w:spacing w:after="0"/>
              <w:rPr>
                <w:sz w:val="20"/>
                <w:szCs w:val="20"/>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(123,088)</w:t>
            </w:r>
          </w:p>
        </w:tc>
        <w:tc>
          <w:tcPr>
            <w:tcW w:w="40" w:type="dxa"/>
            <w:vAlign w:val="bottom"/>
          </w:tcPr>
          <w:p>
            <w:pPr>
              <w:spacing w:after="0"/>
              <w:rPr>
                <w:sz w:val="20"/>
                <w:szCs w:val="20"/>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(74,330)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107,905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5"/>
              </w:rPr>
              <w:t>132,126</w:t>
            </w:r>
          </w:p>
        </w:tc>
        <w:tc>
          <w:tcPr>
            <w:tcW w:w="168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177,628</w:t>
            </w: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197,710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(21,915)</w:t>
            </w:r>
          </w:p>
        </w:tc>
        <w:tc>
          <w:tcPr>
            <w:tcW w:w="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(48,614)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Store Data (Unaudited):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Comparable sales increase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Number of stores at end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244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square feet at end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 (in millions)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17.3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Net sales per square foot</w:t>
            </w:r>
            <w:r>
              <w:rPr>
                <w:rFonts w:ascii="Arial" w:cs="Arial" w:eastAsia="Arial" w:hAnsi="Arial"/>
                <w:sz w:val="15"/>
                <w:szCs w:val="15"/>
                <w:color w:val="auto"/>
              </w:rPr>
              <w:t>(3)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264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279</w:t>
            </w:r>
          </w:p>
        </w:tc>
        <w:tc>
          <w:tcPr>
            <w:tcW w:w="6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w w:val="97"/>
              </w:rPr>
              <w:t>As of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5"/>
              </w:rPr>
              <w:t>February 1,</w:t>
            </w:r>
          </w:p>
        </w:tc>
        <w:tc>
          <w:tcPr>
            <w:tcW w:w="104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7"/>
              </w:rPr>
              <w:t>February 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7"/>
              </w:rPr>
              <w:t>February 3,</w:t>
            </w:r>
          </w:p>
        </w:tc>
        <w:tc>
          <w:tcPr>
            <w:tcW w:w="200" w:type="dxa"/>
            <w:vAlign w:val="bottom"/>
          </w:tcPr>
          <w:p>
            <w:pPr>
              <w:spacing w:after="0"/>
              <w:rPr>
                <w:sz w:val="10"/>
                <w:szCs w:val="10"/>
                <w:color w:val="auto"/>
              </w:rPr>
            </w:pPr>
          </w:p>
        </w:tc>
        <w:tc>
          <w:tcPr>
            <w:tcW w:w="86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8"/>
              </w:rPr>
              <w:t>January 28,</w:t>
            </w:r>
          </w:p>
        </w:tc>
        <w:tc>
          <w:tcPr>
            <w:tcW w:w="22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5"/>
              </w:rPr>
              <w:t>January 30,</w:t>
            </w:r>
          </w:p>
        </w:tc>
        <w:tc>
          <w:tcPr>
            <w:tcW w:w="240" w:type="dxa"/>
            <w:vAlign w:val="bottom"/>
          </w:tcPr>
          <w:p>
            <w:pPr>
              <w:spacing w:after="0"/>
              <w:rPr>
                <w:sz w:val="10"/>
                <w:szCs w:val="10"/>
                <w:color w:val="auto"/>
              </w:rPr>
            </w:pPr>
          </w:p>
        </w:tc>
        <w:tc>
          <w:tcPr>
            <w:tcW w:w="98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October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November 2,</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3"/>
          </w:tcPr>
          <w:p>
            <w:pPr>
              <w:ind w:left="26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(Actual)</w:t>
            </w: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 xml:space="preserve">(As Adjusted) </w:t>
            </w:r>
            <w:r>
              <w:rPr>
                <w:rFonts w:ascii="Arial" w:cs="Arial" w:eastAsia="Arial" w:hAnsi="Arial"/>
                <w:sz w:val="12"/>
                <w:szCs w:val="12"/>
                <w:b w:val="1"/>
                <w:bCs w:val="1"/>
                <w:color w:val="auto"/>
                <w:w w:val="94"/>
              </w:rPr>
              <w:t>(4)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149,385</w:t>
            </w:r>
          </w:p>
        </w:tc>
        <w:tc>
          <w:tcPr>
            <w:tcW w:w="24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   75,691</w:t>
            </w:r>
          </w:p>
        </w:tc>
        <w:tc>
          <w:tcPr>
            <w:tcW w:w="40" w:type="dxa"/>
            <w:vAlign w:val="bottom"/>
          </w:tcPr>
          <w:p>
            <w:pPr>
              <w:spacing w:after="0"/>
              <w:rPr>
                <w:sz w:val="18"/>
                <w:szCs w:val="18"/>
                <w:color w:val="auto"/>
              </w:rPr>
            </w:pPr>
          </w:p>
        </w:tc>
        <w:tc>
          <w:tcPr>
            <w:tcW w:w="220" w:type="dxa"/>
            <w:vAlign w:val="bottom"/>
            <w:gridSpan w:val="3"/>
          </w:tcPr>
          <w:p>
            <w:pPr>
              <w:jc w:val="right"/>
              <w:ind w:right="35"/>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31,045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55,077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52,129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869,725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245,456</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43,538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 net</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1,099,749</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1,134,156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7"/>
              </w:rPr>
              <w:t>1,223,486</w:t>
            </w:r>
          </w:p>
        </w:tc>
        <w:tc>
          <w:tcPr>
            <w:tcW w:w="10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1,090,899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1,028,032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1,082,907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1,082,907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1,331,969</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538,795</w:t>
            </w:r>
          </w:p>
        </w:tc>
        <w:tc>
          <w:tcPr>
            <w:tcW w:w="24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582,789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605,083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491,126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344,511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750,990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140,971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571,788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(5)</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3,238,957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7"/>
              </w:rPr>
              <w:t>3,323,046</w:t>
            </w:r>
          </w:p>
        </w:tc>
        <w:tc>
          <w:tcPr>
            <w:tcW w:w="10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3,258,354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3,257,275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4,981,916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4,357,647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4,488,709</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5"/>
              </w:rPr>
              <w:t>Total debt, net of deferred loan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costs</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1,462,658</w:t>
            </w:r>
          </w:p>
        </w:tc>
        <w:tc>
          <w:tcPr>
            <w:tcW w:w="24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1,625,060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w w:val="97"/>
              </w:rPr>
              <w:t>1,675,356</w:t>
            </w:r>
          </w:p>
        </w:tc>
        <w:tc>
          <w:tcPr>
            <w:tcW w:w="1060" w:type="dxa"/>
            <w:vAlign w:val="bottom"/>
            <w:gridSpan w:val="6"/>
          </w:tcPr>
          <w:p>
            <w:pPr>
              <w:jc w:val="right"/>
              <w:ind w:right="40"/>
              <w:spacing w:after="0"/>
              <w:rPr>
                <w:sz w:val="20"/>
                <w:szCs w:val="20"/>
                <w:color w:val="auto"/>
              </w:rPr>
            </w:pPr>
            <w:r>
              <w:rPr>
                <w:rFonts w:ascii="Arial" w:cs="Arial" w:eastAsia="Arial" w:hAnsi="Arial"/>
                <w:sz w:val="18"/>
                <w:szCs w:val="18"/>
                <w:color w:val="auto"/>
              </w:rPr>
              <w:t>1,681,264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1,699,360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1,427,135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785,051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1,510,859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988,219</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857,039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832,687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756,262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689,106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984,564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1,002,379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969,083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53rd week to 2017 net sales was $60.6 million.</w:t>
      </w:r>
    </w:p>
    <w:p>
      <w:pPr>
        <w:spacing w:after="0" w:line="23" w:lineRule="exact"/>
        <w:rPr>
          <w:rFonts w:ascii="Arial" w:cs="Arial" w:eastAsia="Arial" w:hAnsi="Arial"/>
          <w:sz w:val="18"/>
          <w:szCs w:val="18"/>
          <w:color w:val="auto"/>
        </w:rPr>
      </w:pPr>
    </w:p>
    <w:p>
      <w:pPr>
        <w:ind w:left="540" w:right="120" w:hanging="424"/>
        <w:spacing w:after="0" w:line="30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first half 2020, 2019 and 2017, we repurchased principal on our 2015 Term Loan Facility, which was trading at a discount, and recognized as a gain, net of the write-off of related deferred loan costs. In first half 2020, we repurchased a total of $23.9 million of principal in open market transactions for an aggregate purchase price of $16.0 million and recognized a related net gain of $7.8 million. In 2019, we repurchased a</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8" w:lineRule="auto"/>
        <w:rPr>
          <w:sz w:val="20"/>
          <w:szCs w:val="20"/>
          <w:color w:val="auto"/>
        </w:rPr>
      </w:pPr>
      <w:r>
        <w:rPr>
          <w:rFonts w:ascii="Arial" w:cs="Arial" w:eastAsia="Arial" w:hAnsi="Arial"/>
          <w:sz w:val="17"/>
          <w:szCs w:val="17"/>
          <w:color w:val="auto"/>
        </w:rPr>
        <w:t>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 of $6.3 million. In 2015, we entered into the 2015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3" w:lineRule="exact"/>
        <w:rPr>
          <w:sz w:val="20"/>
          <w:szCs w:val="20"/>
          <w:color w:val="auto"/>
        </w:rPr>
      </w:pPr>
    </w:p>
    <w:p>
      <w:pPr>
        <w:ind w:left="540" w:right="24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540" w:right="34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adjusted balance sheet data as of October 31, 2020 gives effect to (i) the IPO Option Exercise completed on November 3, 2020 and (ii) the Refinancing Transactions completed on November 6, 2020.</w:t>
      </w:r>
    </w:p>
    <w:p>
      <w:pPr>
        <w:ind w:left="540" w:hanging="424"/>
        <w:spacing w:after="0" w:line="295"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The following discussion analyzes our financial condition and results of operations and should be read in conjunction with our consolidated financial statements and related notes included elsewhere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8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4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95"/>
              </w:rPr>
              <w:t>Fiscal</w:t>
            </w: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684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85"/>
              </w:rPr>
              <w:t>Year</w:t>
            </w:r>
          </w:p>
        </w:tc>
        <w:tc>
          <w:tcPr>
            <w:tcW w:w="1920" w:type="dxa"/>
            <w:vAlign w:val="bottom"/>
            <w:gridSpan w:val="2"/>
          </w:tcPr>
          <w:p>
            <w:pPr>
              <w:ind w:left="540"/>
              <w:spacing w:after="0"/>
              <w:rPr>
                <w:sz w:val="20"/>
                <w:szCs w:val="20"/>
                <w:color w:val="auto"/>
              </w:rPr>
            </w:pPr>
            <w:r>
              <w:rPr>
                <w:rFonts w:ascii="Arial" w:cs="Arial" w:eastAsia="Arial" w:hAnsi="Arial"/>
                <w:sz w:val="14"/>
                <w:szCs w:val="14"/>
                <w:b w:val="1"/>
                <w:bCs w:val="1"/>
                <w:i w:val="1"/>
                <w:iCs w:val="1"/>
                <w:color w:val="auto"/>
              </w:rPr>
              <w:t>Ended</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Weeks</w:t>
            </w:r>
          </w:p>
        </w:tc>
      </w:tr>
      <w:tr>
        <w:trPr>
          <w:trHeight w:val="209"/>
        </w:trPr>
        <w:tc>
          <w:tcPr>
            <w:tcW w:w="6480" w:type="dxa"/>
            <w:vAlign w:val="bottom"/>
            <w:tcBorders>
              <w:top w:val="single" w:sz="8" w:color="auto"/>
            </w:tcBorders>
            <w:shd w:val="clear" w:color="auto" w:fill="CCEEFF"/>
          </w:tcPr>
          <w:p>
            <w:pPr>
              <w:jc w:val="right"/>
              <w:ind w:right="6037"/>
              <w:spacing w:after="0"/>
              <w:rPr>
                <w:sz w:val="20"/>
                <w:szCs w:val="20"/>
                <w:color w:val="auto"/>
              </w:rPr>
            </w:pPr>
            <w:r>
              <w:rPr>
                <w:rFonts w:ascii="Arial" w:cs="Arial" w:eastAsia="Arial" w:hAnsi="Arial"/>
                <w:sz w:val="18"/>
                <w:szCs w:val="18"/>
                <w:i w:val="1"/>
                <w:iCs w:val="1"/>
                <w:color w:val="auto"/>
                <w:w w:val="84"/>
              </w:rPr>
              <w:t>2019</w:t>
            </w:r>
          </w:p>
        </w:tc>
        <w:tc>
          <w:tcPr>
            <w:tcW w:w="3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i w:val="1"/>
                <w:iCs w:val="1"/>
                <w:color w:val="auto"/>
                <w:w w:val="91"/>
              </w:rPr>
              <w:t>February 1, 2020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jc w:val="right"/>
              <w:ind w:right="6037"/>
              <w:spacing w:after="0"/>
              <w:rPr>
                <w:sz w:val="20"/>
                <w:szCs w:val="20"/>
                <w:color w:val="auto"/>
              </w:rPr>
            </w:pPr>
            <w:r>
              <w:rPr>
                <w:rFonts w:ascii="Arial" w:cs="Arial" w:eastAsia="Arial" w:hAnsi="Arial"/>
                <w:sz w:val="18"/>
                <w:szCs w:val="18"/>
                <w:i w:val="1"/>
                <w:iCs w:val="1"/>
                <w:color w:val="auto"/>
                <w:w w:val="84"/>
              </w:rPr>
              <w:t>2018</w:t>
            </w:r>
          </w:p>
        </w:tc>
        <w:tc>
          <w:tcPr>
            <w:tcW w:w="360" w:type="dxa"/>
            <w:vAlign w:val="bottom"/>
          </w:tcPr>
          <w:p>
            <w:pPr>
              <w:spacing w:after="0"/>
              <w:rPr>
                <w:sz w:val="18"/>
                <w:szCs w:val="18"/>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i w:val="1"/>
                <w:iCs w:val="1"/>
                <w:color w:val="auto"/>
              </w:rPr>
              <w:t>February 2, 2019</w:t>
            </w: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52</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jc w:val="right"/>
              <w:ind w:right="6037"/>
              <w:spacing w:after="0"/>
              <w:rPr>
                <w:sz w:val="20"/>
                <w:szCs w:val="20"/>
                <w:color w:val="auto"/>
              </w:rPr>
            </w:pPr>
            <w:r>
              <w:rPr>
                <w:rFonts w:ascii="Arial" w:cs="Arial" w:eastAsia="Arial" w:hAnsi="Arial"/>
                <w:sz w:val="18"/>
                <w:szCs w:val="18"/>
                <w:i w:val="1"/>
                <w:iCs w:val="1"/>
                <w:color w:val="auto"/>
                <w:w w:val="84"/>
              </w:rPr>
              <w:t>2017</w:t>
            </w: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February 3, 2018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Any reference to the “current quarter,” “2020 third quarter” or similar reference refers to the thirteen week period ended October 31, 2020, and any reference to the “prior year quarter,” “2019 third quarter” or similar reference refers to the thirteen week period ended November 2, 2019. Any reference in to “current year-to-date,” “year-to-date 2020” or similar reference represents the thirty-nine week period ended October 31, 2020, and any reference to “prior year-to-date,” “year-to-date 2019” or similar reference represents the thirty-nine week period ended November 2, 2019.</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October 31,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Trends and Other Factors Affecting Our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color w:val="auto"/>
        </w:rPr>
        <w:t>Overall Economic Trends</w:t>
      </w:r>
      <w:r>
        <w:rPr>
          <w:rFonts w:ascii="Arial" w:cs="Arial" w:eastAsia="Arial" w:hAnsi="Arial"/>
          <w:sz w:val="17"/>
          <w:szCs w:val="17"/>
          <w:color w:val="auto"/>
        </w:rPr>
        <w:t>. All of our sales are generated within the United States, making our results of operations highly dependent on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7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color w:val="auto"/>
        </w:rPr>
        <w:t xml:space="preserve">Consumer Preferences and Demands. </w:t>
      </w:r>
      <w:r>
        <w:rPr>
          <w:rFonts w:ascii="Arial" w:cs="Arial" w:eastAsia="Arial" w:hAnsi="Arial"/>
          <w:sz w:val="16"/>
          <w:szCs w:val="16"/>
          <w:color w:val="auto"/>
        </w:rPr>
        <w:t>The level of success we achieve is dependent on, among other factors, how accurately and timely we</w:t>
      </w:r>
      <w:r>
        <w:rPr>
          <w:rFonts w:ascii="Arial" w:cs="Arial" w:eastAsia="Arial" w:hAnsi="Arial"/>
          <w:sz w:val="16"/>
          <w:szCs w:val="16"/>
          <w:b w:val="1"/>
          <w:bCs w:val="1"/>
          <w:color w:val="auto"/>
        </w:rPr>
        <w:t xml:space="preserve"> </w:t>
      </w:r>
      <w:r>
        <w:rPr>
          <w:rFonts w:ascii="Arial" w:cs="Arial" w:eastAsia="Arial" w:hAnsi="Arial"/>
          <w:sz w:val="16"/>
          <w:szCs w:val="16"/>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5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color w:val="auto"/>
        </w:rPr>
        <w:t>Strategic Inventory Management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must maintain sufficient inventory levels of merchandise that our customers desire to successfully operate</w:t>
      </w:r>
      <w:r>
        <w:rPr>
          <w:rFonts w:ascii="Arial" w:cs="Arial" w:eastAsia="Arial" w:hAnsi="Arial"/>
          <w:sz w:val="17"/>
          <w:szCs w:val="17"/>
          <w:b w:val="1"/>
          <w:bCs w:val="1"/>
          <w:color w:val="auto"/>
        </w:rPr>
        <w:t xml:space="preserve"> </w:t>
      </w:r>
      <w:r>
        <w:rPr>
          <w:rFonts w:ascii="Arial" w:cs="Arial" w:eastAsia="Arial" w:hAnsi="Arial"/>
          <w:sz w:val="17"/>
          <w:szCs w:val="17"/>
          <w:color w:val="auto"/>
        </w:rPr>
        <w:t>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the average inventory turns from 2.68x in 2017 to 2.84x</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2019 and 3.55x for the twelve months ended October 31, 2020,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the year-to-date 2020, we experienced significant inventory reductions from high sell-through during the period. We expect to use cash to replenish such inventory throughout the rest of the current fiscal year, which we expect will impact our net cash provided by operating activities for the fourth quarter of 2020.</w:t>
      </w:r>
    </w:p>
    <w:p>
      <w:pPr>
        <w:spacing w:after="0" w:line="16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Value Strategy</w:t>
      </w:r>
      <w:r>
        <w:rPr>
          <w:rFonts w:ascii="Arial" w:cs="Arial" w:eastAsia="Arial" w:hAnsi="Arial"/>
          <w:sz w:val="16"/>
          <w:szCs w:val="16"/>
          <w:color w:val="auto"/>
        </w:rPr>
        <w:t>. We offer a broad assortment of products at competitive prices that offer extraordinary value. Our in-store experience includes</w:t>
      </w:r>
      <w:r>
        <w:rPr>
          <w:rFonts w:ascii="Arial" w:cs="Arial" w:eastAsia="Arial" w:hAnsi="Arial"/>
          <w:sz w:val="16"/>
          <w:szCs w:val="16"/>
          <w:b w:val="1"/>
          <w:bCs w:val="1"/>
          <w:color w:val="auto"/>
        </w:rPr>
        <w:t xml:space="preserve"> </w:t>
      </w:r>
      <w:r>
        <w:rPr>
          <w:rFonts w:ascii="Arial" w:cs="Arial" w:eastAsia="Arial" w:hAnsi="Arial"/>
          <w:sz w:val="16"/>
          <w:szCs w:val="16"/>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6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E-commerce</w:t>
      </w:r>
      <w:r>
        <w:rPr>
          <w:rFonts w:ascii="Arial" w:cs="Arial" w:eastAsia="Arial" w:hAnsi="Arial"/>
          <w:sz w:val="16"/>
          <w:szCs w:val="16"/>
          <w:color w:val="auto"/>
        </w:rPr>
        <w:t>/</w:t>
      </w:r>
      <w:r>
        <w:rPr>
          <w:rFonts w:ascii="Arial" w:cs="Arial" w:eastAsia="Arial" w:hAnsi="Arial"/>
          <w:sz w:val="16"/>
          <w:szCs w:val="16"/>
          <w:b w:val="1"/>
          <w:bCs w:val="1"/>
          <w:color w:val="auto"/>
        </w:rPr>
        <w:t xml:space="preserve">BOPIS. </w:t>
      </w:r>
      <w:r>
        <w:rPr>
          <w:rFonts w:ascii="Arial" w:cs="Arial" w:eastAsia="Arial" w:hAnsi="Arial"/>
          <w:sz w:val="16"/>
          <w:szCs w:val="16"/>
          <w:color w:val="auto"/>
        </w:rPr>
        <w:t>We expect that the expansion and enhancement of our omnichannel capabilities will be a key driver of growth in our net</w:t>
      </w:r>
      <w:r>
        <w:rPr>
          <w:rFonts w:ascii="Arial" w:cs="Arial" w:eastAsia="Arial" w:hAnsi="Arial"/>
          <w:sz w:val="16"/>
          <w:szCs w:val="16"/>
          <w:b w:val="1"/>
          <w:bCs w:val="1"/>
          <w:color w:val="auto"/>
        </w:rPr>
        <w:t xml:space="preserve"> </w:t>
      </w:r>
      <w:r>
        <w:rPr>
          <w:rFonts w:ascii="Arial" w:cs="Arial" w:eastAsia="Arial" w:hAnsi="Arial"/>
          <w:sz w:val="16"/>
          <w:szCs w:val="16"/>
          <w:color w:val="auto"/>
        </w:rPr>
        <w:t>sales and gross margin. We continue to invest in initiatives that will increase traffic to our e-commerce website and drive increased online sales conversion. Our improved website also supports our stores with digital marketing and our BOPIS program. In 2019 and the thirty-nine weeks ended October 31, 2020, BOPIS accounted for approximately 24% and 50%, respectively, of our e-commerce sales and approximately 1% and 5%, respectively, of total merchandise sales for such periods. Our website also allows us to reach customers outside of our current store footprint and introduces new customers to the Academy brand.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the year-to-date 2020. It is, however, difficult to ascertain with precision what portion of our increased e-commerce sales during the year-to-date 2020 was attributable to the COVID-19 pandemic as compared to such recent enhancements. During the third quarter 2020, stores facilitated over 95% of our total sales, including ship-from-store, BOPIS and in-store retail sales. We expect to continue to invest in expanding and enhancing our omnichannel capabilities, including BOPIS, will continue to require significant investments by us.</w:t>
      </w:r>
    </w:p>
    <w:p>
      <w:pPr>
        <w:spacing w:after="0" w:line="168" w:lineRule="exact"/>
        <w:rPr>
          <w:sz w:val="20"/>
          <w:szCs w:val="20"/>
          <w:color w:val="auto"/>
        </w:rPr>
      </w:pPr>
    </w:p>
    <w:p>
      <w:pPr>
        <w:ind w:left="120" w:right="40" w:firstLine="440"/>
        <w:spacing w:after="0" w:line="292" w:lineRule="auto"/>
        <w:rPr>
          <w:sz w:val="20"/>
          <w:szCs w:val="20"/>
          <w:color w:val="auto"/>
        </w:rPr>
      </w:pPr>
      <w:r>
        <w:rPr>
          <w:rFonts w:ascii="Arial" w:cs="Arial" w:eastAsia="Arial" w:hAnsi="Arial"/>
          <w:sz w:val="16"/>
          <w:szCs w:val="16"/>
          <w:b w:val="1"/>
          <w:bCs w:val="1"/>
          <w:color w:val="auto"/>
        </w:rPr>
        <w:t>Competition</w:t>
      </w:r>
      <w:r>
        <w:rPr>
          <w:rFonts w:ascii="Arial" w:cs="Arial" w:eastAsia="Arial" w:hAnsi="Arial"/>
          <w:sz w:val="16"/>
          <w:szCs w:val="16"/>
          <w:color w:val="auto"/>
        </w:rPr>
        <w:t>. The U.S. sporting goods and outdoor recreation retail industries are highly competitive and fragmented. We compete with specialty</w:t>
      </w:r>
      <w:r>
        <w:rPr>
          <w:rFonts w:ascii="Arial" w:cs="Arial" w:eastAsia="Arial" w:hAnsi="Arial"/>
          <w:sz w:val="16"/>
          <w:szCs w:val="16"/>
          <w:b w:val="1"/>
          <w:bCs w:val="1"/>
          <w:color w:val="auto"/>
        </w:rPr>
        <w:t xml:space="preserve"> </w:t>
      </w:r>
      <w:r>
        <w:rPr>
          <w:rFonts w:ascii="Arial" w:cs="Arial" w:eastAsia="Arial" w:hAnsi="Arial"/>
          <w:sz w:val="16"/>
          <w:szCs w:val="16"/>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61"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Sourcing and Supply Chain Management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business to be successful, our suppliers must provide us with quality products in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in compliance with regulatory requirements, at acceptable costs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New Store Openings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expect that new stores will be a key driver of growth in our net sales and gross margin in the future. Our results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84" w:lineRule="exact"/>
        <w:rPr>
          <w:sz w:val="20"/>
          <w:szCs w:val="20"/>
          <w:color w:val="auto"/>
        </w:rPr>
      </w:pPr>
    </w:p>
    <w:p>
      <w:pPr>
        <w:ind w:left="120" w:right="80" w:firstLine="440"/>
        <w:spacing w:after="0" w:line="314" w:lineRule="auto"/>
        <w:rPr>
          <w:sz w:val="20"/>
          <w:szCs w:val="20"/>
          <w:color w:val="auto"/>
        </w:rPr>
      </w:pPr>
      <w:r>
        <w:rPr>
          <w:rFonts w:ascii="Arial" w:cs="Arial" w:eastAsia="Arial" w:hAnsi="Arial"/>
          <w:sz w:val="16"/>
          <w:szCs w:val="16"/>
          <w:b w:val="1"/>
          <w:bCs w:val="1"/>
          <w:color w:val="auto"/>
        </w:rPr>
        <w:t>Interim Results and Seasonality</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business is subject to seasonal fluctuations. A significant portion of our net sales and profits is driven by</w:t>
      </w:r>
      <w:r>
        <w:rPr>
          <w:rFonts w:ascii="Arial" w:cs="Arial" w:eastAsia="Arial" w:hAnsi="Arial"/>
          <w:sz w:val="16"/>
          <w:szCs w:val="16"/>
          <w:b w:val="1"/>
          <w:bCs w:val="1"/>
          <w:color w:val="auto"/>
        </w:rPr>
        <w:t xml:space="preserve"> </w:t>
      </w:r>
      <w:r>
        <w:rPr>
          <w:rFonts w:ascii="Arial" w:cs="Arial" w:eastAsia="Arial" w:hAnsi="Arial"/>
          <w:sz w:val="16"/>
          <w:szCs w:val="16"/>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42"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b w:val="1"/>
          <w:bCs w:val="1"/>
          <w:color w:val="auto"/>
        </w:rPr>
        <w:t>53rd Week</w:t>
      </w:r>
      <w:r>
        <w:rPr>
          <w:rFonts w:ascii="Arial" w:cs="Arial" w:eastAsia="Arial" w:hAnsi="Arial"/>
          <w:sz w:val="18"/>
          <w:szCs w:val="18"/>
          <w:color w:val="auto"/>
        </w:rPr>
        <w:t>. We operate on the retail industry’s 4-5-4 calendar. The 4-5-4 calendar is a guide for retailers that ensures sales comparability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outbreak of COVID-19, which has been declared a global pandemic by the World Health Organization,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The scope and nature of these impacts continue to evolve on a daily basis, including with a potential resurgence in COVID-19 cases in the 2020 fourth quarter and beyond.</w:t>
      </w:r>
    </w:p>
    <w:p>
      <w:pPr>
        <w:spacing w:after="0" w:line="18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in March 2020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have worked with our business partners to modify vendor and landlord payments and terms, and reduced near term marketing. Our temporary furlough period ended by June 8, 2020 for all of our store, distribution center and corporate team members, and on June 25, 2020, we completed repaying the $500 million draw on the ABL Facility. All three of our distribution centers remained open during the year-to-date 2020, all of our 259 stores have been fully operational since May 20, 2020, and our corporate office has been fully open since June 8, 2020.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impact of the pandemic and actions taken in response to it had varying effects on our results of operations, as further discussed below, and our business has been especially unpredictable during the year-to-date 2020. However, as an essential retailer, we have been able to serve our customers as their needs evolved during the pandemic. In early March 2020, we saw the acceleration of sales in specific categories, such as outdoor cooking, 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the first quarter 2020, we experienced decreased sales of certain of our offerings, primarily for apparel and footwear, and had to from time to time cancel certain of our purchase orders for these products.</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also saw a significant increase in customers purchasing our products through omnichannel platforms, specifically as customers increasingly take advantage of our curbside pickup service, which we launched during the first quarter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the development of vaccines to mitigate the risk of COVID-19, actions by government authorities to contain the outbreak or treat its impact, and changes in consumer behavior resulting from the outbreak and such government actions. We continue to monitor the evolving situation as there remain many uncertainties regarding the pandemic and its resurgence, including the anticipated duration. See “Risk Factors—Risks Related to Our Business—The impact of COVID-19 may adversely affect our business and financial results.”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Comparable Sales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define comparable sales as the percentage of period-over-period net sales increase or decrease, in the aggregate, for stores</w:t>
      </w:r>
      <w:r>
        <w:rPr>
          <w:rFonts w:ascii="Arial" w:cs="Arial" w:eastAsia="Arial" w:hAnsi="Arial"/>
          <w:sz w:val="17"/>
          <w:szCs w:val="17"/>
          <w:b w:val="1"/>
          <w:bCs w:val="1"/>
          <w:color w:val="auto"/>
        </w:rPr>
        <w:t xml:space="preserve"> </w:t>
      </w:r>
      <w:r>
        <w:rPr>
          <w:rFonts w:ascii="Arial" w:cs="Arial" w:eastAsia="Arial" w:hAnsi="Arial"/>
          <w:sz w:val="17"/>
          <w:szCs w:val="17"/>
          <w:color w:val="auto"/>
        </w:rPr>
        <w:t>open after thirteen full fiscal months, as well as for all e-commerce sales. There may be variations in the way in which some of our competitors and other retailers calculate comparable sales. As a result, data in this prospectus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sales to comparable sales.</w:t>
      </w:r>
    </w:p>
    <w:p>
      <w:pPr>
        <w:spacing w:after="0" w:line="180"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Various factors affect comparable sales and adjusted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74"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Adjusted EBITDA, Adjusted Net Income (Loss), Pro Forma Adjusted Net Income (Loss), Pro Forma Adjusted Earnings per Share and Adjusted Free Cash Flow</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uses Adjusted EBITDA, Adjusted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See “—Non-GAAP Measures” below.</w:t>
      </w:r>
    </w:p>
    <w:p>
      <w:pPr>
        <w:spacing w:after="0" w:line="161" w:lineRule="exact"/>
        <w:rPr>
          <w:sz w:val="20"/>
          <w:szCs w:val="20"/>
          <w:color w:val="auto"/>
        </w:rPr>
      </w:pPr>
    </w:p>
    <w:p>
      <w:pPr>
        <w:jc w:val="both"/>
        <w:ind w:left="120" w:right="240" w:firstLine="440"/>
        <w:spacing w:after="0" w:line="282" w:lineRule="auto"/>
        <w:rPr>
          <w:sz w:val="20"/>
          <w:szCs w:val="20"/>
          <w:color w:val="auto"/>
        </w:rPr>
      </w:pPr>
      <w:r>
        <w:rPr>
          <w:rFonts w:ascii="Arial" w:cs="Arial" w:eastAsia="Arial" w:hAnsi="Arial"/>
          <w:sz w:val="18"/>
          <w:szCs w:val="18"/>
          <w:b w:val="1"/>
          <w:bCs w:val="1"/>
          <w:color w:val="auto"/>
        </w:rPr>
        <w:t xml:space="preserve">E-commerce Penetration. </w:t>
      </w:r>
      <w:r>
        <w:rPr>
          <w:rFonts w:ascii="Arial" w:cs="Arial" w:eastAsia="Arial" w:hAnsi="Arial"/>
          <w:sz w:val="18"/>
          <w:szCs w:val="18"/>
          <w:color w:val="auto"/>
        </w:rPr>
        <w:t>E-commerce penetration is defined as total e-commerce merchandise sales (which includes BOPIS) divided by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merchandise sales.</w:t>
      </w:r>
    </w:p>
    <w:p>
      <w:pPr>
        <w:spacing w:after="0" w:line="166"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summarizes our key financial and operating metrics (with nearest GAAP measures where applicable) for the periods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rPr>
              <w:t>Thirty-Nine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4"/>
                <w:szCs w:val="14"/>
                <w:b w:val="1"/>
                <w:bCs w:val="1"/>
                <w:color w:val="auto"/>
                <w:w w:val="92"/>
              </w:rPr>
              <w:t>Weeks Ended</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2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2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3,</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(In thousands, except percentages and per share data)</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Adjusted comparable sales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120,043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58,501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217,242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102,305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Adjusted EBITDA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322,814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300,259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315,420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428,640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245,596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101,469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55,405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72,078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278,001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77,862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 Forma Adjusted Net 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75,927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41,338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53,732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208,591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Earnings per Share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263,669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198,481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83,355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857,218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94,756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196,886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99,454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(32,546)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843,428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42,177</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E-commerce penetration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profitability is primarily influenced by fluctuations in net sales, gross margin and our ability to leverage selling, general and administrative expenses.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Net Sales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Net sales are derived from in-store and e-commerce merchandise sales, net of sales tax and an allowance for merchandise returns.</w:t>
      </w:r>
    </w:p>
    <w:p>
      <w:pPr>
        <w:spacing w:after="0" w:line="252"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45" w:lineRule="exact"/>
        <w:rPr>
          <w:sz w:val="20"/>
          <w:szCs w:val="20"/>
          <w:color w:val="auto"/>
        </w:rPr>
      </w:pPr>
    </w:p>
    <w:p>
      <w:pPr>
        <w:ind w:left="120" w:right="400" w:firstLine="440"/>
        <w:spacing w:after="0" w:line="266" w:lineRule="auto"/>
        <w:rPr>
          <w:sz w:val="20"/>
          <w:szCs w:val="20"/>
          <w:color w:val="auto"/>
        </w:rPr>
      </w:pPr>
      <w:r>
        <w:rPr>
          <w:rFonts w:ascii="Arial" w:cs="Arial" w:eastAsia="Arial" w:hAnsi="Arial"/>
          <w:sz w:val="18"/>
          <w:szCs w:val="18"/>
          <w:b w:val="1"/>
          <w:bCs w:val="1"/>
          <w:color w:val="auto"/>
        </w:rPr>
        <w:t>Gross Margin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is our net sales less cost of goods sold. Our cost of goods sold includes the direct cost of merchandise and costs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8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b w:val="1"/>
          <w:bCs w:val="1"/>
          <w:color w:val="auto"/>
        </w:rPr>
        <w:t>Selling, 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Selling, general and administrative, or SG&amp;A, expenses include store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In connection with the IPO, we incurred approximately $19.9 million of stock compensation expense associated with the vesting of certain of the outstanding restricted stock units as a result of the liquidity condition being achieved due to the IPO. We expect that our SG&amp;A expenses will increase in future periods due to our continuing growth and in part to additional legal, accounting, insurance and other expenses we expect to incur as a result of being a public company.</w:t>
      </w:r>
    </w:p>
    <w:p>
      <w:pPr>
        <w:spacing w:after="0" w:line="288" w:lineRule="exact"/>
        <w:rPr>
          <w:sz w:val="20"/>
          <w:szCs w:val="20"/>
          <w:color w:val="auto"/>
        </w:rPr>
      </w:pPr>
    </w:p>
    <w:p>
      <w:pPr>
        <w:jc w:val="both"/>
        <w:ind w:left="120" w:right="160" w:firstLine="440"/>
        <w:spacing w:after="0" w:line="289"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Academy Sports and Outdoors, Inc. is subject to U.S. federal income taxes and taxed at the prevailing corporate tax rates.</w:t>
      </w:r>
      <w:r>
        <w:rPr>
          <w:rFonts w:ascii="Arial" w:cs="Arial" w:eastAsia="Arial" w:hAnsi="Arial"/>
          <w:sz w:val="17"/>
          <w:szCs w:val="17"/>
          <w:b w:val="1"/>
          <w:bCs w:val="1"/>
          <w:color w:val="auto"/>
        </w:rPr>
        <w:t xml:space="preserve"> </w:t>
      </w:r>
      <w:r>
        <w:rPr>
          <w:rFonts w:ascii="Arial" w:cs="Arial" w:eastAsia="Arial" w:hAnsi="Arial"/>
          <w:sz w:val="17"/>
          <w:szCs w:val="17"/>
          <w:color w:val="auto"/>
        </w:rPr>
        <w:t>We are treated as a U.S. corporation for U.S. federal, state, and local income tax purposes and accordingly, a provision for income taxes is recorded for the anticipated tax consequences of our reported results of operations for federal, state and local income taxes.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Thirty-Nine Weeks Ended October 31, 2020 Compared to Thirty-Nine Weeks Ended November 2, 2019</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vMerge w:val="restart"/>
          </w:tcPr>
          <w:p>
            <w:pPr>
              <w:ind w:left="1440"/>
              <w:spacing w:after="0"/>
              <w:rPr>
                <w:sz w:val="20"/>
                <w:szCs w:val="20"/>
                <w:color w:val="auto"/>
              </w:rPr>
            </w:pPr>
            <w:r>
              <w:rPr>
                <w:rFonts w:ascii="Arial" w:cs="Arial" w:eastAsia="Arial" w:hAnsi="Arial"/>
                <w:sz w:val="14"/>
                <w:szCs w:val="14"/>
                <w:color w:val="auto"/>
              </w:rPr>
              <w:t>(In thousands, except percentages)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w w:val="99"/>
              </w:rPr>
              <w:t>Thirty-Nine Weeks Ended</w:t>
            </w: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670"/>
              <w:spacing w:after="0" w:line="142" w:lineRule="exact"/>
              <w:rPr>
                <w:sz w:val="20"/>
                <w:szCs w:val="20"/>
                <w:color w:val="auto"/>
              </w:rPr>
            </w:pPr>
            <w:r>
              <w:rPr>
                <w:rFonts w:ascii="Arial" w:cs="Arial" w:eastAsia="Arial" w:hAnsi="Arial"/>
                <w:sz w:val="14"/>
                <w:szCs w:val="14"/>
                <w:b w:val="1"/>
                <w:bCs w:val="1"/>
                <w:color w:val="auto"/>
              </w:rPr>
              <w:t>October 31, 2020</w:t>
            </w:r>
          </w:p>
        </w:tc>
        <w:tc>
          <w:tcPr>
            <w:tcW w:w="80" w:type="dxa"/>
            <w:vAlign w:val="bottom"/>
          </w:tcPr>
          <w:p>
            <w:pPr>
              <w:spacing w:after="0"/>
              <w:rPr>
                <w:sz w:val="12"/>
                <w:szCs w:val="12"/>
                <w:color w:val="auto"/>
              </w:rPr>
            </w:pPr>
          </w:p>
        </w:tc>
        <w:tc>
          <w:tcPr>
            <w:tcW w:w="1540" w:type="dxa"/>
            <w:vAlign w:val="bottom"/>
            <w:gridSpan w:val="3"/>
          </w:tcPr>
          <w:p>
            <w:pPr>
              <w:jc w:val="right"/>
              <w:ind w:right="170"/>
              <w:spacing w:after="0" w:line="142" w:lineRule="exact"/>
              <w:rPr>
                <w:sz w:val="20"/>
                <w:szCs w:val="20"/>
                <w:color w:val="auto"/>
              </w:rPr>
            </w:pPr>
            <w:r>
              <w:rPr>
                <w:rFonts w:ascii="Arial" w:cs="Arial" w:eastAsia="Arial" w:hAnsi="Arial"/>
                <w:sz w:val="14"/>
                <w:szCs w:val="14"/>
                <w:b w:val="1"/>
                <w:bCs w:val="1"/>
                <w:color w:val="auto"/>
              </w:rPr>
              <w:t>November 2, 2019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Dollars</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4,091,797</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3,459,405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$632,392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2,856,840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69.8 %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2,398,783</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69.3 %</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458,057</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1,234,957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30.2 %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1,060,622</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30.7 %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174,335</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955,591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23.4 %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923,418</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26.7 %</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32,173</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6.8 %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137,204</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142,162</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103.6 %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70,487</w:t>
            </w:r>
          </w:p>
        </w:tc>
        <w:tc>
          <w:tcPr>
            <w:tcW w:w="1120" w:type="dxa"/>
            <w:vAlign w:val="bottom"/>
            <w:gridSpan w:val="3"/>
          </w:tcPr>
          <w:p>
            <w:pPr>
              <w:jc w:val="right"/>
              <w:ind w:right="210"/>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77,171</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2.2 %</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(6,684)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(7,831)</w:t>
            </w:r>
          </w:p>
        </w:tc>
        <w:tc>
          <w:tcPr>
            <w:tcW w:w="11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34,434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1120" w:type="dxa"/>
            <w:vAlign w:val="bottom"/>
            <w:gridSpan w:val="3"/>
          </w:tcPr>
          <w:p>
            <w:pPr>
              <w:jc w:val="right"/>
              <w:ind w:right="210"/>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(1,921)</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1,064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104,219</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113,348</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108.8 %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1,914</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0.1 %</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(1,589)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102,305</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$114,937</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112.3 %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Percentages in table may not sum properly due to rounding.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store activity for the periods indicated:</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5840" w:type="dxa"/>
            <w:vAlign w:val="bottom"/>
          </w:tcPr>
          <w:p>
            <w:pPr>
              <w:spacing w:after="0"/>
              <w:rPr>
                <w:sz w:val="10"/>
                <w:szCs w:val="10"/>
                <w:color w:val="auto"/>
              </w:rPr>
            </w:pPr>
          </w:p>
        </w:tc>
        <w:tc>
          <w:tcPr>
            <w:tcW w:w="1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259</w:t>
            </w: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Q1 new stores</w:t>
            </w: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Q3 new stores</w:t>
            </w: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Ending stores</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259</w:t>
            </w:r>
          </w:p>
        </w:tc>
        <w:tc>
          <w:tcPr>
            <w:tcW w:w="9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Relocated stores</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increased $632.4 million, or 18.3%, for the year-to-date 2020 compared to the year-to-date 2019 as a result of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sales of 16.1% and additional net sales generated by new locations. As of the end of the 2020 third quarter, we had a full benefit of a net six stores opened during the prior year-to-date. Collectively, these stores accounted for a net $73.6 million increase in net sales for the year-to-date 2020.</w:t>
      </w:r>
    </w:p>
    <w:p>
      <w:pPr>
        <w:spacing w:after="0" w:line="14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16.1% increase in comparable sales resulted from strong performances in the outdoors merchandise division and the sports and recreation merchandise division, partially offset by declines the apparel and footwear merchandise divisions, respectively. The effects of the COVID-19 pandemic during the year-to-date 2020 have caused significant increases in popularity of isolated recreation, outdoor and leisure activities that we believe have driven the increases in our outdoors and sports and recreation merchandise divisions. Likewise, we believe the decreases in our apparel and footwear merchandise divisions were predominately driven by a temporary but significant shift in customer behavior at the substantial beginning of the COVID-19 pandemic, which saw customers purchasing primarily isolated recreation, outdoor and leisure activity products in addition to “essential items.” The outdoors division increase was driven primarily by strong sales in firearms, ammunition, fishing, hunting and shooting sports products. The sports and recreation division sales increased as a result of various products such as fitness equipment and accessories, bikes, barbecues and grills, patio and watersports, trampolines, outdoor games and play sets. These increases were partially offset by declining sales in the team sports category. The apparel division decreased as a result of declines in licensed apparel resulting from the Astros World Series appearance in the prior year, outdoor apparel and seasonal apparel products, partially offset by increases in the athletic apparel products. The footwear division sales decreased due to declines in the team sports category and the work, casual and youth category, which were partially offset by an increase in athletic footwear. We believe that the substantial increase to e-commerce sales described below and the ongoing improvements to our business, such as enhancements to our merchandising planning and allocation capabilities that began in February 2019 and the launch of the Academy Credit Card in May 2019, together with our big-box store format and the implementation of a number of safety measures within our stores in response to the COVID-19 pandemic that helped facilitate our customers’ ability to obtain the products they sought in a safe manner, contributed to the increase in comparable sales this year-to-date.</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E-commerce net sales increased $270.1 million, or 208.6%, for the current year-to-date compared to the prior year-to-date and represented 9.8% of merchandise sales for the current year-to-date compared to 3.8% in the prior year-to-date. This increase was driven by a change in consumer shopping preferences and sales restrictions resulting from the COVID-19 pandemic. Additionally, enhancements to our e-commerce platform, including the introduction of BOPIS at the end of the 2019 second quarter and rapid development of curbside fulfillment to further support BOPIS in the year-to-date 2020 contributed to the increase in e-commerce sales.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$174.3 million, or 16.4%, to $1,235.0 million for the year-to-date 2020 from $1,060.6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year-to-date 2019. As a percentage of net sales, gross margin decreased 0.5% from 30.7% for the year-to-date 2019 to 30.2% in the year-to-date 2020. The decrease of 50 basis points in gross margin is primarily attributable to:</w:t>
      </w:r>
    </w:p>
    <w:p>
      <w:pPr>
        <w:spacing w:after="0" w:line="8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43 basis points of unfavorability related to import freight as a result of increased duties on products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37 basis points of unfavorability as a result of decreased vendor allowances, including new store allowances; partially offset by</w:t>
      </w:r>
    </w:p>
    <w:p>
      <w:pPr>
        <w:spacing w:after="0" w:line="142" w:lineRule="exact"/>
        <w:rPr>
          <w:rFonts w:ascii="Arial" w:cs="Arial" w:eastAsia="Arial" w:hAnsi="Arial"/>
          <w:sz w:val="17"/>
          <w:szCs w:val="17"/>
          <w:color w:val="auto"/>
        </w:rPr>
      </w:pPr>
    </w:p>
    <w:p>
      <w:pPr>
        <w:ind w:left="1080" w:right="340" w:hanging="424"/>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30 basis points of favorability related to inventory overhead expenditures as a result of less expenses capitalized during the first half of 2020, which are primarily wage related, due to temporary workforce furloughs and wage cuts during the first half of 2020.</w:t>
      </w:r>
    </w:p>
    <w:p>
      <w:pPr>
        <w:spacing w:after="0" w:line="146"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SG&amp;A expenses increased $32.2 million, or 3.5%, to $955.6 million in the year-to-date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$923.4 million in the year-to-date 2019. As a percentage of net sales, SG&amp;A expenses were down 3.3% to 23.4% in the year-to-date 2020 compared to 26.7% in the year-to-date 2019. The decrease of 330 basis points in SG&amp;A is primarily attributable to:</w:t>
      </w:r>
    </w:p>
    <w:p>
      <w:pPr>
        <w:spacing w:after="0" w:line="7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171 basis point decrease in property and facility fees as a result of leveraging costs on increased sales and decreased depreciation costs;</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96 basis point decrease in advertising due to favorable leveraging of costs on increased sales and reduced marketing and promotional activities; and</w:t>
      </w:r>
    </w:p>
    <w:p>
      <w:pPr>
        <w:spacing w:after="0" w:line="75"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78 basis point decrease in employee costs from leveraging costs on increased sales, partially offset by increased incentive compensation expense and incremental expenses resulting from the expensing of certain share-based awards in connection with the completion of the IPO.</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$6.7 million, or 8.7%, in the year-to-date 2020 when compared to the year-to-date 2019, primarily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a lower outstanding principal balance and interest rates on our 2015 Term Loan Facility from prior year and current year principal repurchases of $147.7 million and $23.9 million, respectively, partially offset by higher interest on our ABL Facility due to a higher average outstanding balance.</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Gain on early retirement of debt, net. </w:t>
      </w:r>
      <w:r>
        <w:rPr>
          <w:rFonts w:ascii="Arial" w:cs="Arial" w:eastAsia="Arial" w:hAnsi="Arial"/>
          <w:sz w:val="18"/>
          <w:szCs w:val="18"/>
          <w:color w:val="auto"/>
        </w:rPr>
        <w:t>Gain on early retirement of debt, net decreased $34.4 million, or 81.5%, to $7.8 million from $42.3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prior year-to-date. During the year-to-date 2020, we repurchased $23.9 million in principal on the 2015 Term Loan Facility, which was trading at a discount, in open market transactions for $16.0 million and recognized a net gain of $7.8 million. During the year-to-date 2019, we repurchased $147.7 million in principal on the 2015 Term Loan Facility, which was trading at a discount in open market transactions for $104.6 million and recognized a net gain of $42.3 million.</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decreased $1.1 million in the year-to-date 2020 when compared to the year-to-date 2019 caused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underlying cash flows related to $100.0 million of swap notional principal amount which were no longer probable of occurring and resulted in the immediate recognition of $1.3 million of expense.</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decreased $1.6 million to $0.3 million in the year-to-date 2020 as compared to $1.9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year-to-date 2019. As a result of the Reorganization Transactions, which occurred on October 1, 2020, we became subject to U.S. federal income taxes and are being taxed at the prevailing corporate rates. The increase in our federal income tax effective rate upon completion of the Reorganization Transactions was largely offset by a net tax benefit for the third quarter of 2020, which resulted from a pre-tax loss subsequent to the Reorganization Transactions caused by incremental costs, including equity compensation expense, in connection with the IPO and the termination of the Monitoring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(52 weeks) Compared to 2018 (52 weeks)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vMerge w:val="restart"/>
          </w:tcPr>
          <w:p>
            <w:pPr>
              <w:ind w:left="20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February 1, 2020</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February 2, 2019</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4,829,897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4,783,893</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w w:val="94"/>
              </w:rPr>
              <w:t>100.0%</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$ 46,004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3,398,743</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70.45%</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3,415,941</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71.4%</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(17,198)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1,431,154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29.65%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1,367,952</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63,202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1,251,733</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25.95%</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1,239,002</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25.9%</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12,731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128,950</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50,471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101,307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108,652</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2.3%</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(7,345)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(2,481)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(3,095)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614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23,393</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99,467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425.2%</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2,817</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1,951</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0.0%</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866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$ 98,601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Percentages in table may not sum properly due to rounding.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auto"/>
              </w:rPr>
              <w:t>**   NM - Not meaningful</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40" w:type="dxa"/>
            <w:vAlign w:val="bottom"/>
            <w:gridSpan w:val="4"/>
          </w:tcPr>
          <w:p>
            <w:pPr>
              <w:spacing w:after="0"/>
              <w:rPr>
                <w:sz w:val="20"/>
                <w:szCs w:val="20"/>
                <w:color w:val="auto"/>
              </w:rPr>
            </w:pPr>
            <w:r>
              <w:rPr>
                <w:rFonts w:ascii="Arial" w:cs="Arial" w:eastAsia="Arial" w:hAnsi="Arial"/>
                <w:sz w:val="18"/>
                <w:szCs w:val="18"/>
                <w:color w:val="auto"/>
                <w:w w:val="93"/>
              </w:rPr>
              <w:t>The following table summarizes store activity for the periods indicated: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2,</w:t>
            </w:r>
          </w:p>
        </w:tc>
        <w:tc>
          <w:tcPr>
            <w:tcW w:w="64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Q1 new stores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Q3 new stores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Q4 new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Closed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Ending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Relocated stores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Renovated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increased $46.0 million, or 1.0%, in 2019 over the prior year. The 1.0% increase was driven primarily by additional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by new locations, partially offset by a decline in comparable sales of 0.7%. As of the end of 2019, we operated a net six additional stores compared to the end of 2018, and we had the full benefit of nine stores opened during the prior year. These stores generated sales of $84.8 million, or 1.8% of net sales.</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0.7% comparable sales decline was driven by a 6.3% decrease in comparable sales from the sports and recreation merchandise division and a 3.1% decrease in the outdoors merchandise division. Declines in each category within the sports and recreation merchandise division, which includes team sports/fitness and recreation, were partially driven by planned exits in product types (such as certain outdoor games and electronics) that did not fit within our future assortment strategies during 2019. The outdoors merchandise division decreased as a result of declines from camping and cooking sales during 2019, as well as lower demand for firearms and ammunition during the first and second quarter 2019. These decreases were largely offset by a comparable sales increase of 4.7% in apparel and 1.0% in footwear. The apparel merchandise division increased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as a result of positive comparable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sales increased, which was the result of an increase in the work and casual footwear category, partially offset by a decrease in athletic footwear. Although we had an overall decrease in comparable sales in 2019, we had positive comparable sales in the back half of 2019. We believe that improvements to our business in the back half of 2019, such as improvements to our website and omnichannel capabilities, including the introduction of BOPIS in July 2019, continued enhancements to our merchandise planning and allocation capabilities, and the launch of the Academy Credit Card in May 2019 were key factors that saw the increase of comparable sales in the back half of 2019.</w:t>
      </w:r>
    </w:p>
    <w:p>
      <w:pPr>
        <w:spacing w:after="0" w:line="16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61"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Gross Margin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Gross margin for 2019 increased $63.2 million, or 4.6%, when compared to 2018. Our gross margin, as a percentage of 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was 29.6% in 2019 compared to 28.6% in 2018, an increase of 100 basis points. This increase is primarily due to:</w:t>
      </w:r>
    </w:p>
    <w:p>
      <w:pPr>
        <w:spacing w:after="0" w:line="49" w:lineRule="exact"/>
        <w:rPr>
          <w:sz w:val="20"/>
          <w:szCs w:val="20"/>
          <w:color w:val="auto"/>
        </w:rPr>
      </w:pPr>
    </w:p>
    <w:p>
      <w:pPr>
        <w:ind w:left="1540" w:right="420" w:hanging="331"/>
        <w:spacing w:after="0" w:line="277"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78 basis points of favorability on merchandise margins from favorability in inventory valuation adjustments relative to the prior year;</w:t>
      </w:r>
    </w:p>
    <w:p>
      <w:pPr>
        <w:spacing w:after="0" w:line="75" w:lineRule="exact"/>
        <w:rPr>
          <w:rFonts w:ascii="Arial" w:cs="Arial" w:eastAsia="Arial" w:hAnsi="Arial"/>
          <w:sz w:val="18"/>
          <w:szCs w:val="18"/>
          <w:color w:val="auto"/>
        </w:rPr>
      </w:pPr>
    </w:p>
    <w:p>
      <w:pPr>
        <w:ind w:left="1540" w:right="480" w:hanging="331"/>
        <w:spacing w:after="0" w:line="277"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SG&amp;A expenses increased $12.7 million, or 1.0%, to $1,251.7 million in 2019 from</w:t>
      </w:r>
      <w:r>
        <w:rPr>
          <w:rFonts w:ascii="Arial" w:cs="Arial" w:eastAsia="Arial" w:hAnsi="Arial"/>
          <w:sz w:val="18"/>
          <w:szCs w:val="18"/>
          <w:b w:val="1"/>
          <w:bCs w:val="1"/>
          <w:color w:val="auto"/>
        </w:rPr>
        <w:t xml:space="preserve"> </w:t>
      </w:r>
      <w:r>
        <w:rPr>
          <w:rFonts w:ascii="Arial" w:cs="Arial" w:eastAsia="Arial" w:hAnsi="Arial"/>
          <w:sz w:val="18"/>
          <w:szCs w:val="18"/>
          <w:color w:val="auto"/>
        </w:rPr>
        <w:t>$1,239.0 million in 2018. As a percentage of net sales, SG&amp;A remained flat at 25.9% in 2019 compared to 2018. The notable changes within SG&amp;A were as follows:</w:t>
      </w:r>
    </w:p>
    <w:p>
      <w:pPr>
        <w:spacing w:after="0" w:line="85" w:lineRule="exact"/>
        <w:rPr>
          <w:sz w:val="20"/>
          <w:szCs w:val="20"/>
          <w:color w:val="auto"/>
        </w:rPr>
      </w:pPr>
    </w:p>
    <w:p>
      <w:pPr>
        <w:ind w:left="1540" w:right="46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75" w:lineRule="exact"/>
        <w:rPr>
          <w:rFonts w:ascii="Arial" w:cs="Arial" w:eastAsia="Arial" w:hAnsi="Arial"/>
          <w:sz w:val="18"/>
          <w:szCs w:val="18"/>
          <w:color w:val="auto"/>
        </w:rPr>
      </w:pPr>
    </w:p>
    <w:p>
      <w:pPr>
        <w:ind w:left="1540" w:right="38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66" w:lineRule="exact"/>
        <w:rPr>
          <w:sz w:val="20"/>
          <w:szCs w:val="20"/>
          <w:color w:val="auto"/>
        </w:rPr>
      </w:pPr>
    </w:p>
    <w:p>
      <w:pPr>
        <w:ind w:left="120" w:right="260" w:firstLine="440"/>
        <w:spacing w:after="0" w:line="312"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expense decreased $7.3 million, or 6.8%, to $101.3 million in 2019 from $108.7 million in 2018, resulting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from a lower outstanding balance on our 2015 Term Loan Facility due to the principal repurchases of $147.7 million during 2019.</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(52 weeks) Compared to 2017 (53 weeks)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When a 52-week fiscal year follows a 53-week fiscal year, the comparable sales calculation is based on the prior fiscal year’s sales shifted forward one week, as we believe this best approximates current trends in our business.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Fiscal Period</w:t>
            </w:r>
          </w:p>
        </w:tc>
        <w:tc>
          <w:tcPr>
            <w:tcW w:w="2060" w:type="dxa"/>
            <w:vAlign w:val="bottom"/>
          </w:tcPr>
          <w:p>
            <w:pPr>
              <w:spacing w:after="0"/>
              <w:rPr>
                <w:sz w:val="14"/>
                <w:szCs w:val="14"/>
                <w:color w:val="auto"/>
              </w:rPr>
            </w:pPr>
          </w:p>
        </w:tc>
        <w:tc>
          <w:tcPr>
            <w:tcW w:w="17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85"/>
              </w:rPr>
              <w:t>Basis</w:t>
            </w:r>
          </w:p>
        </w:tc>
        <w:tc>
          <w:tcPr>
            <w:tcW w:w="2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9"/>
              </w:rPr>
              <w:t>Current Year</w:t>
            </w:r>
          </w:p>
        </w:tc>
        <w:tc>
          <w:tcPr>
            <w:tcW w:w="2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Prior Year Comparable</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Comparable</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20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6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3"/>
              </w:rPr>
              <w:t>Comparable Period</w:t>
            </w:r>
          </w:p>
        </w:tc>
        <w:tc>
          <w:tcPr>
            <w:tcW w:w="26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1"/>
              </w:rPr>
              <w:t>Period</w:t>
            </w:r>
          </w:p>
        </w:tc>
        <w:tc>
          <w:tcPr>
            <w:tcW w:w="11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89"/>
        </w:trPr>
        <w:tc>
          <w:tcPr>
            <w:tcW w:w="800" w:type="dxa"/>
            <w:vAlign w:val="bottom"/>
            <w:tcBorders>
              <w:top w:val="single" w:sz="8" w:color="CCEEFF"/>
            </w:tcBorders>
            <w:shd w:val="clear" w:color="auto" w:fill="CCEEFF"/>
          </w:tcPr>
          <w:p>
            <w:pPr>
              <w:jc w:val="right"/>
              <w:ind w:right="176"/>
              <w:spacing w:after="0" w:line="189" w:lineRule="exact"/>
              <w:rPr>
                <w:sz w:val="20"/>
                <w:szCs w:val="20"/>
                <w:color w:val="auto"/>
              </w:rPr>
            </w:pPr>
            <w:r>
              <w:rPr>
                <w:rFonts w:ascii="Arial" w:cs="Arial" w:eastAsia="Arial" w:hAnsi="Arial"/>
                <w:sz w:val="18"/>
                <w:szCs w:val="18"/>
                <w:color w:val="auto"/>
              </w:rPr>
              <w:t>2018</w:t>
            </w:r>
          </w:p>
        </w:tc>
        <w:tc>
          <w:tcPr>
            <w:tcW w:w="20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Comparable</w:t>
            </w:r>
          </w:p>
        </w:tc>
        <w:tc>
          <w:tcPr>
            <w:tcW w:w="7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Fifty-two weeks ended</w:t>
            </w:r>
          </w:p>
        </w:tc>
        <w:tc>
          <w:tcPr>
            <w:tcW w:w="7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Fifty-two weeks ended</w:t>
            </w:r>
          </w:p>
        </w:tc>
        <w:tc>
          <w:tcPr>
            <w:tcW w:w="7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0"/>
              </w:rPr>
              <w:t>sales</w:t>
            </w:r>
          </w:p>
        </w:tc>
        <w:tc>
          <w:tcPr>
            <w:tcW w:w="2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0"/>
              </w:rPr>
              <w:t>February 2, 2019</w:t>
            </w:r>
          </w:p>
        </w:tc>
        <w:tc>
          <w:tcPr>
            <w:tcW w:w="2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0"/>
              </w:rPr>
              <w:t>February 3, 2018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800" w:type="dxa"/>
            <w:vAlign w:val="bottom"/>
          </w:tcPr>
          <w:p>
            <w:pPr>
              <w:jc w:val="right"/>
              <w:ind w:right="176"/>
              <w:spacing w:after="0" w:line="201" w:lineRule="exact"/>
              <w:rPr>
                <w:sz w:val="20"/>
                <w:szCs w:val="20"/>
                <w:color w:val="auto"/>
              </w:rPr>
            </w:pPr>
            <w:r>
              <w:rPr>
                <w:rFonts w:ascii="Arial" w:cs="Arial" w:eastAsia="Arial" w:hAnsi="Arial"/>
                <w:sz w:val="18"/>
                <w:szCs w:val="18"/>
                <w:color w:val="auto"/>
              </w:rPr>
              <w:t>2017</w:t>
            </w:r>
          </w:p>
        </w:tc>
        <w:tc>
          <w:tcPr>
            <w:tcW w:w="2060" w:type="dxa"/>
            <w:vAlign w:val="bottom"/>
          </w:tcPr>
          <w:p>
            <w:pPr>
              <w:spacing w:after="0"/>
              <w:rPr>
                <w:sz w:val="17"/>
                <w:szCs w:val="17"/>
                <w:color w:val="auto"/>
              </w:rPr>
            </w:pPr>
          </w:p>
        </w:tc>
        <w:tc>
          <w:tcPr>
            <w:tcW w:w="176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89"/>
              </w:rPr>
              <w:t>Comparable</w:t>
            </w:r>
          </w:p>
        </w:tc>
        <w:tc>
          <w:tcPr>
            <w:tcW w:w="262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1"/>
              </w:rPr>
              <w:t>Fifty-two weeks ended</w:t>
            </w:r>
          </w:p>
        </w:tc>
        <w:tc>
          <w:tcPr>
            <w:tcW w:w="262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1"/>
              </w:rPr>
              <w:t>Fifty-two weeks ended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8"/>
                <w:szCs w:val="18"/>
                <w:color w:val="auto"/>
                <w:w w:val="80"/>
              </w:rPr>
              <w:t>sales</w:t>
            </w:r>
          </w:p>
        </w:tc>
        <w:tc>
          <w:tcPr>
            <w:tcW w:w="2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January 27, 2018</w:t>
            </w:r>
          </w:p>
        </w:tc>
        <w:tc>
          <w:tcPr>
            <w:tcW w:w="2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January 28, 2017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jc w:val="right"/>
              <w:ind w:right="775"/>
              <w:spacing w:after="0"/>
              <w:rPr>
                <w:sz w:val="20"/>
                <w:szCs w:val="20"/>
                <w:color w:val="auto"/>
              </w:rPr>
            </w:pPr>
            <w:r>
              <w:rPr>
                <w:rFonts w:ascii="Arial" w:cs="Arial" w:eastAsia="Arial" w:hAnsi="Arial"/>
                <w:sz w:val="18"/>
                <w:szCs w:val="18"/>
                <w:color w:val="auto"/>
              </w:rPr>
              <w:t>75</w:t>
            </w: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February 3, 2018</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4,783,893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100.0%</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4,835,582</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94"/>
              </w:rPr>
              <w:t>100.0%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$(51,689)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3,436,618</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71.1%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(20,677)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1,398,964</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(31,012)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1,241,643</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25.7%</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(2,641)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157,321</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(28,371)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108,652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104,857</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2.2%</w:t>
            </w:r>
          </w:p>
        </w:tc>
        <w:tc>
          <w:tcPr>
            <w:tcW w:w="1180" w:type="dxa"/>
            <w:vAlign w:val="bottom"/>
            <w:gridSpan w:val="4"/>
          </w:tcPr>
          <w:p>
            <w:pPr>
              <w:jc w:val="right"/>
              <w:ind w:right="300"/>
              <w:spacing w:after="0"/>
              <w:rPr>
                <w:sz w:val="20"/>
                <w:szCs w:val="20"/>
                <w:color w:val="auto"/>
              </w:rPr>
            </w:pPr>
            <w:r>
              <w:rPr>
                <w:rFonts w:ascii="Arial" w:cs="Arial" w:eastAsia="Arial" w:hAnsi="Arial"/>
                <w:sz w:val="18"/>
                <w:szCs w:val="18"/>
                <w:color w:val="auto"/>
              </w:rPr>
              <w:t>3,795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(6,294)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6,294</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(3,095)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(2,524)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(571)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61,282</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(37,889)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2,781</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0.1%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(830)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58,501</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4900" w:type="dxa"/>
            <w:vAlign w:val="bottom"/>
            <w:gridSpan w:val="3"/>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Percentages in table may not sum properly due to rounding.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NM - Not meaningful</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7"/>
          </w:tcPr>
          <w:p>
            <w:pPr>
              <w:ind w:left="440"/>
              <w:spacing w:after="0"/>
              <w:rPr>
                <w:sz w:val="20"/>
                <w:szCs w:val="20"/>
                <w:color w:val="auto"/>
              </w:rPr>
            </w:pPr>
            <w:r>
              <w:rPr>
                <w:rFonts w:ascii="Arial" w:cs="Arial" w:eastAsia="Arial" w:hAnsi="Arial"/>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60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Q1 new stores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Q3 new stores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Q4 new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Closed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Ending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vMerge w:val="restart"/>
          </w:tcPr>
          <w:p>
            <w:pPr>
              <w:spacing w:after="0"/>
              <w:rPr>
                <w:sz w:val="20"/>
                <w:szCs w:val="20"/>
                <w:color w:val="auto"/>
              </w:rPr>
            </w:pPr>
            <w:r>
              <w:rPr>
                <w:rFonts w:ascii="Arial" w:cs="Arial" w:eastAsia="Arial" w:hAnsi="Arial"/>
                <w:sz w:val="18"/>
                <w:szCs w:val="18"/>
                <w:color w:val="auto"/>
              </w:rPr>
              <w:t>Relocated stores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Renovated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60" w:firstLine="440"/>
        <w:spacing w:after="0" w:line="261"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decreased $51.7 million, or 1.1%, in 2018 over the prior year. The 1.1% decrease was driven primarily by a decline in</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disclosure has been updated to reflect the new merchandise division category and product reclassification completed in 2019. See “Business.”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2.5% comparable sales decline in 2018 was driven by a comparable sales decrease of 5.4% in the sports and recreation merchandise division and a 4.1% decrease in the outdoors merchandise division. The outdoors merchandise division experienced a decline in 2018 from the market saturation of specialized drinkware and related coolers, as well as market softness in firearms and ammunition. Also contributing to the decline in the outdoors merchandise division in 2018 was our planned assortment reduction in the camping category. The decline in the sports and recreation merchandise division in 2018 was caused by declines in both the team sports/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fitness and recreation categories. Both the apparel and footwear merchandise divisions comparable sales were relatively flat compared to the prior year with a decrease of 0.4% and an increase of 0.1%, respectively. Within the apparel merchandise division, licensed apparel decreased as we benefited in the prior year on MLB licensed apparel due to team playoff success within our footprint that was partially offset by an increase in outdoor and seasonal apparel. Within the footwear merchandise division, the increase was driven by an increase in work and casual footwear, partially offset by a decrease in athletic footwear.</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80" w:lineRule="exact"/>
        <w:rPr>
          <w:sz w:val="20"/>
          <w:szCs w:val="20"/>
          <w:color w:val="auto"/>
        </w:rPr>
      </w:pPr>
    </w:p>
    <w:p>
      <w:pPr>
        <w:ind w:left="120" w:right="40" w:firstLine="440"/>
        <w:spacing w:after="0" w:line="312" w:lineRule="auto"/>
        <w:rPr>
          <w:sz w:val="20"/>
          <w:szCs w:val="20"/>
          <w:color w:val="auto"/>
        </w:rPr>
      </w:pPr>
      <w:r>
        <w:rPr>
          <w:rFonts w:ascii="Arial" w:cs="Arial" w:eastAsia="Arial" w:hAnsi="Arial"/>
          <w:sz w:val="17"/>
          <w:szCs w:val="17"/>
          <w:b w:val="1"/>
          <w:bCs w:val="1"/>
          <w:color w:val="auto"/>
        </w:rPr>
        <w:t>Gross Margin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Gross margin for 2018 decreased $31.0 million, or 2.2%, when compared to 2017. Our gross margin, as a percentage of 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was 28.6% in 2018 compared to 28.9% in 2017, a decrease of 30 basis points. This decrease is primarily due to:</w:t>
      </w:r>
    </w:p>
    <w:p>
      <w:pPr>
        <w:spacing w:after="0" w:line="49" w:lineRule="exact"/>
        <w:rPr>
          <w:sz w:val="20"/>
          <w:szCs w:val="20"/>
          <w:color w:val="auto"/>
        </w:rPr>
      </w:pPr>
    </w:p>
    <w:p>
      <w:pPr>
        <w:ind w:left="1540" w:right="440" w:hanging="331"/>
        <w:spacing w:after="0" w:line="277"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21 basis points of unfavorability on freight due to increased domestic and international freight pricing and duties;</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15 basis points of unfavorability on merchandise margins due to increased clearance and promotional activities, coupled with the growth of e-commerce sales; and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34 basis points of favorability due to decreased inventory shrinkage.</w:t>
      </w:r>
    </w:p>
    <w:p>
      <w:pPr>
        <w:spacing w:after="0" w:line="221" w:lineRule="exact"/>
        <w:rPr>
          <w:sz w:val="20"/>
          <w:szCs w:val="20"/>
          <w:color w:val="auto"/>
        </w:rPr>
      </w:pPr>
    </w:p>
    <w:p>
      <w:pPr>
        <w:ind w:left="120" w:right="440" w:firstLine="440"/>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SG&amp;A expenses decreased $2.6 million, or 0.2%, to $1,239.0 million in 2018 from</w:t>
      </w:r>
      <w:r>
        <w:rPr>
          <w:rFonts w:ascii="Arial" w:cs="Arial" w:eastAsia="Arial" w:hAnsi="Arial"/>
          <w:sz w:val="18"/>
          <w:szCs w:val="18"/>
          <w:b w:val="1"/>
          <w:bCs w:val="1"/>
          <w:color w:val="auto"/>
        </w:rPr>
        <w:t xml:space="preserve"> </w:t>
      </w:r>
      <w:r>
        <w:rPr>
          <w:rFonts w:ascii="Arial" w:cs="Arial" w:eastAsia="Arial" w:hAnsi="Arial"/>
          <w:sz w:val="18"/>
          <w:szCs w:val="18"/>
          <w:color w:val="auto"/>
        </w:rPr>
        <w:t>$1,241.6 million in 2017. As a percentage of net sales, SG&amp;A was 25.9% in 2018 compared to 25.7% in 2017. SG&amp;A as a percentage of net sales increased 20 basis points primarily driven by:</w:t>
      </w:r>
    </w:p>
    <w:p>
      <w:pPr>
        <w:spacing w:after="0" w:line="85" w:lineRule="exact"/>
        <w:rPr>
          <w:sz w:val="20"/>
          <w:szCs w:val="20"/>
          <w:color w:val="auto"/>
        </w:rPr>
      </w:pPr>
    </w:p>
    <w:p>
      <w:pPr>
        <w:ind w:left="1540" w:right="340" w:hanging="331"/>
        <w:spacing w:after="0" w:line="277"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18 basis point decrease in professional fees related to our 2017 profitability and growth initiatives.</w:t>
      </w:r>
    </w:p>
    <w:p>
      <w:pPr>
        <w:spacing w:after="0" w:line="221" w:lineRule="exact"/>
        <w:rPr>
          <w:sz w:val="20"/>
          <w:szCs w:val="20"/>
          <w:color w:val="auto"/>
        </w:rPr>
      </w:pPr>
    </w:p>
    <w:p>
      <w:pPr>
        <w:jc w:val="both"/>
        <w:ind w:left="120" w:right="200" w:firstLine="440"/>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increased $3.8 million, or 3.6%, to $108.7 million in 2018 from $104.9 million in 2017, resulting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from rising interest rates on our 2015 Term Loan Facility, which was partially offset by more favorable positions on our interest rate swaps relative to 2017.</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Adjusted comparable sales</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8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reconciliation of our comparable sales to our adjusted comparable sales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Fiscal Year Ended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Thirty-Nine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Weeks Ended</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February 1,</w:t>
            </w:r>
          </w:p>
        </w:tc>
        <w:tc>
          <w:tcPr>
            <w:tcW w:w="3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February 2,</w:t>
            </w: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70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Additional sales associated with Houston Astros</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World Series appearances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(0.8)%</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sales of a product driven by free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shipping promotion</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Sales from the exited product categories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Adjusted comparable sales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16.1 %</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Adjusted EBITDA, Adjusted Net Income (Loss), Pro Forma Adjusted Net Income (Loss), Pro Forma Adjusted Earnings per Share and Adjusted Free Cash Flow</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less the retrospective tax effect of Adjusted Net Income (Loss)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16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Pro Forma Adjusted Net Income (Loss) and Pro Forma Adjusted Earnings per Share should not be construed to imply that our future results will be unaffected by unusual or non-recurring items. In evaluating Adjusted EBITDA, Adjusted Net Income (Loss), Pro Forma Adjusted Net Income (Loss), Pro Forma Adjusted Earnings per Share and Adjusted Free Cash Flow, you should be aware that in the future we may incur expenses that are the same as or similar to some of the adjustments in this presentation. Our presentation of Adjusted EBITDA, Adjusted Net Income (Loss), Pro Forma Adjusted Net Income (Loss), Pro Forma Adjusted Earnings per Share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Pro Forma Adjusted Earnings per Share and Adjusted Free Cash Flow supplementally.</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Adjusted EBITDA, Adjusted Net Income (Loss), Pro Forma Adjusted Net Income (Loss),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89" w:lineRule="exact"/>
        <w:rPr>
          <w:sz w:val="20"/>
          <w:szCs w:val="20"/>
          <w:color w:val="auto"/>
        </w:rPr>
      </w:pPr>
    </w:p>
    <w:p>
      <w:pPr>
        <w:ind w:left="1080" w:right="1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costs or cash outlays for capital expenditures or contractual commitments;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changes in, or cash requirements for, our working capital needs;</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Adjusted EBITDA does not reflect period to period changes in taxes, income tax expense or the cash necessary to pay income taxes;</w:t>
      </w:r>
    </w:p>
    <w:p>
      <w:pPr>
        <w:spacing w:after="0" w:line="142" w:lineRule="exact"/>
        <w:rPr>
          <w:rFonts w:ascii="Arial" w:cs="Arial" w:eastAsia="Arial" w:hAnsi="Arial"/>
          <w:sz w:val="17"/>
          <w:szCs w:val="17"/>
          <w:color w:val="auto"/>
        </w:rPr>
      </w:pPr>
    </w:p>
    <w:p>
      <w:pPr>
        <w:ind w:left="1080" w:right="16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and Pro Forma Adjusted Earnings per Share do not reflect the impact of earnings or charges resulting from matters we consider not to be indicative of our ongoing operations;</w:t>
      </w:r>
    </w:p>
    <w:p>
      <w:pPr>
        <w:spacing w:after="0" w:line="29" w:lineRule="exact"/>
        <w:rPr>
          <w:rFonts w:ascii="Arial" w:cs="Arial" w:eastAsia="Arial" w:hAnsi="Arial"/>
          <w:sz w:val="16"/>
          <w:szCs w:val="16"/>
          <w:color w:val="auto"/>
        </w:rPr>
      </w:pPr>
    </w:p>
    <w:p>
      <w:pPr>
        <w:ind w:left="1080" w:right="14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24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Because of these limitations, Adjusted EBITDA, Adjusted Net Income (Loss), Pro Forma Adjusted Net Income (Loss), Pro Forma Adjusted Earnings per Share and Adjusted Free Cash Flow should not be considered as measures of discretionary cash available to invest in business growth or to reduce indebtedness.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tables provide reconciliations of net income (loss) to Adjusted EBITDA, Adjusted Net Income (Loss), Pro Forma Adjusted Net Income (Loss) and Pro Forma Adjusted Earnings per Share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3,</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2"/>
              <w:spacing w:after="0" w:line="123" w:lineRule="exact"/>
              <w:rPr>
                <w:sz w:val="20"/>
                <w:szCs w:val="20"/>
                <w:color w:val="auto"/>
              </w:rPr>
            </w:pPr>
            <w:r>
              <w:rPr>
                <w:rFonts w:ascii="Arial" w:cs="Arial" w:eastAsia="Arial" w:hAnsi="Arial"/>
                <w:sz w:val="14"/>
                <w:szCs w:val="14"/>
                <w:b w:val="1"/>
                <w:bCs w:val="1"/>
                <w:color w:val="auto"/>
                <w:w w:val="84"/>
              </w:rPr>
              <w:t>52 weeks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52 weeks</w:t>
            </w:r>
          </w:p>
        </w:tc>
        <w:tc>
          <w:tcPr>
            <w:tcW w:w="40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53 weeks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39 weeks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2"/>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$ 120,043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58,501</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$ 217,242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expense,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101,307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108,652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104,857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70,487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2,817</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117,254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134,190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135,680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79,718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88,693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 (a)</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Adviser monitoring fee (b)</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3,522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14,793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Gain on early extinguishment of debt,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(42,265)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(6,294)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Severance and executive transition costs (d)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4,350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Costs related to the COVID-19 pandemic (e)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merchandising initiative (f)</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18,225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(g)</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7,111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$ 322,814</w:t>
            </w:r>
          </w:p>
        </w:tc>
        <w:tc>
          <w:tcPr>
            <w:tcW w:w="14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$ 300,259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$ 315,420</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$ 428,640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245,596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Fiscal Year Ended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3,</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2"/>
              <w:spacing w:after="0" w:line="123" w:lineRule="exact"/>
              <w:rPr>
                <w:sz w:val="20"/>
                <w:szCs w:val="20"/>
                <w:color w:val="auto"/>
              </w:rPr>
            </w:pPr>
            <w:r>
              <w:rPr>
                <w:rFonts w:ascii="Arial" w:cs="Arial" w:eastAsia="Arial" w:hAnsi="Arial"/>
                <w:sz w:val="14"/>
                <w:szCs w:val="14"/>
                <w:b w:val="1"/>
                <w:bCs w:val="1"/>
                <w:color w:val="auto"/>
                <w:w w:val="84"/>
              </w:rPr>
              <w:t>52 weeks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52 weeks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7"/>
              </w:rPr>
              <w:t>53 weeks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39 weeks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2"/>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$ 120,043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58,501</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$ 217,242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Consulting fees (a)</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Adviser monitoring fee (b)</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3,636</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14,793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Equity compensation (c)</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7,881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27,049</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(42,265)</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Severance and executive transition costs (d)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7,409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the COVID-19 pandemic (e)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merchandising initiative (f)</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18,225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effects of these adjustments (h)</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$ 101,469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55,405</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72,078</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$ 278,001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77,862</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Estimated tax effect of change to C-Corporation status (i)</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(25,542)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(14,067)</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(18,346)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(69,410)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(19,535)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Adjusted Net Income</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53,732</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$ 208,591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 Forma Adjusted Earnings per Share: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83,013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73,908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85,332</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77,171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540" w:right="2380" w:hanging="5424"/>
        <w:spacing w:after="0" w:line="449" w:lineRule="auto"/>
        <w:tabs>
          <w:tab w:leader="none" w:pos="5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 80</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25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our contractual payments under our Monitoring Agreement with the Adviser, which was terminated in connection with the IPO. See “Certain Relationships and Related Party Transactions—Monitoring Agreement.”</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9"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made to arrive at Adjusted Net Income (Loss) at our historical tax rate.</w:t>
      </w:r>
    </w:p>
    <w:p>
      <w:pPr>
        <w:spacing w:after="0" w:line="9" w:lineRule="exact"/>
        <w:rPr>
          <w:rFonts w:ascii="Arial" w:cs="Arial" w:eastAsia="Arial" w:hAnsi="Arial"/>
          <w:sz w:val="18"/>
          <w:szCs w:val="18"/>
          <w:color w:val="auto"/>
        </w:rPr>
      </w:pPr>
    </w:p>
    <w:p>
      <w:pPr>
        <w:ind w:left="540" w:right="340" w:hanging="424"/>
        <w:spacing w:after="0" w:line="290"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the retrospective tax effect of Adjusted Net Income (Loss) at our estimated effective tax rate of 25% for periods prior to October 1, 2020, the effective date of our conversion to a C-Corporation, upon which we became subject to federal income taxes.</w:t>
      </w:r>
    </w:p>
    <w:p>
      <w:pPr>
        <w:spacing w:after="0" w:line="161"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6"/>
          <w:szCs w:val="16"/>
          <w:color w:val="auto"/>
        </w:rPr>
        <w:t>The following table provides a reconciliation of net cash provided by operating activities to Adjusted Free Cash Flow for the periods presented:</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Thirty-Nine Weeks</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Pr>
          <w:p>
            <w:pPr>
              <w:spacing w:after="0"/>
              <w:rPr>
                <w:sz w:val="10"/>
                <w:szCs w:val="10"/>
                <w:color w:val="auto"/>
              </w:rPr>
            </w:pPr>
          </w:p>
        </w:tc>
        <w:tc>
          <w:tcPr>
            <w:tcW w:w="10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February 3,</w:t>
            </w:r>
          </w:p>
        </w:tc>
        <w:tc>
          <w:tcPr>
            <w:tcW w:w="440" w:type="dxa"/>
            <w:vAlign w:val="bottom"/>
          </w:tcPr>
          <w:p>
            <w:pPr>
              <w:spacing w:after="0"/>
              <w:rPr>
                <w:sz w:val="10"/>
                <w:szCs w:val="10"/>
                <w:color w:val="auto"/>
              </w:rPr>
            </w:pPr>
          </w:p>
        </w:tc>
        <w:tc>
          <w:tcPr>
            <w:tcW w:w="1160" w:type="dxa"/>
            <w:vAlign w:val="bottom"/>
            <w:gridSpan w:val="2"/>
          </w:tcPr>
          <w:p>
            <w:pPr>
              <w:jc w:val="center"/>
              <w:ind w:right="368"/>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580" w:type="dxa"/>
            <w:vAlign w:val="bottom"/>
            <w:gridSpan w:val="2"/>
          </w:tcPr>
          <w:p>
            <w:pPr>
              <w:jc w:val="center"/>
              <w:ind w:left="775"/>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b w:val="1"/>
                <w:bCs w:val="1"/>
                <w:color w:val="auto"/>
                <w:w w:val="87"/>
              </w:rPr>
              <w:t>52 weeks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0"/>
              </w:rPr>
              <w:t>53 weeks</w:t>
            </w:r>
          </w:p>
        </w:tc>
        <w:tc>
          <w:tcPr>
            <w:tcW w:w="44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7"/>
              </w:rPr>
              <w:t>39 weeks</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$ 263,669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198,481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83,355</w:t>
            </w: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87"/>
              </w:rPr>
              <w:t>$ 857,218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94,756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(99,027)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(115,901)</w:t>
            </w: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(52,579)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Free Cash Flow</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$ 196,886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99,454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(32,546)</w:t>
            </w: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87"/>
              </w:rPr>
              <w:t>$ 843,428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580" w:type="dxa"/>
            <w:vAlign w:val="bottom"/>
            <w:gridSpan w:val="2"/>
          </w:tcPr>
          <w:p>
            <w:pPr>
              <w:jc w:val="right"/>
              <w:ind w:right="524"/>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89"/>
              </w:rPr>
              <w:t>Thirteen Weeks Ended</w:t>
            </w: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60" w:type="dxa"/>
            <w:vAlign w:val="bottom"/>
            <w:vMerge w:val="restart"/>
          </w:tcPr>
          <w:p>
            <w:pPr>
              <w:spacing w:after="0"/>
              <w:rPr>
                <w:sz w:val="20"/>
                <w:szCs w:val="20"/>
                <w:color w:val="auto"/>
              </w:rPr>
            </w:pPr>
            <w:r>
              <w:rPr>
                <w:rFonts w:ascii="Arial" w:cs="Arial" w:eastAsia="Arial" w:hAnsi="Arial"/>
                <w:sz w:val="13"/>
                <w:szCs w:val="13"/>
                <w:color w:val="auto"/>
              </w:rPr>
              <w:t>(In thousands)</w:t>
            </w:r>
          </w:p>
        </w:tc>
        <w:tc>
          <w:tcPr>
            <w:tcW w:w="20" w:type="dxa"/>
            <w:vAlign w:val="bottom"/>
          </w:tcPr>
          <w:p>
            <w:pPr>
              <w:spacing w:after="0"/>
              <w:rPr>
                <w:sz w:val="8"/>
                <w:szCs w:val="8"/>
                <w:color w:val="auto"/>
              </w:rPr>
            </w:pPr>
          </w:p>
        </w:tc>
        <w:tc>
          <w:tcPr>
            <w:tcW w:w="880" w:type="dxa"/>
            <w:vAlign w:val="bottom"/>
            <w:gridSpan w:val="3"/>
          </w:tcPr>
          <w:p>
            <w:pPr>
              <w:jc w:val="right"/>
              <w:ind w:right="280"/>
              <w:spacing w:after="0" w:line="102" w:lineRule="exact"/>
              <w:rPr>
                <w:sz w:val="20"/>
                <w:szCs w:val="20"/>
                <w:color w:val="auto"/>
              </w:rPr>
            </w:pPr>
            <w:r>
              <w:rPr>
                <w:rFonts w:ascii="Arial" w:cs="Arial" w:eastAsia="Arial" w:hAnsi="Arial"/>
                <w:sz w:val="11"/>
                <w:szCs w:val="11"/>
                <w:b w:val="1"/>
                <w:bCs w:val="1"/>
                <w:color w:val="auto"/>
                <w:w w:val="95"/>
              </w:rPr>
              <w:t>October 31,</w:t>
            </w:r>
          </w:p>
        </w:tc>
        <w:tc>
          <w:tcPr>
            <w:tcW w:w="80" w:type="dxa"/>
            <w:vAlign w:val="bottom"/>
          </w:tcPr>
          <w:p>
            <w:pPr>
              <w:spacing w:after="0"/>
              <w:rPr>
                <w:sz w:val="8"/>
                <w:szCs w:val="8"/>
                <w:color w:val="auto"/>
              </w:rPr>
            </w:pPr>
          </w:p>
        </w:tc>
        <w:tc>
          <w:tcPr>
            <w:tcW w:w="76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August 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80"/>
              <w:spacing w:after="0" w:line="102" w:lineRule="exact"/>
              <w:rPr>
                <w:sz w:val="20"/>
                <w:szCs w:val="20"/>
                <w:color w:val="auto"/>
              </w:rPr>
            </w:pPr>
            <w:r>
              <w:rPr>
                <w:rFonts w:ascii="Arial" w:cs="Arial" w:eastAsia="Arial" w:hAnsi="Arial"/>
                <w:sz w:val="11"/>
                <w:szCs w:val="11"/>
                <w:b w:val="1"/>
                <w:bCs w:val="1"/>
                <w:color w:val="auto"/>
              </w:rPr>
              <w:t>May 2,</w:t>
            </w:r>
          </w:p>
        </w:tc>
        <w:tc>
          <w:tcPr>
            <w:tcW w:w="840" w:type="dxa"/>
            <w:vAlign w:val="bottom"/>
            <w:gridSpan w:val="3"/>
          </w:tcPr>
          <w:p>
            <w:pPr>
              <w:jc w:val="right"/>
              <w:ind w:right="240"/>
              <w:spacing w:after="0" w:line="102" w:lineRule="exact"/>
              <w:rPr>
                <w:sz w:val="20"/>
                <w:szCs w:val="20"/>
                <w:color w:val="auto"/>
              </w:rPr>
            </w:pPr>
            <w:r>
              <w:rPr>
                <w:rFonts w:ascii="Arial" w:cs="Arial" w:eastAsia="Arial" w:hAnsi="Arial"/>
                <w:sz w:val="11"/>
                <w:szCs w:val="11"/>
                <w:b w:val="1"/>
                <w:bCs w:val="1"/>
                <w:color w:val="auto"/>
                <w:w w:val="97"/>
              </w:rPr>
              <w:t>February 1,</w:t>
            </w:r>
          </w:p>
        </w:tc>
        <w:tc>
          <w:tcPr>
            <w:tcW w:w="40" w:type="dxa"/>
            <w:vAlign w:val="bottom"/>
          </w:tcPr>
          <w:p>
            <w:pPr>
              <w:spacing w:after="0"/>
              <w:rPr>
                <w:sz w:val="8"/>
                <w:szCs w:val="8"/>
                <w:color w:val="auto"/>
              </w:rPr>
            </w:pPr>
          </w:p>
        </w:tc>
        <w:tc>
          <w:tcPr>
            <w:tcW w:w="800" w:type="dxa"/>
            <w:vAlign w:val="bottom"/>
            <w:gridSpan w:val="3"/>
          </w:tcPr>
          <w:p>
            <w:pPr>
              <w:jc w:val="right"/>
              <w:ind w:right="180"/>
              <w:spacing w:after="0" w:line="102" w:lineRule="exact"/>
              <w:rPr>
                <w:sz w:val="20"/>
                <w:szCs w:val="20"/>
                <w:color w:val="auto"/>
              </w:rPr>
            </w:pPr>
            <w:r>
              <w:rPr>
                <w:rFonts w:ascii="Arial" w:cs="Arial" w:eastAsia="Arial" w:hAnsi="Arial"/>
                <w:sz w:val="11"/>
                <w:szCs w:val="11"/>
                <w:b w:val="1"/>
                <w:bCs w:val="1"/>
                <w:color w:val="auto"/>
                <w:w w:val="90"/>
              </w:rPr>
              <w:t>November 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40"/>
              <w:spacing w:after="0" w:line="102" w:lineRule="exact"/>
              <w:rPr>
                <w:sz w:val="20"/>
                <w:szCs w:val="20"/>
                <w:color w:val="auto"/>
              </w:rPr>
            </w:pPr>
            <w:r>
              <w:rPr>
                <w:rFonts w:ascii="Arial" w:cs="Arial" w:eastAsia="Arial" w:hAnsi="Arial"/>
                <w:sz w:val="11"/>
                <w:szCs w:val="11"/>
                <w:b w:val="1"/>
                <w:bCs w:val="1"/>
                <w:color w:val="auto"/>
                <w:w w:val="87"/>
              </w:rPr>
              <w:t>August 3,</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5"/>
              </w:rPr>
              <w:t>May 4,</w:t>
            </w:r>
          </w:p>
        </w:tc>
        <w:tc>
          <w:tcPr>
            <w:tcW w:w="880" w:type="dxa"/>
            <w:vAlign w:val="bottom"/>
            <w:gridSpan w:val="3"/>
          </w:tcPr>
          <w:p>
            <w:pPr>
              <w:jc w:val="right"/>
              <w:ind w:right="280"/>
              <w:spacing w:after="0" w:line="102" w:lineRule="exact"/>
              <w:rPr>
                <w:sz w:val="20"/>
                <w:szCs w:val="20"/>
                <w:color w:val="auto"/>
              </w:rPr>
            </w:pPr>
            <w:r>
              <w:rPr>
                <w:rFonts w:ascii="Arial" w:cs="Arial" w:eastAsia="Arial" w:hAnsi="Arial"/>
                <w:sz w:val="11"/>
                <w:szCs w:val="11"/>
                <w:b w:val="1"/>
                <w:bCs w:val="1"/>
                <w:color w:val="auto"/>
                <w:w w:val="97"/>
              </w:rPr>
              <w:t>February 2,</w:t>
            </w:r>
          </w:p>
        </w:tc>
        <w:tc>
          <w:tcPr>
            <w:tcW w:w="60" w:type="dxa"/>
            <w:vAlign w:val="bottom"/>
          </w:tcPr>
          <w:p>
            <w:pPr>
              <w:spacing w:after="0"/>
              <w:rPr>
                <w:sz w:val="8"/>
                <w:szCs w:val="8"/>
                <w:color w:val="auto"/>
              </w:rPr>
            </w:pPr>
          </w:p>
        </w:tc>
        <w:tc>
          <w:tcPr>
            <w:tcW w:w="920" w:type="dxa"/>
            <w:vAlign w:val="bottom"/>
            <w:gridSpan w:val="3"/>
          </w:tcPr>
          <w:p>
            <w:pPr>
              <w:jc w:val="right"/>
              <w:ind w:right="300"/>
              <w:spacing w:after="0" w:line="102" w:lineRule="exact"/>
              <w:rPr>
                <w:sz w:val="20"/>
                <w:szCs w:val="20"/>
                <w:color w:val="auto"/>
              </w:rPr>
            </w:pPr>
            <w:r>
              <w:rPr>
                <w:rFonts w:ascii="Arial" w:cs="Arial" w:eastAsia="Arial" w:hAnsi="Arial"/>
                <w:sz w:val="11"/>
                <w:szCs w:val="11"/>
                <w:b w:val="1"/>
                <w:bCs w:val="1"/>
                <w:color w:val="auto"/>
                <w:w w:val="90"/>
              </w:rPr>
              <w:t>November 3,</w:t>
            </w:r>
          </w:p>
        </w:tc>
        <w:tc>
          <w:tcPr>
            <w:tcW w:w="80" w:type="dxa"/>
            <w:vAlign w:val="bottom"/>
          </w:tcPr>
          <w:p>
            <w:pPr>
              <w:spacing w:after="0"/>
              <w:rPr>
                <w:sz w:val="8"/>
                <w:szCs w:val="8"/>
                <w:color w:val="auto"/>
              </w:rPr>
            </w:pPr>
          </w:p>
        </w:tc>
        <w:tc>
          <w:tcPr>
            <w:tcW w:w="800" w:type="dxa"/>
            <w:vAlign w:val="bottom"/>
            <w:gridSpan w:val="2"/>
          </w:tcPr>
          <w:p>
            <w:pPr>
              <w:jc w:val="right"/>
              <w:ind w:right="320"/>
              <w:spacing w:after="0" w:line="102" w:lineRule="exact"/>
              <w:rPr>
                <w:sz w:val="20"/>
                <w:szCs w:val="20"/>
                <w:color w:val="auto"/>
              </w:rPr>
            </w:pPr>
            <w:r>
              <w:rPr>
                <w:rFonts w:ascii="Arial" w:cs="Arial" w:eastAsia="Arial" w:hAnsi="Arial"/>
                <w:sz w:val="11"/>
                <w:szCs w:val="11"/>
                <w:b w:val="1"/>
                <w:bCs w:val="1"/>
                <w:color w:val="auto"/>
                <w:w w:val="91"/>
              </w:rPr>
              <w:t>August 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10"/>
              <w:spacing w:after="0" w:line="102" w:lineRule="exact"/>
              <w:rPr>
                <w:sz w:val="20"/>
                <w:szCs w:val="20"/>
                <w:color w:val="auto"/>
              </w:rPr>
            </w:pPr>
            <w:r>
              <w:rPr>
                <w:rFonts w:ascii="Arial" w:cs="Arial" w:eastAsia="Arial" w:hAnsi="Arial"/>
                <w:sz w:val="11"/>
                <w:szCs w:val="11"/>
                <w:b w:val="1"/>
                <w:bCs w:val="1"/>
                <w:color w:val="auto"/>
              </w:rPr>
              <w:t>May 5,</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6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2020</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2018</w:t>
            </w: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1,349,076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1,606,420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1,136,301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1,370,492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1,145,203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1,237,410</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1,076,792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1,342,018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1,060,188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1,262,207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1,119,480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440,511</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496,501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297,945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370,532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362,422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385,204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312,996</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332,133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328,833</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387,130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320,356</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Selling, general</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358,955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312,713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283,923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328,315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309,246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312,570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301,602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326,365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300,195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317,164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295,278</w:t>
            </w: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w w:val="94"/>
              </w:rPr>
              <w:t>Operating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81,556</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183,788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14,022</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42,217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53,176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72,634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11,394</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28,138</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69,966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25,078</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Interest expense,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22,399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23,566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24,522</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24,136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25,549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27,037</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27,608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27,076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27,173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26,795</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Gain on early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Pr>
          <w:p>
            <w:pPr>
              <w:ind w:left="140"/>
              <w:spacing w:after="0" w:line="149" w:lineRule="exact"/>
              <w:rPr>
                <w:sz w:val="20"/>
                <w:szCs w:val="20"/>
                <w:color w:val="auto"/>
              </w:rPr>
            </w:pPr>
            <w:r>
              <w:rPr>
                <w:rFonts w:ascii="Arial" w:cs="Arial" w:eastAsia="Arial" w:hAnsi="Arial"/>
                <w:sz w:val="14"/>
                <w:szCs w:val="14"/>
                <w:color w:val="auto"/>
              </w:rPr>
              <w:t>retirement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debt,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(7,831)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(1,127)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(41,138)</w:t>
            </w: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Net income (loss) $</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59,586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167,676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17,738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28,552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48,347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25,406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(21,458)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1,773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42,103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9"/>
        </w:trPr>
        <w:tc>
          <w:tcPr>
            <w:tcW w:w="1060" w:type="dxa"/>
            <w:vAlign w:val="bottom"/>
          </w:tcPr>
          <w:p>
            <w:pPr>
              <w:spacing w:after="0" w:line="149" w:lineRule="exact"/>
              <w:rPr>
                <w:sz w:val="20"/>
                <w:szCs w:val="20"/>
                <w:color w:val="auto"/>
              </w:rPr>
            </w:pPr>
            <w:r>
              <w:rPr>
                <w:rFonts w:ascii="Arial" w:cs="Arial" w:eastAsia="Arial" w:hAnsi="Arial"/>
                <w:sz w:val="14"/>
                <w:szCs w:val="14"/>
                <w:color w:val="auto"/>
                <w:w w:val="92"/>
              </w:rPr>
              <w:t>Comparable 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comparable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Adjusted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EBITDA</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145,738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229,645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53,257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77,218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88,759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107,249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49,588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62,172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64,567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109,087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64,433</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Net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98,894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178,351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23,607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34,062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(7,703)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4,845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46,472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4,812</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Pro Forma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Pr>
          <w:p>
            <w:pPr>
              <w:ind w:left="140"/>
              <w:spacing w:after="0" w:line="149" w:lineRule="exact"/>
              <w:rPr>
                <w:sz w:val="20"/>
                <w:szCs w:val="20"/>
                <w:color w:val="auto"/>
              </w:rPr>
            </w:pPr>
            <w:r>
              <w:rPr>
                <w:rFonts w:ascii="Arial" w:cs="Arial" w:eastAsia="Arial" w:hAnsi="Arial"/>
                <w:sz w:val="14"/>
                <w:szCs w:val="14"/>
                <w:color w:val="auto"/>
              </w:rPr>
              <w:t>Adjusted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Income (Loss)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73,747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134,404</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440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17,599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25,590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38,668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(5,931)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3,663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34,760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3,635</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Free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83,657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678,941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80,830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154,709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122,680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(50,486)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(108,232)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45,878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reconciliation of comparable sales to adjusted comparable sales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9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3"/>
                <w:szCs w:val="13"/>
                <w:b w:val="1"/>
                <w:bCs w:val="1"/>
                <w:color w:val="auto"/>
                <w:w w:val="88"/>
              </w:rPr>
              <w:t>Thirteen Weeks Ended</w:t>
            </w: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10"/>
        </w:trPr>
        <w:tc>
          <w:tcPr>
            <w:tcW w:w="1920" w:type="dxa"/>
            <w:vAlign w:val="bottom"/>
          </w:tcPr>
          <w:p>
            <w:pPr>
              <w:spacing w:after="0"/>
              <w:rPr>
                <w:sz w:val="9"/>
                <w:szCs w:val="9"/>
                <w:color w:val="auto"/>
              </w:rPr>
            </w:pPr>
          </w:p>
        </w:tc>
        <w:tc>
          <w:tcPr>
            <w:tcW w:w="9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October 31,</w:t>
            </w:r>
          </w:p>
        </w:tc>
        <w:tc>
          <w:tcPr>
            <w:tcW w:w="76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1"/>
              </w:rPr>
              <w:t>August 1,</w:t>
            </w:r>
          </w:p>
        </w:tc>
        <w:tc>
          <w:tcPr>
            <w:tcW w:w="64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7"/>
              </w:rPr>
              <w:t>May 2,</w:t>
            </w:r>
          </w:p>
        </w:tc>
        <w:tc>
          <w:tcPr>
            <w:tcW w:w="90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5"/>
              </w:rPr>
              <w:t>February 1,</w:t>
            </w:r>
          </w:p>
        </w:tc>
        <w:tc>
          <w:tcPr>
            <w:tcW w:w="100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w w:val="94"/>
              </w:rPr>
              <w:t>November 2,</w:t>
            </w:r>
          </w:p>
        </w:tc>
        <w:tc>
          <w:tcPr>
            <w:tcW w:w="82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5"/>
              </w:rPr>
              <w:t>August 3,</w:t>
            </w:r>
          </w:p>
        </w:tc>
        <w:tc>
          <w:tcPr>
            <w:tcW w:w="70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7"/>
              </w:rPr>
              <w:t>May 4,</w:t>
            </w:r>
          </w:p>
        </w:tc>
        <w:tc>
          <w:tcPr>
            <w:tcW w:w="96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5"/>
              </w:rPr>
              <w:t>February 2,</w:t>
            </w:r>
          </w:p>
        </w:tc>
        <w:tc>
          <w:tcPr>
            <w:tcW w:w="100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1"/>
              </w:rPr>
              <w:t>November 3,</w:t>
            </w:r>
          </w:p>
        </w:tc>
        <w:tc>
          <w:tcPr>
            <w:tcW w:w="8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August 4,</w:t>
            </w:r>
          </w:p>
        </w:tc>
        <w:tc>
          <w:tcPr>
            <w:tcW w:w="380" w:type="dxa"/>
            <w:vAlign w:val="bottom"/>
          </w:tcPr>
          <w:p>
            <w:pPr>
              <w:spacing w:after="0" w:line="110" w:lineRule="exact"/>
              <w:rPr>
                <w:sz w:val="20"/>
                <w:szCs w:val="20"/>
                <w:color w:val="auto"/>
              </w:rPr>
            </w:pPr>
            <w:r>
              <w:rPr>
                <w:rFonts w:ascii="Arial" w:cs="Arial" w:eastAsia="Arial" w:hAnsi="Arial"/>
                <w:sz w:val="12"/>
                <w:szCs w:val="12"/>
                <w:b w:val="1"/>
                <w:bCs w:val="1"/>
                <w:color w:val="auto"/>
                <w:w w:val="97"/>
              </w:rPr>
              <w:t>May 5,</w:t>
            </w:r>
          </w:p>
        </w:tc>
        <w:tc>
          <w:tcPr>
            <w:tcW w:w="220" w:type="dxa"/>
            <w:vAlign w:val="bottom"/>
          </w:tcPr>
          <w:p>
            <w:pPr>
              <w:spacing w:after="0"/>
              <w:rPr>
                <w:sz w:val="9"/>
                <w:szCs w:val="9"/>
                <w:color w:val="auto"/>
              </w:rPr>
            </w:pPr>
          </w:p>
        </w:tc>
      </w:tr>
      <w:tr>
        <w:trPr>
          <w:trHeight w:val="153"/>
        </w:trPr>
        <w:tc>
          <w:tcPr>
            <w:tcW w:w="19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2019</w:t>
            </w:r>
          </w:p>
        </w:tc>
        <w:tc>
          <w:tcPr>
            <w:tcW w:w="3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42"/>
        </w:trPr>
        <w:tc>
          <w:tcPr>
            <w:tcW w:w="1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Comparable sales</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16.5%</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27.0%</w:t>
            </w:r>
          </w:p>
        </w:tc>
        <w:tc>
          <w:tcPr>
            <w:tcW w:w="6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0.3%</w:t>
            </w: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6.2%</w:t>
            </w: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(3.3)%</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w:t>
            </w:r>
          </w:p>
        </w:tc>
        <w:tc>
          <w:tcPr>
            <w:tcW w:w="9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(2.8)%</w:t>
            </w:r>
          </w:p>
        </w:tc>
        <w:tc>
          <w:tcPr>
            <w:tcW w:w="10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(6.0)%</w:t>
            </w:r>
          </w:p>
        </w:tc>
        <w:tc>
          <w:tcPr>
            <w:tcW w:w="82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(0.6)%</w:t>
            </w:r>
          </w:p>
        </w:tc>
        <w:tc>
          <w:tcPr>
            <w:tcW w:w="60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(0.9)%</w:t>
            </w: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Additional sales associated</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1920" w:type="dxa"/>
            <w:vAlign w:val="bottom"/>
          </w:tcPr>
          <w:p>
            <w:pPr>
              <w:ind w:left="140"/>
              <w:spacing w:after="0" w:line="149" w:lineRule="exact"/>
              <w:rPr>
                <w:sz w:val="20"/>
                <w:szCs w:val="20"/>
                <w:color w:val="auto"/>
              </w:rPr>
            </w:pPr>
            <w:r>
              <w:rPr>
                <w:rFonts w:ascii="Arial" w:cs="Arial" w:eastAsia="Arial" w:hAnsi="Arial"/>
                <w:sz w:val="14"/>
                <w:szCs w:val="14"/>
                <w:color w:val="auto"/>
              </w:rPr>
              <w:t>with Houston Astros World</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Series appearances</w:t>
            </w:r>
          </w:p>
        </w:tc>
        <w:tc>
          <w:tcPr>
            <w:tcW w:w="9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Additional sales of a product</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8"/>
        </w:trPr>
        <w:tc>
          <w:tcPr>
            <w:tcW w:w="19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driven by free shipping</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1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promotion</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Sales from the exited product</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categories</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0.7%</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0.3%</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0.4%</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r>
      <w:tr>
        <w:trPr>
          <w:trHeight w:val="27"/>
        </w:trPr>
        <w:tc>
          <w:tcPr>
            <w:tcW w:w="19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comparable sales</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(0.6)%</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(0.9)%</w:t>
            </w:r>
          </w:p>
        </w:tc>
      </w:tr>
      <w:tr>
        <w:trPr>
          <w:trHeight w:val="20"/>
        </w:trPr>
        <w:tc>
          <w:tcPr>
            <w:tcW w:w="1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tables provide reconciliation of net income (loss) to Adjusted EBITDA, Adjusted Net Income (Loss) and Pro Forma Adjusted Net Income (Loss) for the periods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11"/>
          </w:tcPr>
          <w:p>
            <w:pPr>
              <w:jc w:val="right"/>
              <w:ind w:right="600"/>
              <w:spacing w:after="0"/>
              <w:rPr>
                <w:sz w:val="20"/>
                <w:szCs w:val="20"/>
                <w:color w:val="auto"/>
              </w:rPr>
            </w:pPr>
            <w:r>
              <w:rPr>
                <w:rFonts w:ascii="Arial" w:cs="Arial" w:eastAsia="Arial" w:hAnsi="Arial"/>
                <w:sz w:val="13"/>
                <w:szCs w:val="13"/>
                <w:b w:val="1"/>
                <w:bCs w:val="1"/>
                <w:color w:val="auto"/>
              </w:rPr>
              <w:t>Thirteen Weeks Ended</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680" w:type="dxa"/>
            <w:vAlign w:val="bottom"/>
          </w:tcPr>
          <w:p>
            <w:pPr>
              <w:spacing w:after="0"/>
              <w:rPr>
                <w:sz w:val="9"/>
                <w:szCs w:val="9"/>
                <w:color w:val="auto"/>
              </w:rPr>
            </w:pPr>
          </w:p>
        </w:tc>
        <w:tc>
          <w:tcPr>
            <w:tcW w:w="8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October 31,</w:t>
            </w:r>
          </w:p>
        </w:tc>
        <w:tc>
          <w:tcPr>
            <w:tcW w:w="68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w w:val="84"/>
              </w:rPr>
              <w:t>August 1,</w:t>
            </w:r>
          </w:p>
        </w:tc>
        <w:tc>
          <w:tcPr>
            <w:tcW w:w="720" w:type="dxa"/>
            <w:vAlign w:val="bottom"/>
            <w:gridSpan w:val="4"/>
          </w:tcPr>
          <w:p>
            <w:pPr>
              <w:jc w:val="right"/>
              <w:ind w:right="260"/>
              <w:spacing w:after="0" w:line="110" w:lineRule="exact"/>
              <w:rPr>
                <w:sz w:val="20"/>
                <w:szCs w:val="20"/>
                <w:color w:val="auto"/>
              </w:rPr>
            </w:pPr>
            <w:r>
              <w:rPr>
                <w:rFonts w:ascii="Arial" w:cs="Arial" w:eastAsia="Arial" w:hAnsi="Arial"/>
                <w:sz w:val="12"/>
                <w:szCs w:val="12"/>
                <w:b w:val="1"/>
                <w:bCs w:val="1"/>
                <w:color w:val="auto"/>
              </w:rPr>
              <w:t>May 2,</w:t>
            </w:r>
          </w:p>
        </w:tc>
        <w:tc>
          <w:tcPr>
            <w:tcW w:w="82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February 1,</w:t>
            </w:r>
          </w:p>
        </w:tc>
        <w:tc>
          <w:tcPr>
            <w:tcW w:w="76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2,</w:t>
            </w:r>
          </w:p>
        </w:tc>
        <w:tc>
          <w:tcPr>
            <w:tcW w:w="60" w:type="dxa"/>
            <w:vAlign w:val="bottom"/>
          </w:tcPr>
          <w:p>
            <w:pPr>
              <w:spacing w:after="0"/>
              <w:rPr>
                <w:sz w:val="9"/>
                <w:szCs w:val="9"/>
                <w:color w:val="auto"/>
              </w:rPr>
            </w:pPr>
          </w:p>
        </w:tc>
        <w:tc>
          <w:tcPr>
            <w:tcW w:w="720" w:type="dxa"/>
            <w:vAlign w:val="bottom"/>
            <w:gridSpan w:val="5"/>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August 3,</w:t>
            </w:r>
          </w:p>
        </w:tc>
        <w:tc>
          <w:tcPr>
            <w:tcW w:w="700" w:type="dxa"/>
            <w:vAlign w:val="bottom"/>
            <w:gridSpan w:val="3"/>
          </w:tcPr>
          <w:p>
            <w:pPr>
              <w:jc w:val="right"/>
              <w:ind w:right="260"/>
              <w:spacing w:after="0" w:line="110" w:lineRule="exact"/>
              <w:rPr>
                <w:sz w:val="20"/>
                <w:szCs w:val="20"/>
                <w:color w:val="auto"/>
              </w:rPr>
            </w:pPr>
            <w:r>
              <w:rPr>
                <w:rFonts w:ascii="Arial" w:cs="Arial" w:eastAsia="Arial" w:hAnsi="Arial"/>
                <w:sz w:val="12"/>
                <w:szCs w:val="12"/>
                <w:b w:val="1"/>
                <w:bCs w:val="1"/>
                <w:color w:val="auto"/>
              </w:rPr>
              <w:t>May 4,</w:t>
            </w:r>
          </w:p>
        </w:tc>
        <w:tc>
          <w:tcPr>
            <w:tcW w:w="84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February 2,</w:t>
            </w:r>
          </w:p>
        </w:tc>
        <w:tc>
          <w:tcPr>
            <w:tcW w:w="8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660" w:type="dxa"/>
            <w:vAlign w:val="bottom"/>
            <w:gridSpan w:val="3"/>
          </w:tcPr>
          <w:p>
            <w:pPr>
              <w:jc w:val="right"/>
              <w:ind w:right="120"/>
              <w:spacing w:after="0" w:line="110" w:lineRule="exact"/>
              <w:rPr>
                <w:sz w:val="20"/>
                <w:szCs w:val="20"/>
                <w:color w:val="auto"/>
              </w:rPr>
            </w:pPr>
            <w:r>
              <w:rPr>
                <w:rFonts w:ascii="Arial" w:cs="Arial" w:eastAsia="Arial" w:hAnsi="Arial"/>
                <w:sz w:val="12"/>
                <w:szCs w:val="12"/>
                <w:b w:val="1"/>
                <w:bCs w:val="1"/>
                <w:color w:val="auto"/>
                <w:w w:val="95"/>
              </w:rPr>
              <w:t>August 4,</w:t>
            </w:r>
          </w:p>
        </w:tc>
        <w:tc>
          <w:tcPr>
            <w:tcW w:w="40" w:type="dxa"/>
            <w:vAlign w:val="bottom"/>
          </w:tcPr>
          <w:p>
            <w:pPr>
              <w:spacing w:after="0"/>
              <w:rPr>
                <w:sz w:val="9"/>
                <w:szCs w:val="9"/>
                <w:color w:val="auto"/>
              </w:rPr>
            </w:pPr>
          </w:p>
        </w:tc>
        <w:tc>
          <w:tcPr>
            <w:tcW w:w="48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3"/>
                <w:szCs w:val="13"/>
                <w:color w:val="auto"/>
              </w:rPr>
            </w:pPr>
          </w:p>
        </w:tc>
        <w:tc>
          <w:tcPr>
            <w:tcW w:w="54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4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26"/>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66"/>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jc w:val="right"/>
              <w:ind w:right="145"/>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560" w:type="dxa"/>
            <w:vAlign w:val="bottom"/>
            <w:gridSpan w:val="2"/>
          </w:tcPr>
          <w:p>
            <w:pPr>
              <w:jc w:val="right"/>
              <w:ind w:right="8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520" w:type="dxa"/>
            <w:vAlign w:val="bottom"/>
            <w:gridSpan w:val="3"/>
          </w:tcPr>
          <w:p>
            <w:pPr>
              <w:ind w:left="14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42"/>
        </w:trPr>
        <w:tc>
          <w:tcPr>
            <w:tcW w:w="2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59,586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$167,676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$(10,020)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17,738</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28,552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48,347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$ 25,406</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(21,458)</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1,773</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$ 42,103</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(976)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22,399</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23,566</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24,522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24,136</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7"/>
              </w:rPr>
              <w:t>25,549</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27,037</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27,608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27,076</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27,173</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26,795</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(1,193)</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1,005</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1,322</w:t>
            </w:r>
          </w:p>
        </w:tc>
        <w:tc>
          <w:tcPr>
            <w:tcW w:w="6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Depreciation, amortization and impairment</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25,567</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26,704</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27,447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28,561</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7"/>
              </w:rPr>
              <w:t>29,313</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29,784</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34,576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32,667</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34,112</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32,835</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Consulting fees</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2,952</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196</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Adviser monitoring fee</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12,953</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920</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939</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877</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883</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877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892</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861</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892</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23,359</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2,445</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2,022</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1,243</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2,180</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876</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Gain on early extinguishment of debt, net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(1,127)</w:t>
            </w: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(41,138)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executive transition costs</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3,909</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1,237</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3,239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w:t>
            </w: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Costs related to the COVID-19 pandemic</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10,987</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6,645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Inventory write-down adjustments</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associated with strategic merchandising</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initiative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18,225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639</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2,112</w:t>
            </w:r>
          </w:p>
        </w:tc>
        <w:tc>
          <w:tcPr>
            <w:tcW w:w="14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613</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2,866</w:t>
            </w:r>
          </w:p>
        </w:tc>
      </w:tr>
      <w:tr>
        <w:trPr>
          <w:trHeight w:val="27"/>
        </w:trPr>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145,738</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229,645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$ 53,257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77,218</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88,759</w:t>
            </w:r>
          </w:p>
        </w:tc>
        <w:tc>
          <w:tcPr>
            <w:tcW w:w="10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107,249</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$ 49,588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62,172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64,567</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109,087</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64,433</w:t>
            </w:r>
          </w:p>
        </w:tc>
      </w:tr>
      <w:tr>
        <w:trPr>
          <w:trHeight w:val="20"/>
        </w:trPr>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3"/>
                <w:szCs w:val="13"/>
                <w:b w:val="1"/>
                <w:bCs w:val="1"/>
                <w:color w:val="auto"/>
                <w:w w:val="87"/>
              </w:rPr>
              <w:t>Thirteen Weeks Ended</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3"/>
          </w:tcPr>
          <w:p>
            <w:pPr>
              <w:jc w:val="right"/>
              <w:ind w:right="140"/>
              <w:spacing w:after="0" w:line="110" w:lineRule="exact"/>
              <w:rPr>
                <w:sz w:val="20"/>
                <w:szCs w:val="20"/>
                <w:color w:val="auto"/>
              </w:rPr>
            </w:pPr>
            <w:r>
              <w:rPr>
                <w:rFonts w:ascii="Arial" w:cs="Arial" w:eastAsia="Arial" w:hAnsi="Arial"/>
                <w:sz w:val="12"/>
                <w:szCs w:val="12"/>
                <w:b w:val="1"/>
                <w:bCs w:val="1"/>
                <w:color w:val="auto"/>
                <w:w w:val="90"/>
              </w:rPr>
              <w:t>October 31,</w:t>
            </w:r>
          </w:p>
        </w:tc>
        <w:tc>
          <w:tcPr>
            <w:tcW w:w="680" w:type="dxa"/>
            <w:vAlign w:val="bottom"/>
            <w:gridSpan w:val="3"/>
          </w:tcPr>
          <w:p>
            <w:pPr>
              <w:jc w:val="right"/>
              <w:ind w:right="120"/>
              <w:spacing w:after="0" w:line="110" w:lineRule="exact"/>
              <w:rPr>
                <w:sz w:val="20"/>
                <w:szCs w:val="20"/>
                <w:color w:val="auto"/>
              </w:rPr>
            </w:pPr>
            <w:r>
              <w:rPr>
                <w:rFonts w:ascii="Arial" w:cs="Arial" w:eastAsia="Arial" w:hAnsi="Arial"/>
                <w:sz w:val="12"/>
                <w:szCs w:val="12"/>
                <w:b w:val="1"/>
                <w:bCs w:val="1"/>
                <w:color w:val="auto"/>
                <w:w w:val="98"/>
              </w:rPr>
              <w:t>August 1,</w:t>
            </w:r>
          </w:p>
        </w:tc>
        <w:tc>
          <w:tcPr>
            <w:tcW w:w="120" w:type="dxa"/>
            <w:vAlign w:val="bottom"/>
          </w:tcPr>
          <w:p>
            <w:pPr>
              <w:spacing w:after="0"/>
              <w:rPr>
                <w:sz w:val="9"/>
                <w:szCs w:val="9"/>
                <w:color w:val="auto"/>
              </w:rPr>
            </w:pPr>
          </w:p>
        </w:tc>
        <w:tc>
          <w:tcPr>
            <w:tcW w:w="600" w:type="dxa"/>
            <w:vAlign w:val="bottom"/>
            <w:gridSpan w:val="3"/>
          </w:tcPr>
          <w:p>
            <w:pPr>
              <w:ind w:left="100"/>
              <w:spacing w:after="0" w:line="110" w:lineRule="exact"/>
              <w:rPr>
                <w:sz w:val="20"/>
                <w:szCs w:val="20"/>
                <w:color w:val="auto"/>
              </w:rPr>
            </w:pPr>
            <w:r>
              <w:rPr>
                <w:rFonts w:ascii="Arial" w:cs="Arial" w:eastAsia="Arial" w:hAnsi="Arial"/>
                <w:sz w:val="12"/>
                <w:szCs w:val="12"/>
                <w:b w:val="1"/>
                <w:bCs w:val="1"/>
                <w:color w:val="auto"/>
              </w:rPr>
              <w:t>May 2,</w:t>
            </w:r>
          </w:p>
        </w:tc>
        <w:tc>
          <w:tcPr>
            <w:tcW w:w="160" w:type="dxa"/>
            <w:vAlign w:val="bottom"/>
          </w:tcPr>
          <w:p>
            <w:pPr>
              <w:spacing w:after="0"/>
              <w:rPr>
                <w:sz w:val="9"/>
                <w:szCs w:val="9"/>
                <w:color w:val="auto"/>
              </w:rPr>
            </w:pPr>
          </w:p>
        </w:tc>
        <w:tc>
          <w:tcPr>
            <w:tcW w:w="780" w:type="dxa"/>
            <w:vAlign w:val="bottom"/>
            <w:gridSpan w:val="3"/>
          </w:tcPr>
          <w:p>
            <w:pPr>
              <w:jc w:val="center"/>
              <w:ind w:right="53"/>
              <w:spacing w:after="0" w:line="110" w:lineRule="exact"/>
              <w:rPr>
                <w:sz w:val="20"/>
                <w:szCs w:val="20"/>
                <w:color w:val="auto"/>
              </w:rPr>
            </w:pPr>
            <w:r>
              <w:rPr>
                <w:rFonts w:ascii="Arial" w:cs="Arial" w:eastAsia="Arial" w:hAnsi="Arial"/>
                <w:sz w:val="12"/>
                <w:szCs w:val="12"/>
                <w:b w:val="1"/>
                <w:bCs w:val="1"/>
                <w:color w:val="auto"/>
                <w:w w:val="95"/>
              </w:rPr>
              <w:t>February 1,</w:t>
            </w:r>
          </w:p>
        </w:tc>
        <w:tc>
          <w:tcPr>
            <w:tcW w:w="78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November 2,</w:t>
            </w:r>
          </w:p>
        </w:tc>
        <w:tc>
          <w:tcPr>
            <w:tcW w:w="60" w:type="dxa"/>
            <w:vAlign w:val="bottom"/>
          </w:tcPr>
          <w:p>
            <w:pPr>
              <w:spacing w:after="0"/>
              <w:rPr>
                <w:sz w:val="9"/>
                <w:szCs w:val="9"/>
                <w:color w:val="auto"/>
              </w:rPr>
            </w:pPr>
          </w:p>
        </w:tc>
        <w:tc>
          <w:tcPr>
            <w:tcW w:w="580" w:type="dxa"/>
            <w:vAlign w:val="bottom"/>
            <w:gridSpan w:val="3"/>
          </w:tcPr>
          <w:p>
            <w:pPr>
              <w:jc w:val="right"/>
              <w:ind w:right="60"/>
              <w:spacing w:after="0" w:line="110" w:lineRule="exact"/>
              <w:rPr>
                <w:sz w:val="20"/>
                <w:szCs w:val="20"/>
                <w:color w:val="auto"/>
              </w:rPr>
            </w:pPr>
            <w:r>
              <w:rPr>
                <w:rFonts w:ascii="Arial" w:cs="Arial" w:eastAsia="Arial" w:hAnsi="Arial"/>
                <w:sz w:val="12"/>
                <w:szCs w:val="12"/>
                <w:b w:val="1"/>
                <w:bCs w:val="1"/>
                <w:color w:val="auto"/>
                <w:w w:val="91"/>
              </w:rPr>
              <w:t>August 3,</w:t>
            </w:r>
          </w:p>
        </w:tc>
        <w:tc>
          <w:tcPr>
            <w:tcW w:w="120" w:type="dxa"/>
            <w:vAlign w:val="bottom"/>
          </w:tcPr>
          <w:p>
            <w:pPr>
              <w:spacing w:after="0"/>
              <w:rPr>
                <w:sz w:val="9"/>
                <w:szCs w:val="9"/>
                <w:color w:val="auto"/>
              </w:rPr>
            </w:pPr>
          </w:p>
        </w:tc>
        <w:tc>
          <w:tcPr>
            <w:tcW w:w="580" w:type="dxa"/>
            <w:vAlign w:val="bottom"/>
            <w:gridSpan w:val="2"/>
          </w:tcPr>
          <w:p>
            <w:pPr>
              <w:jc w:val="right"/>
              <w:ind w:right="100"/>
              <w:spacing w:after="0" w:line="110" w:lineRule="exact"/>
              <w:rPr>
                <w:sz w:val="20"/>
                <w:szCs w:val="20"/>
                <w:color w:val="auto"/>
              </w:rPr>
            </w:pPr>
            <w:r>
              <w:rPr>
                <w:rFonts w:ascii="Arial" w:cs="Arial" w:eastAsia="Arial" w:hAnsi="Arial"/>
                <w:sz w:val="12"/>
                <w:szCs w:val="12"/>
                <w:b w:val="1"/>
                <w:bCs w:val="1"/>
                <w:color w:val="auto"/>
              </w:rPr>
              <w:t>May 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February 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4"/>
              </w:rPr>
              <w:t>November 3,</w:t>
            </w:r>
          </w:p>
        </w:tc>
        <w:tc>
          <w:tcPr>
            <w:tcW w:w="140" w:type="dxa"/>
            <w:vAlign w:val="bottom"/>
          </w:tcPr>
          <w:p>
            <w:pPr>
              <w:spacing w:after="0"/>
              <w:rPr>
                <w:sz w:val="9"/>
                <w:szCs w:val="9"/>
                <w:color w:val="auto"/>
              </w:rPr>
            </w:pPr>
          </w:p>
        </w:tc>
        <w:tc>
          <w:tcPr>
            <w:tcW w:w="52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August 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line="110" w:lineRule="exact"/>
              <w:rPr>
                <w:sz w:val="20"/>
                <w:szCs w:val="20"/>
                <w:color w:val="auto"/>
              </w:rPr>
            </w:pPr>
            <w:r>
              <w:rPr>
                <w:rFonts w:ascii="Arial" w:cs="Arial" w:eastAsia="Arial" w:hAnsi="Arial"/>
                <w:sz w:val="12"/>
                <w:szCs w:val="12"/>
                <w:b w:val="1"/>
                <w:bCs w:val="1"/>
                <w:color w:val="auto"/>
                <w:w w:val="97"/>
              </w:rPr>
              <w:t>May 5,</w:t>
            </w:r>
          </w:p>
        </w:tc>
        <w:tc>
          <w:tcPr>
            <w:tcW w:w="100" w:type="dxa"/>
            <w:vAlign w:val="bottom"/>
          </w:tcPr>
          <w:p>
            <w:pPr>
              <w:spacing w:after="0"/>
              <w:rPr>
                <w:sz w:val="9"/>
                <w:szCs w:val="9"/>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3"/>
                <w:szCs w:val="13"/>
                <w:color w:val="auto"/>
              </w:rPr>
            </w:pPr>
          </w:p>
        </w:tc>
        <w:tc>
          <w:tcPr>
            <w:tcW w:w="540" w:type="dxa"/>
            <w:vAlign w:val="bottom"/>
            <w:gridSpan w:val="2"/>
          </w:tcPr>
          <w:p>
            <w:pPr>
              <w:jc w:val="right"/>
              <w:ind w:right="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ind w:left="87"/>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520" w:type="dxa"/>
            <w:vAlign w:val="bottom"/>
            <w:gridSpan w:val="2"/>
          </w:tcPr>
          <w:p>
            <w:pPr>
              <w:jc w:val="center"/>
              <w:ind w:left="167"/>
              <w:spacing w:after="0"/>
              <w:rPr>
                <w:sz w:val="20"/>
                <w:szCs w:val="20"/>
                <w:color w:val="auto"/>
              </w:rPr>
            </w:pPr>
            <w:r>
              <w:rPr>
                <w:rFonts w:ascii="Arial" w:cs="Arial" w:eastAsia="Arial" w:hAnsi="Arial"/>
                <w:sz w:val="13"/>
                <w:szCs w:val="13"/>
                <w:b w:val="1"/>
                <w:bCs w:val="1"/>
                <w:color w:val="auto"/>
                <w:w w:val="82"/>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left="25"/>
              <w:spacing w:after="0"/>
              <w:rPr>
                <w:sz w:val="20"/>
                <w:szCs w:val="20"/>
                <w:color w:val="auto"/>
              </w:rPr>
            </w:pPr>
            <w:r>
              <w:rPr>
                <w:rFonts w:ascii="Arial" w:cs="Arial" w:eastAsia="Arial" w:hAnsi="Arial"/>
                <w:sz w:val="13"/>
                <w:szCs w:val="13"/>
                <w:b w:val="1"/>
                <w:bCs w:val="1"/>
                <w:color w:val="auto"/>
                <w:w w:val="82"/>
              </w:rPr>
              <w:t>2018</w:t>
            </w:r>
          </w:p>
        </w:tc>
        <w:tc>
          <w:tcPr>
            <w:tcW w:w="180" w:type="dxa"/>
            <w:vAlign w:val="bottom"/>
          </w:tcPr>
          <w:p>
            <w:pPr>
              <w:spacing w:after="0"/>
              <w:rPr>
                <w:sz w:val="13"/>
                <w:szCs w:val="13"/>
                <w:color w:val="auto"/>
              </w:rPr>
            </w:pPr>
          </w:p>
        </w:tc>
        <w:tc>
          <w:tcPr>
            <w:tcW w:w="560" w:type="dxa"/>
            <w:vAlign w:val="bottom"/>
            <w:gridSpan w:val="2"/>
          </w:tcPr>
          <w:p>
            <w:pPr>
              <w:jc w:val="center"/>
              <w:ind w:left="168"/>
              <w:spacing w:after="0"/>
              <w:rPr>
                <w:sz w:val="20"/>
                <w:szCs w:val="20"/>
                <w:color w:val="auto"/>
              </w:rPr>
            </w:pPr>
            <w:r>
              <w:rPr>
                <w:rFonts w:ascii="Arial" w:cs="Arial" w:eastAsia="Arial" w:hAnsi="Arial"/>
                <w:sz w:val="13"/>
                <w:szCs w:val="13"/>
                <w:b w:val="1"/>
                <w:bCs w:val="1"/>
                <w:color w:val="auto"/>
                <w:w w:val="82"/>
              </w:rPr>
              <w:t>2018</w:t>
            </w:r>
          </w:p>
        </w:tc>
        <w:tc>
          <w:tcPr>
            <w:tcW w:w="10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96"/>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6"/>
              </w:rPr>
              <w:t>$ 59,586</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$167,676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1"/>
              </w:rPr>
              <w:t>$(10,020)</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  17,738</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28,552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$48,347</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$ 25,406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4"/>
              </w:rPr>
              <w:t>$ (21,458)</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$42,103</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$(976)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Consulting fees</w:t>
            </w:r>
          </w:p>
        </w:tc>
        <w:tc>
          <w:tcPr>
            <w:tcW w:w="100" w:type="dxa"/>
            <w:vAlign w:val="bottom"/>
          </w:tcPr>
          <w:p>
            <w:pPr>
              <w:spacing w:after="0"/>
              <w:rPr>
                <w:sz w:val="17"/>
                <w:szCs w:val="17"/>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6"/>
                <w:szCs w:val="16"/>
                <w:color w:val="auto"/>
              </w:rPr>
              <w:t>102</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84</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7"/>
                <w:szCs w:val="17"/>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6"/>
                <w:szCs w:val="16"/>
                <w:color w:val="auto"/>
              </w:rPr>
              <w:t>328</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2,952</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506</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r>
      <w:tr>
        <w:trPr>
          <w:trHeight w:val="20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Adviser monitoring fee</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12,953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8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920</w:t>
            </w: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53"/>
              <w:spacing w:after="0"/>
              <w:rPr>
                <w:sz w:val="20"/>
                <w:szCs w:val="20"/>
                <w:color w:val="auto"/>
              </w:rPr>
            </w:pPr>
            <w:r>
              <w:rPr>
                <w:rFonts w:ascii="Arial" w:cs="Arial" w:eastAsia="Arial" w:hAnsi="Arial"/>
                <w:sz w:val="16"/>
                <w:szCs w:val="16"/>
                <w:color w:val="auto"/>
              </w:rPr>
              <w:t>939</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877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Stock based compensation</w:t>
            </w:r>
          </w:p>
        </w:tc>
        <w:tc>
          <w:tcPr>
            <w:tcW w:w="100" w:type="dxa"/>
            <w:vAlign w:val="bottom"/>
          </w:tcPr>
          <w:p>
            <w:pPr>
              <w:spacing w:after="0"/>
              <w:rPr>
                <w:sz w:val="17"/>
                <w:szCs w:val="17"/>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6"/>
                <w:szCs w:val="16"/>
                <w:color w:val="auto"/>
              </w:rPr>
              <w:t>23,359</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2,109</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2,009</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1,405</w:t>
            </w:r>
          </w:p>
        </w:tc>
        <w:tc>
          <w:tcPr>
            <w:tcW w:w="80" w:type="dxa"/>
            <w:vAlign w:val="bottom"/>
          </w:tcPr>
          <w:p>
            <w:pPr>
              <w:spacing w:after="0"/>
              <w:rPr>
                <w:sz w:val="17"/>
                <w:szCs w:val="17"/>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6"/>
                <w:szCs w:val="16"/>
                <w:color w:val="auto"/>
              </w:rPr>
              <w:t>2,445</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1,243</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2,180</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7"/>
                <w:szCs w:val="17"/>
                <w:color w:val="auto"/>
              </w:rPr>
            </w:pPr>
          </w:p>
        </w:tc>
      </w:tr>
      <w:tr>
        <w:trPr>
          <w:trHeight w:val="20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Gain on early extinguishment of debt, net</w:t>
            </w:r>
          </w:p>
        </w:tc>
        <w:tc>
          <w:tcPr>
            <w:tcW w:w="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(7,831)</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840" w:type="dxa"/>
            <w:vAlign w:val="bottom"/>
            <w:gridSpan w:val="4"/>
            <w:shd w:val="clear" w:color="auto" w:fill="CCEEFF"/>
          </w:tcPr>
          <w:p>
            <w:pPr>
              <w:jc w:val="right"/>
              <w:ind w:right="13"/>
              <w:spacing w:after="0"/>
              <w:rPr>
                <w:sz w:val="20"/>
                <w:szCs w:val="20"/>
                <w:color w:val="auto"/>
              </w:rPr>
            </w:pPr>
            <w:r>
              <w:rPr>
                <w:rFonts w:ascii="Arial" w:cs="Arial" w:eastAsia="Arial" w:hAnsi="Arial"/>
                <w:sz w:val="16"/>
                <w:szCs w:val="16"/>
                <w:color w:val="auto"/>
              </w:rPr>
              <w:t>(41,138)</w:t>
            </w: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w w:val="91"/>
              </w:rPr>
              <w:t>Severance and executive transition costs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3,909</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192</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1,237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3,239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55</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r>
      <w:tr>
        <w:trPr>
          <w:trHeight w:val="202"/>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w w:val="91"/>
              </w:rPr>
              <w:t>Costs related to the COVID-19 pandemic</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8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6,645</w:t>
            </w: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3"/>
                <w:szCs w:val="13"/>
                <w:b w:val="1"/>
                <w:bCs w:val="1"/>
                <w:color w:val="auto"/>
              </w:rPr>
              <w:t>Thirteen Weeks Ended</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80" w:type="dxa"/>
            <w:vAlign w:val="bottom"/>
          </w:tcPr>
          <w:p>
            <w:pPr>
              <w:spacing w:after="0"/>
              <w:rPr>
                <w:sz w:val="9"/>
                <w:szCs w:val="9"/>
                <w:color w:val="auto"/>
              </w:rPr>
            </w:pPr>
          </w:p>
        </w:tc>
        <w:tc>
          <w:tcPr>
            <w:tcW w:w="82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0"/>
              </w:rPr>
              <w:t>October 31,</w:t>
            </w:r>
          </w:p>
        </w:tc>
        <w:tc>
          <w:tcPr>
            <w:tcW w:w="72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8"/>
              </w:rPr>
              <w:t>August 1,</w:t>
            </w:r>
          </w:p>
        </w:tc>
        <w:tc>
          <w:tcPr>
            <w:tcW w:w="80" w:type="dxa"/>
            <w:vAlign w:val="bottom"/>
          </w:tcPr>
          <w:p>
            <w:pPr>
              <w:spacing w:after="0"/>
              <w:rPr>
                <w:sz w:val="9"/>
                <w:szCs w:val="9"/>
                <w:color w:val="auto"/>
              </w:rPr>
            </w:pPr>
          </w:p>
        </w:tc>
        <w:tc>
          <w:tcPr>
            <w:tcW w:w="500" w:type="dxa"/>
            <w:vAlign w:val="bottom"/>
            <w:gridSpan w:val="2"/>
          </w:tcPr>
          <w:p>
            <w:pPr>
              <w:jc w:val="right"/>
              <w:ind w:right="140"/>
              <w:spacing w:after="0" w:line="110" w:lineRule="exact"/>
              <w:rPr>
                <w:sz w:val="20"/>
                <w:szCs w:val="20"/>
                <w:color w:val="auto"/>
              </w:rPr>
            </w:pPr>
            <w:r>
              <w:rPr>
                <w:rFonts w:ascii="Arial" w:cs="Arial" w:eastAsia="Arial" w:hAnsi="Arial"/>
                <w:sz w:val="12"/>
                <w:szCs w:val="12"/>
                <w:b w:val="1"/>
                <w:bCs w:val="1"/>
                <w:color w:val="auto"/>
                <w:w w:val="92"/>
              </w:rPr>
              <w:t>May 2,</w:t>
            </w:r>
          </w:p>
        </w:tc>
        <w:tc>
          <w:tcPr>
            <w:tcW w:w="60" w:type="dxa"/>
            <w:vAlign w:val="bottom"/>
          </w:tcPr>
          <w:p>
            <w:pPr>
              <w:spacing w:after="0"/>
              <w:rPr>
                <w:sz w:val="9"/>
                <w:szCs w:val="9"/>
                <w:color w:val="auto"/>
              </w:rPr>
            </w:pP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2"/>
                <w:szCs w:val="12"/>
                <w:b w:val="1"/>
                <w:bCs w:val="1"/>
                <w:color w:val="auto"/>
                <w:w w:val="95"/>
              </w:rPr>
              <w:t>February 1,</w:t>
            </w:r>
          </w:p>
        </w:tc>
        <w:tc>
          <w:tcPr>
            <w:tcW w:w="60" w:type="dxa"/>
            <w:vAlign w:val="bottom"/>
          </w:tcPr>
          <w:p>
            <w:pPr>
              <w:spacing w:after="0"/>
              <w:rPr>
                <w:sz w:val="9"/>
                <w:szCs w:val="9"/>
                <w:color w:val="auto"/>
              </w:rPr>
            </w:pPr>
          </w:p>
        </w:tc>
        <w:tc>
          <w:tcPr>
            <w:tcW w:w="88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1"/>
              </w:rPr>
              <w:t>November 2,</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5"/>
              </w:rPr>
              <w:t>August 3,</w:t>
            </w:r>
          </w:p>
        </w:tc>
        <w:tc>
          <w:tcPr>
            <w:tcW w:w="60" w:type="dxa"/>
            <w:vAlign w:val="bottom"/>
          </w:tcPr>
          <w:p>
            <w:pPr>
              <w:spacing w:after="0"/>
              <w:rPr>
                <w:sz w:val="9"/>
                <w:szCs w:val="9"/>
                <w:color w:val="auto"/>
              </w:rPr>
            </w:pPr>
          </w:p>
        </w:tc>
        <w:tc>
          <w:tcPr>
            <w:tcW w:w="70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rPr>
              <w:t>May 4,</w:t>
            </w:r>
          </w:p>
        </w:tc>
        <w:tc>
          <w:tcPr>
            <w:tcW w:w="84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February 2,</w:t>
            </w:r>
          </w:p>
        </w:tc>
        <w:tc>
          <w:tcPr>
            <w:tcW w:w="8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60" w:type="dxa"/>
            <w:vAlign w:val="bottom"/>
          </w:tcPr>
          <w:p>
            <w:pPr>
              <w:spacing w:after="0"/>
              <w:rPr>
                <w:sz w:val="9"/>
                <w:szCs w:val="9"/>
                <w:color w:val="auto"/>
              </w:rPr>
            </w:pPr>
          </w:p>
        </w:tc>
        <w:tc>
          <w:tcPr>
            <w:tcW w:w="78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8"/>
              </w:rPr>
              <w:t>August 4,</w:t>
            </w:r>
          </w:p>
        </w:tc>
        <w:tc>
          <w:tcPr>
            <w:tcW w:w="5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20"/>
                <w:szCs w:val="20"/>
                <w:color w:val="auto"/>
              </w:rPr>
            </w:pPr>
            <w:r>
              <w:rPr>
                <w:rFonts w:ascii="Arial" w:cs="Arial" w:eastAsia="Arial" w:hAnsi="Arial"/>
                <w:sz w:val="13"/>
                <w:szCs w:val="13"/>
                <w:color w:val="auto"/>
              </w:rPr>
              <w:t>(In thousands)</w:t>
            </w:r>
          </w:p>
        </w:tc>
        <w:tc>
          <w:tcPr>
            <w:tcW w:w="620" w:type="dxa"/>
            <w:vAlign w:val="bottom"/>
          </w:tcPr>
          <w:p>
            <w:pPr>
              <w:jc w:val="right"/>
              <w:ind w:right="10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600" w:type="dxa"/>
            <w:vAlign w:val="bottom"/>
          </w:tcPr>
          <w:p>
            <w:pPr>
              <w:jc w:val="right"/>
              <w:ind w:right="104"/>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700" w:type="dxa"/>
            <w:vAlign w:val="bottom"/>
            <w:gridSpan w:val="2"/>
          </w:tcPr>
          <w:p>
            <w:pPr>
              <w:jc w:val="right"/>
              <w:ind w:right="10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74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580" w:type="dxa"/>
            <w:vAlign w:val="bottom"/>
          </w:tcPr>
          <w:p>
            <w:pPr>
              <w:jc w:val="right"/>
              <w:ind w:right="84"/>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5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22"/>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4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c>
          <w:tcPr>
            <w:tcW w:w="640" w:type="dxa"/>
            <w:vAlign w:val="bottom"/>
            <w:gridSpan w:val="2"/>
          </w:tcPr>
          <w:p>
            <w:pPr>
              <w:jc w:val="right"/>
              <w:ind w:right="91"/>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00" w:type="dxa"/>
            <w:vAlign w:val="bottom"/>
          </w:tcPr>
          <w:p>
            <w:pPr>
              <w:jc w:val="right"/>
              <w:ind w:right="4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Inventory write-down adjustments</w:t>
            </w: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associated with strategic</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merchandising initiative</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18,225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Other</w:t>
            </w:r>
          </w:p>
        </w:tc>
        <w:tc>
          <w:tcPr>
            <w:tcW w:w="620" w:type="dxa"/>
            <w:vAlign w:val="bottom"/>
          </w:tcPr>
          <w:p>
            <w:pPr>
              <w:jc w:val="right"/>
              <w:spacing w:after="0"/>
              <w:rPr>
                <w:sz w:val="20"/>
                <w:szCs w:val="20"/>
                <w:color w:val="auto"/>
              </w:rPr>
            </w:pPr>
            <w:r>
              <w:rPr>
                <w:rFonts w:ascii="Arial" w:cs="Arial" w:eastAsia="Arial" w:hAnsi="Arial"/>
                <w:sz w:val="16"/>
                <w:szCs w:val="16"/>
                <w:color w:val="auto"/>
              </w:rPr>
              <w:t>2,965</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2,656</w:t>
            </w:r>
          </w:p>
        </w:tc>
        <w:tc>
          <w:tcPr>
            <w:tcW w:w="14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1,704</w:t>
            </w:r>
          </w:p>
        </w:tc>
        <w:tc>
          <w:tcPr>
            <w:tcW w:w="58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7"/>
                <w:szCs w:val="17"/>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6"/>
                <w:szCs w:val="16"/>
                <w:color w:val="auto"/>
              </w:rPr>
              <w:t>2,112</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(1,910)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775</w:t>
            </w:r>
          </w:p>
        </w:tc>
        <w:tc>
          <w:tcPr>
            <w:tcW w:w="500" w:type="dxa"/>
            <w:vAlign w:val="bottom"/>
          </w:tcPr>
          <w:p>
            <w:pPr>
              <w:jc w:val="right"/>
              <w:spacing w:after="0"/>
              <w:rPr>
                <w:sz w:val="20"/>
                <w:szCs w:val="20"/>
                <w:color w:val="auto"/>
              </w:rPr>
            </w:pPr>
            <w:r>
              <w:rPr>
                <w:rFonts w:ascii="Arial" w:cs="Arial" w:eastAsia="Arial" w:hAnsi="Arial"/>
                <w:sz w:val="16"/>
                <w:szCs w:val="16"/>
                <w:color w:val="auto"/>
              </w:rPr>
              <w:t>2,866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Tax effects of these adjustments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6"/>
                <w:szCs w:val="16"/>
                <w:color w:val="auto"/>
              </w:rPr>
              <w:t>Adjusted Net Income (Loss)</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8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98,894</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178,351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23,607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34,062</w:t>
            </w:r>
          </w:p>
        </w:tc>
        <w:tc>
          <w:tcPr>
            <w:tcW w:w="580" w:type="dxa"/>
            <w:vAlign w:val="bottom"/>
          </w:tcPr>
          <w:p>
            <w:pPr>
              <w:jc w:val="right"/>
              <w:spacing w:after="0"/>
              <w:rPr>
                <w:sz w:val="20"/>
                <w:szCs w:val="20"/>
                <w:color w:val="auto"/>
              </w:rPr>
            </w:pPr>
            <w:r>
              <w:rPr>
                <w:rFonts w:ascii="Arial" w:cs="Arial" w:eastAsia="Arial" w:hAnsi="Arial"/>
                <w:sz w:val="16"/>
                <w:szCs w:val="16"/>
                <w:color w:val="auto"/>
              </w:rPr>
              <w:t>51,503</w:t>
            </w:r>
          </w:p>
        </w:tc>
        <w:tc>
          <w:tcPr>
            <w:tcW w:w="1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(7,703)</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(724)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4,845</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46,472</w:t>
            </w:r>
          </w:p>
        </w:tc>
        <w:tc>
          <w:tcPr>
            <w:tcW w:w="500" w:type="dxa"/>
            <w:vAlign w:val="bottom"/>
          </w:tcPr>
          <w:p>
            <w:pPr>
              <w:jc w:val="right"/>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Estimated tax effect of change to</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C-Corporation status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(43,947)</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(316)</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(6,008)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(8,472)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(12,835)</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1,772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(1,182)</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(11,712)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00"/>
        </w:trPr>
        <w:tc>
          <w:tcPr>
            <w:tcW w:w="2580" w:type="dxa"/>
            <w:vAlign w:val="bottom"/>
          </w:tcPr>
          <w:p>
            <w:pPr>
              <w:spacing w:after="0"/>
              <w:rPr>
                <w:sz w:val="20"/>
                <w:szCs w:val="20"/>
                <w:color w:val="auto"/>
              </w:rPr>
            </w:pPr>
            <w:r>
              <w:rPr>
                <w:rFonts w:ascii="Arial" w:cs="Arial" w:eastAsia="Arial" w:hAnsi="Arial"/>
                <w:sz w:val="16"/>
                <w:szCs w:val="16"/>
                <w:color w:val="auto"/>
              </w:rPr>
              <w:t>Pro Forma Adjusted Net Income</w:t>
            </w: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160"/>
              <w:spacing w:after="0"/>
              <w:rPr>
                <w:sz w:val="20"/>
                <w:szCs w:val="20"/>
                <w:color w:val="auto"/>
              </w:rPr>
            </w:pPr>
            <w:r>
              <w:rPr>
                <w:rFonts w:ascii="Arial" w:cs="Arial" w:eastAsia="Arial" w:hAnsi="Arial"/>
                <w:sz w:val="16"/>
                <w:szCs w:val="16"/>
                <w:color w:val="auto"/>
              </w:rPr>
              <w:t>(Loss)</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$ 73,747</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134,404</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$ 440</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  17,599</w:t>
            </w:r>
          </w:p>
        </w:tc>
        <w:tc>
          <w:tcPr>
            <w:tcW w:w="1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  25,590</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$ 38,668</w:t>
            </w: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(5,931)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(721)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w w:val="99"/>
              </w:rPr>
              <w:t>$ 34,760</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$ 3,635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a reconciliation of net cash provided by operating activities to Adjusted Free Cash Flow for the periods presented:</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3"/>
                <w:szCs w:val="13"/>
                <w:b w:val="1"/>
                <w:bCs w:val="1"/>
                <w:color w:val="auto"/>
                <w:w w:val="88"/>
              </w:rPr>
              <w:t>Thirteen Weeks Ended</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160" w:type="dxa"/>
            <w:vAlign w:val="bottom"/>
          </w:tcPr>
          <w:p>
            <w:pPr>
              <w:spacing w:after="0"/>
              <w:rPr>
                <w:sz w:val="9"/>
                <w:szCs w:val="9"/>
                <w:color w:val="auto"/>
              </w:rPr>
            </w:pPr>
          </w:p>
        </w:tc>
        <w:tc>
          <w:tcPr>
            <w:tcW w:w="6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3"/>
              </w:rPr>
              <w:t>October 31,</w:t>
            </w:r>
          </w:p>
        </w:tc>
        <w:tc>
          <w:tcPr>
            <w:tcW w:w="140" w:type="dxa"/>
            <w:vAlign w:val="bottom"/>
          </w:tcPr>
          <w:p>
            <w:pPr>
              <w:spacing w:after="0"/>
              <w:rPr>
                <w:sz w:val="9"/>
                <w:szCs w:val="9"/>
                <w:color w:val="auto"/>
              </w:rPr>
            </w:pPr>
          </w:p>
        </w:tc>
        <w:tc>
          <w:tcPr>
            <w:tcW w:w="80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8"/>
              </w:rPr>
              <w:t>August 1,</w:t>
            </w:r>
          </w:p>
        </w:tc>
        <w:tc>
          <w:tcPr>
            <w:tcW w:w="74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May 2,</w:t>
            </w:r>
          </w:p>
        </w:tc>
        <w:tc>
          <w:tcPr>
            <w:tcW w:w="78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8"/>
              </w:rPr>
              <w:t>February 1,</w:t>
            </w:r>
          </w:p>
        </w:tc>
        <w:tc>
          <w:tcPr>
            <w:tcW w:w="60" w:type="dxa"/>
            <w:vAlign w:val="bottom"/>
          </w:tcPr>
          <w:p>
            <w:pPr>
              <w:spacing w:after="0"/>
              <w:rPr>
                <w:sz w:val="9"/>
                <w:szCs w:val="9"/>
                <w:color w:val="auto"/>
              </w:rPr>
            </w:pPr>
          </w:p>
        </w:tc>
        <w:tc>
          <w:tcPr>
            <w:tcW w:w="82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November 2,</w:t>
            </w:r>
          </w:p>
        </w:tc>
        <w:tc>
          <w:tcPr>
            <w:tcW w:w="80" w:type="dxa"/>
            <w:vAlign w:val="bottom"/>
          </w:tcPr>
          <w:p>
            <w:pPr>
              <w:spacing w:after="0"/>
              <w:rPr>
                <w:sz w:val="9"/>
                <w:szCs w:val="9"/>
                <w:color w:val="auto"/>
              </w:rPr>
            </w:pPr>
          </w:p>
        </w:tc>
        <w:tc>
          <w:tcPr>
            <w:tcW w:w="7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August 3,</w:t>
            </w:r>
          </w:p>
        </w:tc>
        <w:tc>
          <w:tcPr>
            <w:tcW w:w="60" w:type="dxa"/>
            <w:vAlign w:val="bottom"/>
          </w:tcPr>
          <w:p>
            <w:pPr>
              <w:spacing w:after="0"/>
              <w:rPr>
                <w:sz w:val="9"/>
                <w:szCs w:val="9"/>
                <w:color w:val="auto"/>
              </w:rPr>
            </w:pPr>
          </w:p>
        </w:tc>
        <w:tc>
          <w:tcPr>
            <w:tcW w:w="72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7"/>
              </w:rPr>
              <w:t>May 4,</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5"/>
              </w:rPr>
              <w:t>February 2,</w:t>
            </w:r>
          </w:p>
        </w:tc>
        <w:tc>
          <w:tcPr>
            <w:tcW w:w="9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78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5"/>
              </w:rPr>
              <w:t>August 4,</w:t>
            </w:r>
          </w:p>
        </w:tc>
        <w:tc>
          <w:tcPr>
            <w:tcW w:w="580" w:type="dxa"/>
            <w:vAlign w:val="bottom"/>
          </w:tcPr>
          <w:p>
            <w:pPr>
              <w:jc w:val="right"/>
              <w:ind w:right="27"/>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r>
      <w:tr>
        <w:trPr>
          <w:trHeight w:val="153"/>
        </w:trPr>
        <w:tc>
          <w:tcPr>
            <w:tcW w:w="2160" w:type="dxa"/>
            <w:vAlign w:val="bottom"/>
          </w:tcPr>
          <w:p>
            <w:pPr>
              <w:spacing w:after="0"/>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3"/>
                <w:szCs w:val="13"/>
                <w:color w:val="auto"/>
              </w:rPr>
            </w:pPr>
          </w:p>
        </w:tc>
        <w:tc>
          <w:tcPr>
            <w:tcW w:w="500" w:type="dxa"/>
            <w:vAlign w:val="bottom"/>
          </w:tcPr>
          <w:p>
            <w:pPr>
              <w:jc w:val="right"/>
              <w:ind w:right="124"/>
              <w:spacing w:after="0"/>
              <w:rPr>
                <w:sz w:val="20"/>
                <w:szCs w:val="20"/>
                <w:color w:val="auto"/>
              </w:rPr>
            </w:pPr>
            <w:r>
              <w:rPr>
                <w:rFonts w:ascii="Arial" w:cs="Arial" w:eastAsia="Arial" w:hAnsi="Arial"/>
                <w:sz w:val="13"/>
                <w:szCs w:val="13"/>
                <w:b w:val="1"/>
                <w:bCs w:val="1"/>
                <w:color w:val="auto"/>
                <w:w w:val="96"/>
              </w:rPr>
              <w:t>2020</w:t>
            </w:r>
          </w:p>
        </w:tc>
        <w:tc>
          <w:tcPr>
            <w:tcW w:w="740" w:type="dxa"/>
            <w:vAlign w:val="bottom"/>
            <w:gridSpan w:val="2"/>
          </w:tcPr>
          <w:p>
            <w:pPr>
              <w:jc w:val="right"/>
              <w:ind w:right="111"/>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640" w:type="dxa"/>
            <w:vAlign w:val="bottom"/>
          </w:tcPr>
          <w:p>
            <w:pPr>
              <w:jc w:val="right"/>
              <w:ind w:right="12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680" w:type="dxa"/>
            <w:vAlign w:val="bottom"/>
            <w:gridSpan w:val="2"/>
          </w:tcPr>
          <w:p>
            <w:pPr>
              <w:jc w:val="center"/>
              <w:ind w:left="4"/>
              <w:spacing w:after="0"/>
              <w:rPr>
                <w:sz w:val="20"/>
                <w:szCs w:val="20"/>
                <w:color w:val="auto"/>
              </w:rPr>
            </w:pPr>
            <w:r>
              <w:rPr>
                <w:rFonts w:ascii="Arial" w:cs="Arial" w:eastAsia="Arial" w:hAnsi="Arial"/>
                <w:sz w:val="13"/>
                <w:szCs w:val="13"/>
                <w:b w:val="1"/>
                <w:bCs w:val="1"/>
                <w:color w:val="auto"/>
                <w:w w:val="82"/>
              </w:rPr>
              <w:t>2019</w:t>
            </w:r>
          </w:p>
        </w:tc>
        <w:tc>
          <w:tcPr>
            <w:tcW w:w="140" w:type="dxa"/>
            <w:vAlign w:val="bottom"/>
          </w:tcPr>
          <w:p>
            <w:pPr>
              <w:spacing w:after="0"/>
              <w:rPr>
                <w:sz w:val="13"/>
                <w:szCs w:val="13"/>
                <w:color w:val="auto"/>
              </w:rPr>
            </w:pPr>
          </w:p>
        </w:tc>
        <w:tc>
          <w:tcPr>
            <w:tcW w:w="64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720" w:type="dxa"/>
            <w:vAlign w:val="bottom"/>
            <w:gridSpan w:val="2"/>
          </w:tcPr>
          <w:p>
            <w:pPr>
              <w:jc w:val="right"/>
              <w:ind w:right="142"/>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73"/>
        </w:trPr>
        <w:tc>
          <w:tcPr>
            <w:tcW w:w="21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8"/>
              </w:rPr>
              <w:t>Net cash provided by (used in)</w:t>
            </w: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2"/>
        </w:trPr>
        <w:tc>
          <w:tcPr>
            <w:tcW w:w="2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activities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83,597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$682,865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$90,756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$ 168,913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(9,205)</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8"/>
              </w:rPr>
              <w:t>$138,564</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$(34,603)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$ 167,588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(83,563)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$ 73,127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$ 41,329</w:t>
            </w:r>
          </w:p>
        </w:tc>
        <w:tc>
          <w:tcPr>
            <w:tcW w:w="100" w:type="dxa"/>
            <w:vAlign w:val="bottom"/>
            <w:shd w:val="clear" w:color="auto" w:fill="CCEEFF"/>
          </w:tcPr>
          <w:p>
            <w:pPr>
              <w:spacing w:after="0"/>
              <w:rPr>
                <w:sz w:val="18"/>
                <w:szCs w:val="18"/>
                <w:color w:val="auto"/>
              </w:rPr>
            </w:pPr>
          </w:p>
        </w:tc>
      </w:tr>
      <w:tr>
        <w:trPr>
          <w:trHeight w:val="193"/>
        </w:trPr>
        <w:tc>
          <w:tcPr>
            <w:tcW w:w="2160" w:type="dxa"/>
            <w:vAlign w:val="bottom"/>
          </w:tcPr>
          <w:p>
            <w:pPr>
              <w:spacing w:after="0"/>
              <w:rPr>
                <w:sz w:val="20"/>
                <w:szCs w:val="20"/>
                <w:color w:val="auto"/>
              </w:rPr>
            </w:pPr>
            <w:r>
              <w:rPr>
                <w:rFonts w:ascii="Arial" w:cs="Arial" w:eastAsia="Arial" w:hAnsi="Arial"/>
                <w:sz w:val="16"/>
                <w:szCs w:val="16"/>
                <w:color w:val="auto"/>
              </w:rPr>
              <w:t>Net cash used in investing</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160" w:type="dxa"/>
            <w:vAlign w:val="bottom"/>
          </w:tcPr>
          <w:p>
            <w:pPr>
              <w:ind w:left="160"/>
              <w:spacing w:after="0"/>
              <w:rPr>
                <w:sz w:val="20"/>
                <w:szCs w:val="20"/>
                <w:color w:val="auto"/>
              </w:rPr>
            </w:pPr>
            <w:r>
              <w:rPr>
                <w:rFonts w:ascii="Arial" w:cs="Arial" w:eastAsia="Arial" w:hAnsi="Arial"/>
                <w:sz w:val="16"/>
                <w:szCs w:val="16"/>
                <w:color w:val="auto"/>
              </w:rPr>
              <w:t>activities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(3,924)</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(9,926)</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(14,204)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(20,812)</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(15,884)</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(15,883)</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(28,037)</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(24,669)</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(27,249)</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(19,072)</w:t>
            </w:r>
          </w:p>
        </w:tc>
      </w:tr>
      <w:tr>
        <w:trPr>
          <w:trHeight w:val="30"/>
        </w:trPr>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Adjusted Free Cash Flow</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83,657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678,941</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80,830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$ 154,709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(30,017)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122,680</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(50,486)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$ 139,551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(108,232)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$ 45,878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$ 22,257</w:t>
            </w:r>
          </w:p>
        </w:tc>
        <w:tc>
          <w:tcPr>
            <w:tcW w:w="100" w:type="dxa"/>
            <w:vAlign w:val="bottom"/>
            <w:shd w:val="clear" w:color="auto" w:fill="CCEEFF"/>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13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generated from operating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issuances of debt securities;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borrowings under term loan and ABL credit facilities.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131" w:lineRule="exact"/>
        <w:rPr>
          <w:sz w:val="20"/>
          <w:szCs w:val="20"/>
          <w:color w:val="auto"/>
        </w:rPr>
      </w:pPr>
    </w:p>
    <w:p>
      <w:pPr>
        <w:ind w:left="1080" w:right="5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activities, such as the purchase and growth of inventory, expansion of our sales and marketing activities and other working capital needs;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capital improvements and support of expansion plans, as well as various investments in store remodeling, store fixtures and on-going infrastructure improvements;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paying debt obligations and related interest expense;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paying partnership distributions to our members;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October 31, 2020, our cash and cash equivalents totaled $869.7 million.</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focused on navigating the ongoing challenges presented by COVID-19 through the preservation of our long-term liquidity and management of cash flow through preemptive actions to enhance our ability to meet our short-term liquidity needs. During the year-to-date 2020, we have taken various cost cutting measures to maximize operational cash flows (see “—Impact of COVID-19 on Our Business”). Such actions include, but are not limited to, reduction of discretionary spending, deferring or cancelling our planned expenses, revisiting and reprioritizing our strategic investments, and reducing our payroll costs, including temporary team member furloughs, workforce reductions and pay cuts.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our members. Related cash payments of $20.7 million to vested share-based award holders was paid through October 31, 2020 and an additional $12.1 million of payments will be made to unvested share-based award holders as the related awards vest. See “Distribution” in Note 10, </w:t>
      </w:r>
      <w:r>
        <w:rPr>
          <w:rFonts w:ascii="Arial" w:cs="Arial" w:eastAsia="Arial" w:hAnsi="Arial"/>
          <w:sz w:val="18"/>
          <w:szCs w:val="18"/>
          <w:i w:val="1"/>
          <w:iCs w:val="1"/>
          <w:color w:val="auto"/>
        </w:rPr>
        <w:t>Equity and Share-Based Compensation</w:t>
      </w:r>
      <w:r>
        <w:rPr>
          <w:rFonts w:ascii="Arial" w:cs="Arial" w:eastAsia="Arial" w:hAnsi="Arial"/>
          <w:sz w:val="18"/>
          <w:szCs w:val="18"/>
          <w:color w:val="auto"/>
        </w:rPr>
        <w:t>, to our unaudited condensed consolidated financial statements included elsewhere in this prospectus.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On October 6, 2020, we completed our IPO in which we issued and sold 15,625,000 shares of common stock, $0.01 par value, to the IPO underwriters 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an affiliate of KKR Stockholders, for underwriting services in connection with the IPO, and $6.1 million in costs directly associated with the IPO, such as legal and accounting fees. See “Initial Public Offering and Reorganization Transactions” in Note 1, </w:t>
      </w:r>
      <w:r>
        <w:rPr>
          <w:rFonts w:ascii="Arial" w:cs="Arial" w:eastAsia="Arial" w:hAnsi="Arial"/>
          <w:sz w:val="17"/>
          <w:szCs w:val="17"/>
          <w:i w:val="1"/>
          <w:iCs w:val="1"/>
          <w:color w:val="auto"/>
        </w:rPr>
        <w:t>Nature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to our unaudited condensed consolidated financial statements included elsewhere in this prospectus.</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Subsequent to the 2020 third quarter, 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KKR Capital Markets LLC for underwriting services, pursuant to the partial exercise by the underwriters of their option to purchase up to 2,343,750 additional shares to cover over-allotments in connection with our IPO. The option has expired with respect to the remaining shares. See “Initial Public Offering and Reorganization Transactions” in Note 1, </w:t>
      </w:r>
      <w:r>
        <w:rPr>
          <w:rFonts w:ascii="Arial" w:cs="Arial" w:eastAsia="Arial" w:hAnsi="Arial"/>
          <w:sz w:val="17"/>
          <w:szCs w:val="17"/>
          <w:i w:val="1"/>
          <w:iCs w:val="1"/>
          <w:color w:val="auto"/>
        </w:rPr>
        <w:t>Nature of Operations</w:t>
      </w:r>
      <w:r>
        <w:rPr>
          <w:rFonts w:ascii="Arial" w:cs="Arial" w:eastAsia="Arial" w:hAnsi="Arial"/>
          <w:sz w:val="17"/>
          <w:szCs w:val="17"/>
          <w:color w:val="auto"/>
        </w:rPr>
        <w:t xml:space="preserve">, and Note 15, </w:t>
      </w:r>
      <w:r>
        <w:rPr>
          <w:rFonts w:ascii="Arial" w:cs="Arial" w:eastAsia="Arial" w:hAnsi="Arial"/>
          <w:sz w:val="17"/>
          <w:szCs w:val="17"/>
          <w:i w:val="1"/>
          <w:iCs w:val="1"/>
          <w:color w:val="auto"/>
        </w:rPr>
        <w:t>Subsequent Events</w:t>
      </w:r>
      <w:r>
        <w:rPr>
          <w:rFonts w:ascii="Arial" w:cs="Arial" w:eastAsia="Arial" w:hAnsi="Arial"/>
          <w:sz w:val="17"/>
          <w:szCs w:val="17"/>
          <w:color w:val="auto"/>
        </w:rPr>
        <w:t>, to our unaudited condensed consolidated financial statements included elsewhere in this prospectus.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Subsequent to the 2020 third quarter, on November 6, 2020, the Company (1) issued $400.0 million of 6.00% senior secured notes, which are due November 15, 2027, (2) entered into a $400.0 million first lien term loan facility, which is due November 6, 2027 and (3) extended the maturity of the ABL Facility to November 6, 2025. We used the net proceeds from the 2027 Notes and the net proceeds from the Term Loan Facility, together with cash on hand, to repay in full our 2015 Term Loan Facility, in the amount of $1,431.4 million. See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 to our unaudited condensed consolidated financial statements included elsewhere in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expect to use existing cash balances, internally generated cash flows, and available borrowings under the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the year-to-date 2020 was ample to support our operations and service our requirements.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Liquidity information related to our ABL Facility is as follows as of and for the periods shown (in thousands, except days):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40" w:type="dxa"/>
            <w:vAlign w:val="bottom"/>
          </w:tcPr>
          <w:p>
            <w:pPr>
              <w:spacing w:after="0"/>
              <w:rPr>
                <w:sz w:val="10"/>
                <w:szCs w:val="10"/>
                <w:color w:val="auto"/>
              </w:rPr>
            </w:pPr>
          </w:p>
        </w:tc>
      </w:tr>
      <w:tr>
        <w:trPr>
          <w:trHeight w:val="171"/>
        </w:trPr>
        <w:tc>
          <w:tcPr>
            <w:tcW w:w="6160" w:type="dxa"/>
            <w:vAlign w:val="bottom"/>
          </w:tcPr>
          <w:p>
            <w:pPr>
              <w:spacing w:after="0"/>
              <w:rPr>
                <w:sz w:val="14"/>
                <w:szCs w:val="14"/>
                <w:color w:val="auto"/>
              </w:rPr>
            </w:pPr>
          </w:p>
        </w:tc>
        <w:tc>
          <w:tcPr>
            <w:tcW w:w="74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funds drawn</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$ 168,864</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Number of days with outstanding balance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Maximum daily amount outstanding</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$ 500,000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147,100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Minimum available borrowing capacity</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$ 161,089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771,750</w:t>
            </w: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October 31,</w:t>
            </w:r>
          </w:p>
        </w:tc>
        <w:tc>
          <w:tcPr>
            <w:tcW w:w="13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13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November 2,</w:t>
            </w:r>
          </w:p>
        </w:tc>
        <w:tc>
          <w:tcPr>
            <w:tcW w:w="60" w:type="dxa"/>
            <w:vAlign w:val="bottom"/>
          </w:tcPr>
          <w:p>
            <w:pPr>
              <w:spacing w:after="0"/>
              <w:rPr>
                <w:sz w:val="10"/>
                <w:szCs w:val="10"/>
                <w:color w:val="auto"/>
              </w:rPr>
            </w:pPr>
          </w:p>
        </w:tc>
      </w:tr>
      <w:tr>
        <w:trPr>
          <w:trHeight w:val="171"/>
        </w:trPr>
        <w:tc>
          <w:tcPr>
            <w:tcW w:w="39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borrowings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Issued letters of credit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21,112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15,927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14,427</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capacity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844,712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827,404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941,273</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expect capital expenditures for fiscal year 2020 to be approximately $46.6 million. Approximately 65% of our planned cash outflow relate to investments in our corporate, e-commerce and information technology programs. Investments in existing stores and distribution centers is expected to account for approximately 30% of the planned cash outflow and the remaining 5% is expected to be utilized through investments in store remodels. We review forecasted capital expenditures throughout the year and will adjust or modify projects based on business conditions at that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the Thirty-Nine Weeks Ended October 31, 2020 and November 2,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unaudited statements of cash flows for the periods shown are summarized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$ 857,218</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20" w:type="dxa"/>
            <w:vAlign w:val="bottom"/>
            <w:gridSpan w:val="3"/>
          </w:tcPr>
          <w:p>
            <w:pPr>
              <w:jc w:val="right"/>
              <w:ind w:right="620"/>
              <w:spacing w:after="0"/>
              <w:rPr>
                <w:sz w:val="20"/>
                <w:szCs w:val="20"/>
                <w:color w:val="auto"/>
              </w:rPr>
            </w:pPr>
            <w:r>
              <w:rPr>
                <w:rFonts w:ascii="Arial" w:cs="Arial" w:eastAsia="Arial" w:hAnsi="Arial"/>
                <w:sz w:val="18"/>
                <w:szCs w:val="18"/>
                <w:color w:val="auto"/>
              </w:rPr>
              <w:t>(13,790)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(52,579)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(123,088)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(74,330)</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$ 720,340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(32,153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100"/>
              <w:spacing w:after="0"/>
              <w:rPr>
                <w:sz w:val="20"/>
                <w:szCs w:val="20"/>
                <w:color w:val="auto"/>
              </w:rPr>
            </w:pPr>
            <w:r>
              <w:rPr>
                <w:rFonts w:ascii="Arial" w:cs="Arial" w:eastAsia="Arial" w:hAnsi="Arial"/>
                <w:sz w:val="18"/>
                <w:szCs w:val="18"/>
                <w:color w:val="auto"/>
              </w:rPr>
              <w:t>86</w:t>
            </w:r>
          </w:p>
        </w:tc>
        <w:tc>
          <w:tcPr>
            <w:tcW w:w="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58" w:lineRule="auto"/>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cash provided by operating activities consists primarily of net income adjusted for non-cash items,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and amortization, non-cash lease expense, equity compensation, amortization of deferred loan and other costs, non-cash gain on early retirement of debt, net, and changes in assets and liabilities, loss on swaps from debt refinancing and deferred income taxes.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7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Cash provided by operating activities in the year-to-date 2020 increased $762.5 million, compared to the year-to-date 2019. This increase in cash was attributable to:</w:t>
      </w:r>
    </w:p>
    <w:p>
      <w:pPr>
        <w:spacing w:after="0" w:line="76"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$599.1 million net increase in cash flows provided by operating assets and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$114.9 million increase in net income;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$48.4 million increase in non-cash charges.</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increase in cash flows from operating assets and liabilities for the year-to-date 2020 compared to the year-to-date 2019 was primarily attributable to:</w:t>
      </w:r>
    </w:p>
    <w:p>
      <w:pPr>
        <w:spacing w:after="0" w:line="76" w:lineRule="exact"/>
        <w:rPr>
          <w:sz w:val="20"/>
          <w:szCs w:val="20"/>
          <w:color w:val="auto"/>
        </w:rPr>
      </w:pPr>
    </w:p>
    <w:p>
      <w:pPr>
        <w:ind w:left="1080" w:right="4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$214.5 million decrease in merchandise inventories, net due to inventory reductions from high sell through in the current year-to-date, coupled with an increase in inventory during the prior year; and</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$340.1 million increase in accounts payable related to increased inventory receipts in recent months and extensions of vendor payment terms.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from non-cash charges for the year-to-date 2020 compared to the year-to-date 2019 was primarily caused by:</w:t>
      </w:r>
    </w:p>
    <w:p>
      <w:pPr>
        <w:spacing w:after="0" w:line="131" w:lineRule="exact"/>
        <w:rPr>
          <w:sz w:val="20"/>
          <w:szCs w:val="20"/>
          <w:color w:val="auto"/>
        </w:rPr>
      </w:pPr>
    </w:p>
    <w:p>
      <w:pPr>
        <w:ind w:left="10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$34.4 million decrease in non-cash gains on the early retirement of debt, net resulting from lower current year-to-date principal repurchases of portions of our 2015 Term Loan Facility;</w:t>
      </w:r>
    </w:p>
    <w:p>
      <w:pPr>
        <w:spacing w:after="0" w:line="75" w:lineRule="exact"/>
        <w:rPr>
          <w:rFonts w:ascii="Arial" w:cs="Arial" w:eastAsia="Arial" w:hAnsi="Arial"/>
          <w:sz w:val="18"/>
          <w:szCs w:val="18"/>
          <w:color w:val="auto"/>
        </w:rPr>
      </w:pPr>
    </w:p>
    <w:p>
      <w:pPr>
        <w:jc w:val="both"/>
        <w:ind w:left="1080" w:right="6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$21.2 million increase in stock compensation expense, which includes approximately $19.9 million of stock compensation associated with the expensing of certain outstanding restricted stock units as a result of the liquidity condition being achieved upon completion of our IPO;</w:t>
      </w:r>
    </w:p>
    <w:p>
      <w:pPr>
        <w:spacing w:after="0" w:line="29"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$12.4 million increase in non-cash lease expense due to timing of rent payments and 46 lease extensions executed during the year-to-date 2020; partially offset by</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$11.5 million decrease related to increased deferred income tax accruals as a result of the Company becoming subject to federal income taxes in connection with the Reorganization Transactions;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$9.0 million decrease in depreciation and amortization.</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table shows the amounts of capital expenditures for each period indicated (in thousands):</w:t>
      </w:r>
    </w:p>
    <w:p>
      <w:pPr>
        <w:spacing w:after="0" w:line="24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Thirty-Nine Weeks</w:t>
      </w:r>
    </w:p>
    <w:p>
      <w:pPr>
        <w:jc w:val="center"/>
        <w:ind w:left="6040"/>
        <w:spacing w:after="0" w:line="236" w:lineRule="auto"/>
        <w:rPr>
          <w:sz w:val="20"/>
          <w:szCs w:val="20"/>
          <w:color w:val="auto"/>
        </w:rPr>
      </w:pPr>
      <w:r>
        <w:rPr>
          <w:rFonts w:ascii="Arial" w:cs="Arial" w:eastAsia="Arial" w:hAnsi="Arial"/>
          <w:sz w:val="14"/>
          <w:szCs w:val="14"/>
          <w:b w:val="1"/>
          <w:bCs w:val="1"/>
          <w:color w:val="auto"/>
        </w:rPr>
        <w:t>Ended</w:t>
      </w:r>
    </w:p>
    <w:tbl>
      <w:tblPr>
        <w:tblLayout w:type="fixed"/>
        <w:tblInd w:w="1440" w:type="dxa"/>
        <w:tblCellMar>
          <w:top w:w="0" w:type="dxa"/>
          <w:left w:w="0" w:type="dxa"/>
          <w:bottom w:w="0" w:type="dxa"/>
          <w:right w:w="0" w:type="dxa"/>
        </w:tblCellMar>
      </w:tblPr>
      <w:tr>
        <w:trPr>
          <w:trHeight w:val="119"/>
        </w:trPr>
        <w:tc>
          <w:tcPr>
            <w:tcW w:w="6100" w:type="dxa"/>
            <w:vAlign w:val="bottom"/>
          </w:tcPr>
          <w:p>
            <w:pPr>
              <w:spacing w:after="0"/>
              <w:rPr>
                <w:sz w:val="10"/>
                <w:szCs w:val="10"/>
                <w:color w:val="auto"/>
              </w:rPr>
            </w:pPr>
          </w:p>
        </w:tc>
        <w:tc>
          <w:tcPr>
            <w:tcW w:w="144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November 2,</w:t>
            </w:r>
          </w:p>
        </w:tc>
        <w:tc>
          <w:tcPr>
            <w:tcW w:w="40" w:type="dxa"/>
            <w:vAlign w:val="bottom"/>
          </w:tcPr>
          <w:p>
            <w:pPr>
              <w:spacing w:after="0"/>
              <w:rPr>
                <w:sz w:val="10"/>
                <w:szCs w:val="10"/>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7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21,915</w:t>
            </w:r>
          </w:p>
        </w:tc>
        <w:tc>
          <w:tcPr>
            <w:tcW w:w="7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48,614</w:t>
            </w:r>
          </w:p>
        </w:tc>
        <w:tc>
          <w:tcPr>
            <w:tcW w:w="4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Cash used in investing activities decreased $38.8 million in the current year-to-date compared to the same period last year. The decrease in cash used in investing activities is primarily due to:</w:t>
      </w:r>
    </w:p>
    <w:p>
      <w:pPr>
        <w:spacing w:after="0" w:line="76" w:lineRule="exact"/>
        <w:rPr>
          <w:sz w:val="20"/>
          <w:szCs w:val="20"/>
          <w:color w:val="auto"/>
        </w:rPr>
      </w:pPr>
    </w:p>
    <w:p>
      <w:pPr>
        <w:ind w:left="1080" w:right="3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$26.7 million less capital expenditures due to a planned overall reduction in the year-to-date 2020 led by a reduction in new stores and store remodeling;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$12.1 million increase related to cash proceeds as a result of repayment of notes receivable from one New Academy Holding Company, LLC member during the year-to-date 2020 compared to cash outflow related to the issuance of a note receivable to one New Academy Holding Company, LLC member in 2019.</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Cash used in financing activities increased $48.8 million in the year-to-date 2020, compared to the same period last year.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drivers of the increase were:</w:t>
      </w:r>
    </w:p>
    <w:p>
      <w:pPr>
        <w:spacing w:after="0" w:line="116" w:lineRule="exact"/>
        <w:rPr>
          <w:sz w:val="20"/>
          <w:szCs w:val="20"/>
          <w:color w:val="auto"/>
        </w:rPr>
      </w:pPr>
    </w:p>
    <w:p>
      <w:pPr>
        <w:ind w:left="1080" w:right="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$277.7 million increase in cash outflow resulting from a distribution to the members of New Academy Holding Company, LLC and related share-based award payments which occurred in the year-to-date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$44.3 million increase in cash outflow due to decreased net proceeds from the ABL Facility; partially offset 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$184.9 million of net proceeds from the issuance of common stock during the third quarter of 2020, net of offering costs;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$88.6 million decrease in cash outflows related to lower current year-to-date principal repurchases of portions of our 2015 Term Loan Facility.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2019, 2018 and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consolidated statements of cash flows for the periods shown are summarized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1440" w:type="dxa"/>
            <w:vAlign w:val="bottom"/>
            <w:gridSpan w:val="4"/>
          </w:tcPr>
          <w:p>
            <w:pPr>
              <w:ind w:left="340"/>
              <w:spacing w:after="0" w:line="119" w:lineRule="exact"/>
              <w:rPr>
                <w:sz w:val="20"/>
                <w:szCs w:val="20"/>
                <w:color w:val="auto"/>
              </w:rPr>
            </w:pPr>
            <w:r>
              <w:rPr>
                <w:rFonts w:ascii="Arial" w:cs="Arial" w:eastAsia="Arial" w:hAnsi="Arial"/>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120" w:type="dxa"/>
            <w:vAlign w:val="bottom"/>
          </w:tcPr>
          <w:p>
            <w:pPr>
              <w:spacing w:after="0"/>
              <w:rPr>
                <w:sz w:val="10"/>
                <w:szCs w:val="10"/>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(115,901)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Cash provided by operating activities for 2019 increased $65.2 million compared to 2018. This increase is attributable to a</w:t>
      </w:r>
      <w:r>
        <w:rPr>
          <w:rFonts w:ascii="Arial" w:cs="Arial" w:eastAsia="Arial" w:hAnsi="Arial"/>
          <w:sz w:val="18"/>
          <w:szCs w:val="18"/>
          <w:b w:val="1"/>
          <w:bCs w:val="1"/>
          <w:color w:val="auto"/>
        </w:rPr>
        <w:t xml:space="preserve"> </w:t>
      </w:r>
      <w:r>
        <w:rPr>
          <w:rFonts w:ascii="Arial" w:cs="Arial" w:eastAsia="Arial" w:hAnsi="Arial"/>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2015 Term Loan Facility in 2019.</w:t>
      </w:r>
    </w:p>
    <w:p>
      <w:pPr>
        <w:spacing w:after="0" w:line="193"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table shows the amounts of capital expenditures for each period indicated (in thousands):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554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February 2,</w:t>
            </w:r>
          </w:p>
        </w:tc>
        <w:tc>
          <w:tcPr>
            <w:tcW w:w="120" w:type="dxa"/>
            <w:vAlign w:val="bottom"/>
          </w:tcPr>
          <w:p>
            <w:pPr>
              <w:spacing w:after="0"/>
              <w:rPr>
                <w:sz w:val="10"/>
                <w:szCs w:val="10"/>
                <w:color w:val="auto"/>
              </w:rPr>
            </w:pPr>
          </w:p>
        </w:tc>
        <w:tc>
          <w:tcPr>
            <w:tcW w:w="88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February 3,</w:t>
            </w:r>
          </w:p>
        </w:tc>
        <w:tc>
          <w:tcPr>
            <w:tcW w:w="80" w:type="dxa"/>
            <w:vAlign w:val="bottom"/>
          </w:tcPr>
          <w:p>
            <w:pPr>
              <w:spacing w:after="0"/>
              <w:rPr>
                <w:sz w:val="10"/>
                <w:szCs w:val="10"/>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6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Cash used in financing activities increased $68.4 million in 2019 compared to 2018 primarily due to a $104.6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cash outflow related to the early retirement of a portion of the 2015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2015 Term Loan Facility of $19.7 million in 2017.</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5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to our audited consolidated financial statements included elsewhere in this prospectus.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SG&amp;A expenses on the consolidated statements of income. See Note 6</w:t>
      </w:r>
      <w:r>
        <w:rPr>
          <w:rFonts w:ascii="Arial" w:cs="Arial" w:eastAsia="Arial" w:hAnsi="Arial"/>
          <w:sz w:val="17"/>
          <w:szCs w:val="17"/>
          <w:i w:val="1"/>
          <w:iCs w:val="1"/>
          <w:color w:val="auto"/>
        </w:rPr>
        <w:t>, Fair Value Measurements,</w:t>
      </w:r>
      <w:r>
        <w:rPr>
          <w:rFonts w:ascii="Arial" w:cs="Arial" w:eastAsia="Arial" w:hAnsi="Arial"/>
          <w:sz w:val="17"/>
          <w:szCs w:val="17"/>
          <w:color w:val="auto"/>
        </w:rPr>
        <w:t xml:space="preserve"> to our audited consolidated financial statements included elsewhere in this prospectus.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9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elected the practical expedient available to us under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640" w:firstLine="440"/>
        <w:spacing w:after="0" w:line="311" w:lineRule="auto"/>
        <w:rPr>
          <w:sz w:val="20"/>
          <w:szCs w:val="20"/>
          <w:color w:val="auto"/>
        </w:rPr>
      </w:pPr>
      <w:r>
        <w:rPr>
          <w:rFonts w:ascii="Arial" w:cs="Arial" w:eastAsia="Arial" w:hAnsi="Arial"/>
          <w:sz w:val="16"/>
          <w:szCs w:val="16"/>
          <w:color w:val="auto"/>
        </w:rPr>
        <w:t>As of October 31,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We enter into letters of credit in the ordinary course of operating and financing activities. As of October 31, 2020, we had outstanding letters of credit of $30.8 million, of which $21.1 million were issued under our ABL Facility, primarily for insurance and foreign product purchases.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details our letters of credit commitments as of October 31, 2020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Amount of Commitment Expiration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 Period</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2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8"/>
              </w:rPr>
              <w:t>Less than</w:t>
            </w:r>
          </w:p>
        </w:tc>
        <w:tc>
          <w:tcPr>
            <w:tcW w:w="86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1 - 3</w:t>
            </w:r>
          </w:p>
        </w:tc>
        <w:tc>
          <w:tcPr>
            <w:tcW w:w="380" w:type="dxa"/>
            <w:vAlign w:val="bottom"/>
          </w:tcPr>
          <w:p>
            <w:pPr>
              <w:spacing w:after="0"/>
              <w:rPr>
                <w:sz w:val="9"/>
                <w:szCs w:val="9"/>
                <w:color w:val="auto"/>
              </w:rPr>
            </w:pPr>
          </w:p>
        </w:tc>
        <w:tc>
          <w:tcPr>
            <w:tcW w:w="56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3 - 5</w:t>
            </w:r>
          </w:p>
        </w:tc>
        <w:tc>
          <w:tcPr>
            <w:tcW w:w="38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Amounts</w:t>
            </w: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Committed</w:t>
            </w:r>
          </w:p>
        </w:tc>
        <w:tc>
          <w:tcPr>
            <w:tcW w:w="2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1 Year</w:t>
            </w:r>
          </w:p>
        </w:tc>
        <w:tc>
          <w:tcPr>
            <w:tcW w:w="3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 Commitments:</w:t>
            </w:r>
          </w:p>
        </w:tc>
        <w:tc>
          <w:tcPr>
            <w:tcW w:w="2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Letters of credit</w:t>
            </w:r>
          </w:p>
        </w:tc>
        <w:tc>
          <w:tcPr>
            <w:tcW w:w="3100" w:type="dxa"/>
            <w:vAlign w:val="bottom"/>
            <w:gridSpan w:val="3"/>
          </w:tcPr>
          <w:p>
            <w:pPr>
              <w:jc w:val="center"/>
              <w:ind w:left="1950"/>
              <w:spacing w:after="0"/>
              <w:rPr>
                <w:sz w:val="20"/>
                <w:szCs w:val="20"/>
                <w:color w:val="auto"/>
              </w:rPr>
            </w:pPr>
            <w:r>
              <w:rPr>
                <w:rFonts w:ascii="Arial" w:cs="Arial" w:eastAsia="Arial" w:hAnsi="Arial"/>
                <w:sz w:val="18"/>
                <w:szCs w:val="18"/>
                <w:color w:val="auto"/>
                <w:w w:val="99"/>
              </w:rPr>
              <w:t>$ 30,788</w:t>
            </w:r>
          </w:p>
        </w:tc>
        <w:tc>
          <w:tcPr>
            <w:tcW w:w="8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$29,288</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$1,500</w:t>
            </w:r>
          </w:p>
        </w:tc>
        <w:tc>
          <w:tcPr>
            <w:tcW w:w="56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commercial commitments as of February 1, 2020 without giving effect to the IPO, the IPO Option Exercise and the Refinancing Transactions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1"/>
              </w:rPr>
              <w:t>Payments Due by Period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Less than</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3 - 5 Years</w:t>
            </w: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1 Year</w:t>
            </w:r>
          </w:p>
        </w:tc>
        <w:tc>
          <w:tcPr>
            <w:tcW w:w="116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2015 Term Loan Facility</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2015 Term Loan Facility interest</w:t>
            </w:r>
            <w:r>
              <w:rPr>
                <w:rFonts w:ascii="Arial" w:cs="Arial" w:eastAsia="Arial" w:hAnsi="Arial"/>
                <w:sz w:val="15"/>
                <w:szCs w:val="15"/>
                <w:color w:val="auto"/>
              </w:rPr>
              <w:t>(2)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78,855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ABL Facility</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196,088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Technology related commitments and other</w:t>
            </w:r>
            <w:r>
              <w:rPr>
                <w:rFonts w:ascii="Arial" w:cs="Arial" w:eastAsia="Arial" w:hAnsi="Arial"/>
                <w:sz w:val="15"/>
                <w:szCs w:val="15"/>
                <w:color w:val="auto"/>
              </w:rPr>
              <w:t>(4)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20,593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Monitoring agreement</w:t>
            </w:r>
            <w:r>
              <w:rPr>
                <w:rFonts w:ascii="Arial" w:cs="Arial" w:eastAsia="Arial" w:hAnsi="Arial"/>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4,156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$ 3,650,779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344,053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$ 1,951,135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356,277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Principal amount excluding discount and debt issuance costs.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payments shown are approximated based on projected interest rates and do not give effect to interest rate swaps.</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include technology related contractual commitments and other commitments such as construction commitments. The amounts included in the table are for executed contracts less amounts paid.</w:t>
      </w:r>
    </w:p>
    <w:p>
      <w:pPr>
        <w:ind w:left="540" w:right="360" w:hanging="424"/>
        <w:spacing w:after="0" w:line="26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represent our contractual payments under our Monitoring Agreement with the Adviser, which was terminated in connection with the IPO. See “Certain Relationships and Related Party Transactions—Monitoring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40"/>
          </w:cols>
          <w:pgMar w:left="320" w:top="459" w:right="6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Emerging, rapidly growing and profitable omnichannel strategy that leverages our strong BOPIS and shipping fulfillment capabilities.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MSAs.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We are continually assessing the number of locations available that could accommodate our preferred size of stores in markets we would consider and we expect to open eight to 10 new stores per year, starting in 2022, which is similar to our growth rates from 2018 to 2019.</w:t>
      </w:r>
    </w:p>
    <w:p>
      <w:pPr>
        <w:spacing w:after="0" w:line="18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active members of the communities in which we operate. We have a strong and growing presence in four of the top five, and six of the top 10, fastest-growing MSAs, in the United States, including Dallas, Houston,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73" w:lineRule="exact"/>
        <w:rPr>
          <w:sz w:val="20"/>
          <w:szCs w:val="20"/>
          <w:color w:val="auto"/>
        </w:rPr>
      </w:pPr>
    </w:p>
    <w:p>
      <w:pPr>
        <w:ind w:left="120" w:right="4400" w:firstLine="360"/>
        <w:spacing w:after="0" w:line="269" w:lineRule="auto"/>
        <w:rPr>
          <w:sz w:val="20"/>
          <w:szCs w:val="20"/>
          <w:color w:val="auto"/>
        </w:rPr>
      </w:pPr>
      <w:r>
        <w:rPr>
          <w:rFonts w:ascii="Arial" w:cs="Arial" w:eastAsia="Arial" w:hAnsi="Arial"/>
          <w:sz w:val="17"/>
          <w:szCs w:val="17"/>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-1381760</wp:posOffset>
            </wp:positionV>
            <wp:extent cx="1937385" cy="2520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37385" cy="2520315"/>
                    </a:xfrm>
                    <a:prstGeom prst="rect">
                      <a:avLst/>
                    </a:prstGeom>
                    <a:noFill/>
                  </pic:spPr>
                </pic:pic>
              </a:graphicData>
            </a:graphic>
          </wp:anchor>
        </w:drawing>
      </w:r>
    </w:p>
    <w:p>
      <w:pPr>
        <w:spacing w:after="0" w:line="192" w:lineRule="exact"/>
        <w:rPr>
          <w:sz w:val="20"/>
          <w:szCs w:val="20"/>
          <w:color w:val="auto"/>
        </w:rPr>
      </w:pPr>
    </w:p>
    <w:p>
      <w:pPr>
        <w:ind w:left="120" w:right="4560" w:firstLine="360"/>
        <w:spacing w:after="0" w:line="257" w:lineRule="auto"/>
        <w:rPr>
          <w:sz w:val="20"/>
          <w:szCs w:val="20"/>
          <w:color w:val="auto"/>
        </w:rPr>
      </w:pPr>
      <w:r>
        <w:rPr>
          <w:rFonts w:ascii="Arial" w:cs="Arial" w:eastAsia="Arial" w:hAnsi="Arial"/>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7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7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emerging, profitable e-commerce platform that leverages our strong BOPIS and shipping fulfillment capabilities has achieved year-over-year sales growth of 8% and 209% during 2019 and the year-to-date 2020, respectively. Our e-commerce sales represented 5% and 10% of our merchandise sales in 2019 and the year-to-date 2020, respectively. We are deepening our customer relationships, further integrating our e-commerce platform with our stores and driving operating efficiencies by developing our omnichannel capabilities. Our BOPIS program, launched in 2019, accounted for approximately 24% and 50% of our e-commerce sales during 2019 and the year-to-date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links to video demonstrations on how to best select, use and get the most out of our products. Our website is introducing new customers to the Academy brand, with approximately 25% of our e-commerce sales during first half 2020 coming from new households.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serve our communities by supporting events, programs and organizations that help make a positive impact, including the sponsorship of over</w:t>
      </w:r>
    </w:p>
    <w:p>
      <w:pPr>
        <w:spacing w:after="0" w:line="46"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finished the twelve months ended October 31, 2020 with approximately $5.5 billion in sales, $235 million of net income and $506 million in Adjusted EBITDA. Although comparable sales have been negative for the past three fiscal years, we have seen five consecutive quarters of positive comparable sales as of 2020 third quarter. In addition, 2020 third quarter reflected our fifth consecutive quarter of Adjusted EBITDA growth and our sixth consecutive quarter of Adjusted Free Cash Flow growth. We earned net income of $21 million, $120 million and $235 million and Pro Forma Adjusted Net Income of $41 million, $76 million and $226 million in 2018, 2019 and the twelve months ended October 31, 2020, respectively, which included $217 million of net income and $209 million of Pro Forma Adjusted Net Income for year-to-date 2020. See “Summary—Summary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23" w:lineRule="exact"/>
        <w:rPr>
          <w:sz w:val="20"/>
          <w:szCs w:val="20"/>
          <w:color w:val="auto"/>
        </w:rPr>
      </w:pPr>
    </w:p>
    <w:p>
      <w:pPr>
        <w:ind w:left="1160"/>
        <w:spacing w:after="0"/>
        <w:tabs>
          <w:tab w:leader="none" w:pos="4900" w:val="left"/>
          <w:tab w:leader="none" w:pos="8260" w:val="left"/>
        </w:tabs>
        <w:rPr>
          <w:sz w:val="20"/>
          <w:szCs w:val="20"/>
          <w:color w:val="auto"/>
        </w:rPr>
      </w:pPr>
      <w:r>
        <w:rPr>
          <w:rFonts w:ascii="Arial" w:cs="Arial" w:eastAsia="Arial" w:hAnsi="Arial"/>
          <w:sz w:val="18"/>
          <w:szCs w:val="18"/>
          <w:color w:val="auto"/>
        </w:rPr>
        <w:t>Net Sales ($ in millions)</w:t>
      </w:r>
      <w:r>
        <w:rPr>
          <w:sz w:val="20"/>
          <w:szCs w:val="20"/>
          <w:color w:val="auto"/>
        </w:rPr>
        <w:tab/>
      </w:r>
      <w:r>
        <w:rPr>
          <w:rFonts w:ascii="Arial" w:cs="Arial" w:eastAsia="Arial" w:hAnsi="Arial"/>
          <w:sz w:val="18"/>
          <w:szCs w:val="18"/>
          <w:color w:val="auto"/>
        </w:rPr>
        <w:t>Adj. EBITDA ($ in millions)</w:t>
      </w:r>
      <w:r>
        <w:rPr>
          <w:sz w:val="20"/>
          <w:szCs w:val="20"/>
          <w:color w:val="auto"/>
        </w:rPr>
        <w:tab/>
      </w:r>
      <w:r>
        <w:rPr>
          <w:rFonts w:ascii="Arial" w:cs="Arial" w:eastAsia="Arial" w:hAnsi="Arial"/>
          <w:sz w:val="16"/>
          <w:szCs w:val="16"/>
          <w:color w:val="auto"/>
        </w:rPr>
        <w:t>Cum. Adjusted FCF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89345" cy="874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8934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five consecutive quarters ended October 31, 2020, and created a foundation for our future growth. These key initiatives include:</w:t>
      </w:r>
    </w:p>
    <w:p>
      <w:pPr>
        <w:spacing w:after="0" w:line="89" w:lineRule="exact"/>
        <w:rPr>
          <w:sz w:val="20"/>
          <w:szCs w:val="20"/>
          <w:color w:val="auto"/>
        </w:rPr>
      </w:pPr>
    </w:p>
    <w:p>
      <w:pPr>
        <w:ind w:left="1080" w:right="80" w:hanging="424"/>
        <w:spacing w:after="0" w:line="255"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Strengthened leadership team </w:t>
      </w:r>
      <w:r>
        <w:rPr>
          <w:rFonts w:ascii="Arial" w:cs="Arial" w:eastAsia="Arial" w:hAnsi="Arial"/>
          <w:sz w:val="18"/>
          <w:szCs w:val="18"/>
          <w:color w:val="auto"/>
        </w:rPr>
        <w:t>– Our leadership team comprises nine highly experienced and proven individuals, six of whom joined</w:t>
      </w:r>
      <w:r>
        <w:rPr>
          <w:rFonts w:ascii="Arial" w:cs="Arial" w:eastAsia="Arial" w:hAnsi="Arial"/>
          <w:sz w:val="18"/>
          <w:szCs w:val="18"/>
          <w:i w:val="1"/>
          <w:iCs w:val="1"/>
          <w:color w:val="auto"/>
        </w:rPr>
        <w:t xml:space="preserve"> </w:t>
      </w:r>
      <w:r>
        <w:rPr>
          <w:rFonts w:ascii="Arial" w:cs="Arial" w:eastAsia="Arial" w:hAnsi="Arial"/>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over the last three years in our omnichannel capabilities, we launched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92"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Localized merchandising </w:t>
      </w:r>
      <w:r>
        <w:rPr>
          <w:rFonts w:ascii="Arial" w:cs="Arial" w:eastAsia="Arial" w:hAnsi="Arial"/>
          <w:sz w:val="17"/>
          <w:szCs w:val="17"/>
          <w:color w:val="auto"/>
        </w:rPr>
        <w:t>– Since 2018, we improved the localization of our assortment across selected inventory offerings. For example, a</w:t>
      </w:r>
      <w:r>
        <w:rPr>
          <w:rFonts w:ascii="Arial" w:cs="Arial" w:eastAsia="Arial" w:hAnsi="Arial"/>
          <w:sz w:val="17"/>
          <w:szCs w:val="17"/>
          <w:i w:val="1"/>
          <w:iCs w:val="1"/>
          <w:color w:val="auto"/>
        </w:rPr>
        <w:t xml:space="preserve"> </w:t>
      </w:r>
      <w:r>
        <w:rPr>
          <w:rFonts w:ascii="Arial" w:cs="Arial" w:eastAsia="Arial" w:hAnsi="Arial"/>
          <w:sz w:val="17"/>
          <w:szCs w:val="17"/>
          <w:color w:val="auto"/>
        </w:rPr>
        <w:t>crawfish boiler sells well in Louisiana, but not in North Carolina, and our fishing assortment sells better in stores with closer proximity to fishing venues. This initiative resulted in an improved customer shopping experience and increased sales.</w:t>
      </w:r>
    </w:p>
    <w:p>
      <w:pPr>
        <w:spacing w:after="0" w:line="70"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we improved and focused our assortments in priority product categories, such as team sports, fishing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89"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Enhance store optimization </w:t>
      </w:r>
      <w:r>
        <w:rPr>
          <w:rFonts w:ascii="Arial" w:cs="Arial" w:eastAsia="Arial" w:hAnsi="Arial"/>
          <w:sz w:val="17"/>
          <w:szCs w:val="17"/>
          <w:color w:val="auto"/>
        </w:rPr>
        <w:t>– We leverage technology to enable our store team members to better manage, prioritize and reduce tasks to</w:t>
      </w:r>
      <w:r>
        <w:rPr>
          <w:rFonts w:ascii="Arial" w:cs="Arial" w:eastAsia="Arial" w:hAnsi="Arial"/>
          <w:sz w:val="17"/>
          <w:szCs w:val="17"/>
          <w:i w:val="1"/>
          <w:iCs w:val="1"/>
          <w:color w:val="auto"/>
        </w:rPr>
        <w:t xml:space="preserve"> </w:t>
      </w:r>
      <w:r>
        <w:rPr>
          <w:rFonts w:ascii="Arial" w:cs="Arial" w:eastAsia="Arial" w:hAnsi="Arial"/>
          <w:sz w:val="17"/>
          <w:szCs w:val="17"/>
          <w:color w:val="auto"/>
        </w:rPr>
        <w:t>give them more time to engage in customer service, thereby increasing our productivity and sales conversion.</w:t>
      </w:r>
    </w:p>
    <w:p>
      <w:pPr>
        <w:spacing w:after="0" w:line="51"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Digital marketing program </w:t>
      </w:r>
      <w:r>
        <w:rPr>
          <w:rFonts w:ascii="Arial" w:cs="Arial" w:eastAsia="Arial" w:hAnsi="Arial"/>
          <w:sz w:val="18"/>
          <w:szCs w:val="18"/>
          <w:color w:val="auto"/>
        </w:rPr>
        <w:t>– During the last two years, we shifted our primary marketing focus from print to digital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website also supports our stores with digital marketing and our BOPIS program. Each of these initiatives has given us a closer connection with our customers.</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 constituted approximately 4% of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2020 net sales. Academy Credit Card represents a significant opportunity to build customer loyalty, as our Academy Credit Card customers both spend more per trip and visit our stores more often.</w:t>
      </w:r>
    </w:p>
    <w:p>
      <w:pPr>
        <w:spacing w:after="0" w:line="89"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Programmatic inventory management </w:t>
      </w:r>
      <w:r>
        <w:rPr>
          <w:rFonts w:ascii="Arial" w:cs="Arial" w:eastAsia="Arial" w:hAnsi="Arial"/>
          <w:sz w:val="17"/>
          <w:szCs w:val="17"/>
          <w:color w:val="auto"/>
        </w:rPr>
        <w:t>– We implemented a new disciplined price markdown strategy that has improved our margins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3.55x for the twelve months ended October 31, 2020.</w:t>
      </w:r>
    </w:p>
    <w:p>
      <w:pPr>
        <w:spacing w:after="0" w:line="76" w:lineRule="exact"/>
        <w:rPr>
          <w:rFonts w:ascii="Arial" w:cs="Arial" w:eastAsia="Arial" w:hAnsi="Arial"/>
          <w:sz w:val="17"/>
          <w:szCs w:val="17"/>
          <w:color w:val="auto"/>
        </w:rPr>
      </w:pPr>
    </w:p>
    <w:p>
      <w:pPr>
        <w:ind w:left="1080" w:right="20" w:hanging="424"/>
        <w:spacing w:after="0" w:line="25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Develop small box format </w:t>
      </w:r>
      <w:r>
        <w:rPr>
          <w:rFonts w:ascii="Arial" w:cs="Arial" w:eastAsia="Arial" w:hAnsi="Arial"/>
          <w:sz w:val="18"/>
          <w:szCs w:val="18"/>
          <w:color w:val="auto"/>
        </w:rPr>
        <w:t>– We opened our first small format store (approximately 40,000 square feet) in Dallas, Texas in 2019.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retail business is highly competitive based on many variables including price, product assortment, customer service, omnichannel experience and store locations.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080" w:right="2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Mass general merchants </w:t>
      </w:r>
      <w:r>
        <w:rPr>
          <w:rFonts w:ascii="Arial" w:cs="Arial" w:eastAsia="Arial" w:hAnsi="Arial"/>
          <w:sz w:val="18"/>
          <w:szCs w:val="18"/>
          <w:color w:val="auto"/>
        </w:rPr>
        <w:t>(examples: Walmart, Kohl’s and Target) generally range in size from 50,000 to over 200,000 square feet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Large format sporting goods stores </w:t>
      </w:r>
      <w:r>
        <w:rPr>
          <w:rFonts w:ascii="Arial" w:cs="Arial" w:eastAsia="Arial" w:hAnsi="Arial"/>
          <w:sz w:val="18"/>
          <w:szCs w:val="18"/>
          <w:color w:val="auto"/>
        </w:rPr>
        <w:t>(examples: Dick’s Sporting Goods and Scheels) generally range in size from 20,000 to over 100,000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offer a broad selection of sporting goods and outdoor recreation merchandise.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Traditional sporting goods stores </w:t>
      </w:r>
      <w:r>
        <w:rPr>
          <w:rFonts w:ascii="Arial" w:cs="Arial" w:eastAsia="Arial" w:hAnsi="Arial"/>
          <w:sz w:val="18"/>
          <w:szCs w:val="18"/>
          <w:color w:val="auto"/>
        </w:rPr>
        <w:t>(examples: Hibbett Sports and Big 5 Sporting Goods) generally range in size from 5,000 to 20,000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are frequently located in regional malls and shopping centers and typically carry a varied assortment of primarily sporting goods merchandise.</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Specialty outdoor retailers </w:t>
      </w:r>
      <w:r>
        <w:rPr>
          <w:rFonts w:ascii="Arial" w:cs="Arial" w:eastAsia="Arial" w:hAnsi="Arial"/>
          <w:sz w:val="18"/>
          <w:szCs w:val="18"/>
          <w:color w:val="auto"/>
        </w:rPr>
        <w:t>(examples: Bass Pro Shop/Cabela’s and Sportsman’s Warehouse) generally range in size from 7,500 to over</w:t>
      </w:r>
      <w:r>
        <w:rPr>
          <w:rFonts w:ascii="Arial" w:cs="Arial" w:eastAsia="Arial" w:hAnsi="Arial"/>
          <w:sz w:val="18"/>
          <w:szCs w:val="18"/>
          <w:i w:val="1"/>
          <w:iCs w:val="1"/>
          <w:color w:val="auto"/>
        </w:rPr>
        <w:t xml:space="preserve"> </w:t>
      </w:r>
      <w:r>
        <w:rPr>
          <w:rFonts w:ascii="Arial" w:cs="Arial" w:eastAsia="Arial" w:hAnsi="Arial"/>
          <w:sz w:val="18"/>
          <w:szCs w:val="18"/>
          <w:color w:val="auto"/>
        </w:rPr>
        <w:t>100,000 square feet and typically focus on specific categories such as outdoor recreation.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Specialty footwear retailers </w:t>
      </w:r>
      <w:r>
        <w:rPr>
          <w:rFonts w:ascii="Arial" w:cs="Arial" w:eastAsia="Arial" w:hAnsi="Arial"/>
          <w:sz w:val="18"/>
          <w:szCs w:val="18"/>
          <w:color w:val="auto"/>
        </w:rPr>
        <w:t>(examples: Foot Locker, Boot Barn and The Finish Line) generally range in size from 2,000 to 20,000 square</w:t>
      </w:r>
      <w:r>
        <w:rPr>
          <w:rFonts w:ascii="Arial" w:cs="Arial" w:eastAsia="Arial" w:hAnsi="Arial"/>
          <w:sz w:val="18"/>
          <w:szCs w:val="18"/>
          <w:i w:val="1"/>
          <w:iCs w:val="1"/>
          <w:color w:val="auto"/>
        </w:rPr>
        <w:t xml:space="preserve"> </w:t>
      </w:r>
      <w:r>
        <w:rPr>
          <w:rFonts w:ascii="Arial" w:cs="Arial" w:eastAsia="Arial" w:hAnsi="Arial"/>
          <w:sz w:val="18"/>
          <w:szCs w:val="18"/>
          <w:color w:val="auto"/>
        </w:rPr>
        <w:t>feet and typically focus on specific categories such as athletic footwear.</w:t>
      </w:r>
    </w:p>
    <w:p>
      <w:pPr>
        <w:spacing w:after="0" w:line="75"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Catalogue &amp; Internet retailers </w:t>
      </w:r>
      <w:r>
        <w:rPr>
          <w:rFonts w:ascii="Arial" w:cs="Arial" w:eastAsia="Arial" w:hAnsi="Arial"/>
          <w:sz w:val="18"/>
          <w:szCs w:val="18"/>
          <w:color w:val="auto"/>
        </w:rPr>
        <w:t>(examples: Amazon and eBay) do not typically operate brick and mortar stores and primarily rely 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goods. Sporting goods merchandise and apparel and outdoor recreation products may represent a small portion of the total merchandise on their websites.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overall U.S. sporting goods and outdoors recreation industry is constantly evolving and demand for certain sports and outdoors recreation goods may increase or decrease depending upon the economics,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The rising popularity in loyalty to premium brands, and importance of experience for customers also serve as constructive tailwinds to our business.</w:t>
      </w:r>
    </w:p>
    <w:p>
      <w:pPr>
        <w:spacing w:after="0" w:line="16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6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76"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6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–passionate local experts who are specially recruited and trained for category-specific positions. Our</w:t>
      </w:r>
      <w:r>
        <w:rPr>
          <w:rFonts w:ascii="Arial" w:cs="Arial" w:eastAsia="Arial" w:hAnsi="Arial"/>
          <w:sz w:val="16"/>
          <w:szCs w:val="16"/>
          <w:i w:val="1"/>
          <w:iCs w:val="1"/>
          <w:color w:val="auto"/>
        </w:rPr>
        <w:t xml:space="preserve"> Enthusiasts </w:t>
      </w:r>
      <w:r>
        <w:rPr>
          <w:rFonts w:ascii="Arial" w:cs="Arial" w:eastAsia="Arial" w:hAnsi="Arial"/>
          <w:sz w:val="16"/>
          <w:szCs w:val="16"/>
          <w:color w:val="auto"/>
        </w:rPr>
        <w:t>use the products they sell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38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Our friendly and knowledgeable team members are a large reason our customers love shopping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77435" cy="891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7743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49"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large format sporting goods stores and specialty outdoor retailers and their customers. As of August 1, 2020, we estimate we have gained approximately two million new customers this year.</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76"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five consecutive quarters of positive comparable sales as of 2020 third quarter, Adjusted EBITDA growth to $323 million in 2019, or 8%, compared to 2018, and Adjusted Free Cash Flow growth of $99 million in 2018 to $197 million in 2019.</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consistently demonstrated steady revenue growth, expanded profit margins and disciplined capital expenditures. We generated</w:t>
      </w:r>
    </w:p>
    <w:p>
      <w:pPr>
        <w:spacing w:after="0" w:line="35"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1.1x as of end of 2020 third quarter compared to 5.2x as of end of both 2017 and 2018 and 4.1x as of end of 2019.</w:t>
      </w:r>
    </w:p>
    <w:p>
      <w:pPr>
        <w:spacing w:after="0" w:line="15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217 mature stores (stores opened longer than four years) were profitable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a four-wall basis for the twelve months ended October 31, 2020 and our new stores have average payback periods of four to five years.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focused on the following four growth drivers: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Our e-commerce sales represented 5% and 10% of our merchandise sales for 2019 and for the year-to-date 2020, respectively. E-commerce sales increased 406% from the prior quarter in first quarter 2020, 210% from the prior quarter in second quarter 2020 and 96% from the prior quarter in 2020 third quarter. Our goal is to increase our omnichannel penetration quickly and significantly. To meet this goal, since 2011, we have invested</w:t>
      </w:r>
    </w:p>
    <w:p>
      <w:pPr>
        <w:spacing w:after="0" w:line="2"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9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the year-to-date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2020 third quarter, which will continue to give our customers more options on how to shop Academy.</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2.68x in 2017 to 3.55x for the twelve months ended October 31, 2020, and has helped us to identify and exit certain product categories, such as luggage and toys.</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October 31, 2020, we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had 217 mature stores, and all but one were profitable on a four-wall basis for the twelve months ended October 31, 2020. We expect to open eight to 10 new stores per year starting in 2022, which is similar to our growth rates from 2018 to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171450</wp:posOffset>
            </wp:positionV>
            <wp:extent cx="4114800" cy="3377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1480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Merchandising</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carry a wide variety of national brand products such as Nike, Carhartt, adidas, Columbia Sportswear, North Face, Winchester, Brooks, Rawlings, Remington, Skechers, Under Armour and many more.</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February 1, 2020, we generally organized our merchandise in four divisions made up of eleven categories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Division</w:t>
            </w:r>
          </w:p>
        </w:tc>
        <w:tc>
          <w:tcPr>
            <w:tcW w:w="220" w:type="dxa"/>
            <w:vAlign w:val="bottom"/>
          </w:tcPr>
          <w:p>
            <w:pPr>
              <w:spacing w:after="0"/>
              <w:rPr>
                <w:sz w:val="16"/>
                <w:szCs w:val="16"/>
                <w:color w:val="auto"/>
              </w:rPr>
            </w:pPr>
          </w:p>
        </w:tc>
        <w:tc>
          <w:tcPr>
            <w:tcW w:w="3740" w:type="dxa"/>
            <w:vAlign w:val="bottom"/>
            <w:gridSpan w:val="2"/>
          </w:tcPr>
          <w:p>
            <w:pPr>
              <w:ind w:left="1420"/>
              <w:spacing w:after="0"/>
              <w:rPr>
                <w:sz w:val="20"/>
                <w:szCs w:val="20"/>
                <w:color w:val="auto"/>
              </w:rPr>
            </w:pPr>
            <w:r>
              <w:rPr>
                <w:rFonts w:ascii="Arial" w:cs="Arial" w:eastAsia="Arial" w:hAnsi="Arial"/>
                <w:sz w:val="14"/>
                <w:szCs w:val="14"/>
                <w:b w:val="1"/>
                <w:bCs w:val="1"/>
                <w:color w:val="auto"/>
              </w:rPr>
              <w:t>Category</w:t>
            </w:r>
            <w:r>
              <w:rPr>
                <w:rFonts w:ascii="Arial" w:cs="Arial" w:eastAsia="Arial" w:hAnsi="Arial"/>
                <w:sz w:val="12"/>
                <w:szCs w:val="12"/>
                <w:b w:val="1"/>
                <w:bCs w:val="1"/>
                <w:color w:val="auto"/>
              </w:rPr>
              <w:t>(1)</w:t>
            </w:r>
          </w:p>
        </w:tc>
        <w:tc>
          <w:tcPr>
            <w:tcW w:w="3200" w:type="dxa"/>
            <w:vAlign w:val="bottom"/>
          </w:tcPr>
          <w:p>
            <w:pPr>
              <w:ind w:left="840"/>
              <w:spacing w:after="0"/>
              <w:rPr>
                <w:sz w:val="20"/>
                <w:szCs w:val="20"/>
                <w:color w:val="auto"/>
              </w:rPr>
            </w:pPr>
            <w:r>
              <w:rPr>
                <w:rFonts w:ascii="Arial" w:cs="Arial" w:eastAsia="Arial" w:hAnsi="Arial"/>
                <w:sz w:val="14"/>
                <w:szCs w:val="14"/>
                <w:b w:val="1"/>
                <w:bCs w:val="1"/>
                <w:color w:val="auto"/>
              </w:rPr>
              <w:t>Primary product types</w:t>
            </w:r>
            <w:r>
              <w:rPr>
                <w:rFonts w:ascii="Arial" w:cs="Arial" w:eastAsia="Arial" w:hAnsi="Arial"/>
                <w:sz w:val="12"/>
                <w:szCs w:val="12"/>
                <w:b w:val="1"/>
                <w:bCs w:val="1"/>
                <w:color w:val="auto"/>
              </w:rPr>
              <w:t>(1)</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Outdoors</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Camping and cooking</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Outdoor cooking, coolers and drinkware,</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3"/>
              </w:rPr>
              <w:t>camping accessories, camping equipment,</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sunglasses, backpacks and sports bags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Fishing</w:t>
            </w:r>
          </w:p>
        </w:tc>
        <w:tc>
          <w:tcPr>
            <w:tcW w:w="3200" w:type="dxa"/>
            <w:vAlign w:val="bottom"/>
          </w:tcPr>
          <w:p>
            <w:pPr>
              <w:spacing w:after="0"/>
              <w:rPr>
                <w:sz w:val="20"/>
                <w:szCs w:val="20"/>
                <w:color w:val="auto"/>
              </w:rPr>
            </w:pPr>
            <w:r>
              <w:rPr>
                <w:rFonts w:ascii="Arial" w:cs="Arial" w:eastAsia="Arial" w:hAnsi="Arial"/>
                <w:sz w:val="18"/>
                <w:szCs w:val="18"/>
                <w:color w:val="auto"/>
                <w:w w:val="96"/>
              </w:rPr>
              <w:t>Marine equipment and fishing rods, reels,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baits and equipment</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Shooting sports</w:t>
            </w:r>
          </w:p>
        </w:tc>
        <w:tc>
          <w:tcPr>
            <w:tcW w:w="3200" w:type="dxa"/>
            <w:vAlign w:val="bottom"/>
          </w:tcPr>
          <w:p>
            <w:pPr>
              <w:spacing w:after="0"/>
              <w:rPr>
                <w:sz w:val="20"/>
                <w:szCs w:val="20"/>
                <w:color w:val="auto"/>
              </w:rPr>
            </w:pPr>
            <w:r>
              <w:rPr>
                <w:rFonts w:ascii="Arial" w:cs="Arial" w:eastAsia="Arial" w:hAnsi="Arial"/>
                <w:sz w:val="18"/>
                <w:szCs w:val="18"/>
                <w:color w:val="auto"/>
                <w:w w:val="92"/>
              </w:rPr>
              <w:t>Firearms, ammunition, archery and archery</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8"/>
              </w:rPr>
              <w:t>equipment, shooting accessories, optics,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airguns and hunting equipment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Sports and Recreation</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Team sports/fitness</w:t>
            </w:r>
          </w:p>
        </w:tc>
        <w:tc>
          <w:tcPr>
            <w:tcW w:w="3200" w:type="dxa"/>
            <w:vAlign w:val="bottom"/>
          </w:tcPr>
          <w:p>
            <w:pPr>
              <w:spacing w:after="0"/>
              <w:rPr>
                <w:sz w:val="20"/>
                <w:szCs w:val="20"/>
                <w:color w:val="auto"/>
              </w:rPr>
            </w:pPr>
            <w:r>
              <w:rPr>
                <w:rFonts w:ascii="Arial" w:cs="Arial" w:eastAsia="Arial" w:hAnsi="Arial"/>
                <w:sz w:val="18"/>
                <w:szCs w:val="18"/>
                <w:color w:val="auto"/>
                <w:w w:val="94"/>
              </w:rPr>
              <w:t>Baseball, football, basketball, soccer, golf,</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racket sports, volleyball, fitness equipment,</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fitness accessories and nutrition</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Recreation</w:t>
            </w:r>
          </w:p>
        </w:tc>
        <w:tc>
          <w:tcPr>
            <w:tcW w:w="3200" w:type="dxa"/>
            <w:vAlign w:val="bottom"/>
          </w:tcPr>
          <w:p>
            <w:pPr>
              <w:spacing w:after="0"/>
              <w:rPr>
                <w:sz w:val="20"/>
                <w:szCs w:val="20"/>
                <w:color w:val="auto"/>
              </w:rPr>
            </w:pPr>
            <w:r>
              <w:rPr>
                <w:rFonts w:ascii="Arial" w:cs="Arial" w:eastAsia="Arial" w:hAnsi="Arial"/>
                <w:sz w:val="18"/>
                <w:szCs w:val="18"/>
                <w:color w:val="auto"/>
                <w:w w:val="93"/>
              </w:rPr>
              <w:t>Patio equipment, wheeled goods (bicycles,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skateboards and other ride-on toys),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1"/>
              </w:rPr>
              <w:t>watersports, pet equipment, electronics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watches, and front-end (consumables,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batteries, etc.)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Apparel</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Outdoor and seasonal</w:t>
            </w:r>
          </w:p>
        </w:tc>
        <w:tc>
          <w:tcPr>
            <w:tcW w:w="3200" w:type="dxa"/>
            <w:vAlign w:val="bottom"/>
          </w:tcPr>
          <w:p>
            <w:pPr>
              <w:spacing w:after="0"/>
              <w:rPr>
                <w:sz w:val="20"/>
                <w:szCs w:val="20"/>
                <w:color w:val="auto"/>
              </w:rPr>
            </w:pPr>
            <w:r>
              <w:rPr>
                <w:rFonts w:ascii="Arial" w:cs="Arial" w:eastAsia="Arial" w:hAnsi="Arial"/>
                <w:sz w:val="18"/>
                <w:szCs w:val="18"/>
                <w:color w:val="auto"/>
                <w:w w:val="93"/>
              </w:rPr>
              <w:t>Outdoor apparel, seasonal apparel, denim,</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apparel</w:t>
            </w:r>
          </w:p>
        </w:tc>
        <w:tc>
          <w:tcPr>
            <w:tcW w:w="3200" w:type="dxa"/>
            <w:vAlign w:val="bottom"/>
          </w:tcPr>
          <w:p>
            <w:pPr>
              <w:spacing w:after="0"/>
              <w:rPr>
                <w:sz w:val="20"/>
                <w:szCs w:val="20"/>
                <w:color w:val="auto"/>
              </w:rPr>
            </w:pPr>
            <w:r>
              <w:rPr>
                <w:rFonts w:ascii="Arial" w:cs="Arial" w:eastAsia="Arial" w:hAnsi="Arial"/>
                <w:sz w:val="18"/>
                <w:szCs w:val="18"/>
                <w:color w:val="auto"/>
                <w:w w:val="92"/>
              </w:rPr>
              <w:t>work apparel, camouflage apparel, waders,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graphic t-shirts and accessories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Youth apparel</w:t>
            </w:r>
          </w:p>
        </w:tc>
        <w:tc>
          <w:tcPr>
            <w:tcW w:w="3200" w:type="dxa"/>
            <w:vAlign w:val="bottom"/>
          </w:tcPr>
          <w:p>
            <w:pPr>
              <w:spacing w:after="0"/>
              <w:rPr>
                <w:sz w:val="20"/>
                <w:szCs w:val="20"/>
                <w:color w:val="auto"/>
              </w:rPr>
            </w:pPr>
            <w:r>
              <w:rPr>
                <w:rFonts w:ascii="Arial" w:cs="Arial" w:eastAsia="Arial" w:hAnsi="Arial"/>
                <w:sz w:val="18"/>
                <w:szCs w:val="18"/>
                <w:color w:val="auto"/>
                <w:w w:val="93"/>
              </w:rPr>
              <w:t>Boys and girls outdoor and athletic apparel</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Athletic apparel</w:t>
            </w:r>
          </w:p>
        </w:tc>
        <w:tc>
          <w:tcPr>
            <w:tcW w:w="3200" w:type="dxa"/>
            <w:vAlign w:val="bottom"/>
          </w:tcPr>
          <w:p>
            <w:pPr>
              <w:spacing w:after="0"/>
              <w:rPr>
                <w:sz w:val="20"/>
                <w:szCs w:val="20"/>
                <w:color w:val="auto"/>
              </w:rPr>
            </w:pPr>
            <w:r>
              <w:rPr>
                <w:rFonts w:ascii="Arial" w:cs="Arial" w:eastAsia="Arial" w:hAnsi="Arial"/>
                <w:sz w:val="18"/>
                <w:szCs w:val="18"/>
                <w:color w:val="auto"/>
                <w:w w:val="99"/>
              </w:rPr>
              <w:t>Sporting apparel, apparel for fitness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exercise and other accessories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Licensed apparel</w:t>
            </w:r>
          </w:p>
        </w:tc>
        <w:tc>
          <w:tcPr>
            <w:tcW w:w="3200" w:type="dxa"/>
            <w:vAlign w:val="bottom"/>
          </w:tcPr>
          <w:p>
            <w:pPr>
              <w:spacing w:after="0"/>
              <w:rPr>
                <w:sz w:val="20"/>
                <w:szCs w:val="20"/>
                <w:color w:val="auto"/>
              </w:rPr>
            </w:pPr>
            <w:r>
              <w:rPr>
                <w:rFonts w:ascii="Arial" w:cs="Arial" w:eastAsia="Arial" w:hAnsi="Arial"/>
                <w:sz w:val="18"/>
                <w:szCs w:val="18"/>
                <w:color w:val="auto"/>
                <w:w w:val="96"/>
              </w:rPr>
              <w:t>Professional and collegiate team licensed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apparel and accessories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Footwear</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Work, casual and</w:t>
            </w:r>
          </w:p>
        </w:tc>
        <w:tc>
          <w:tcPr>
            <w:tcW w:w="3200" w:type="dxa"/>
            <w:vAlign w:val="bottom"/>
          </w:tcPr>
          <w:p>
            <w:pPr>
              <w:spacing w:after="0"/>
              <w:rPr>
                <w:sz w:val="20"/>
                <w:szCs w:val="20"/>
                <w:color w:val="auto"/>
              </w:rPr>
            </w:pPr>
            <w:r>
              <w:rPr>
                <w:rFonts w:ascii="Arial" w:cs="Arial" w:eastAsia="Arial" w:hAnsi="Arial"/>
                <w:sz w:val="18"/>
                <w:szCs w:val="18"/>
                <w:color w:val="auto"/>
              </w:rPr>
              <w:t>Casual shoes and slippers, work and</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youth footwear</w:t>
            </w:r>
          </w:p>
        </w:tc>
        <w:tc>
          <w:tcPr>
            <w:tcW w:w="3200" w:type="dxa"/>
            <w:vAlign w:val="bottom"/>
          </w:tcPr>
          <w:p>
            <w:pPr>
              <w:spacing w:after="0"/>
              <w:rPr>
                <w:sz w:val="20"/>
                <w:szCs w:val="20"/>
                <w:color w:val="auto"/>
              </w:rPr>
            </w:pPr>
            <w:r>
              <w:rPr>
                <w:rFonts w:ascii="Arial" w:cs="Arial" w:eastAsia="Arial" w:hAnsi="Arial"/>
                <w:sz w:val="18"/>
                <w:szCs w:val="18"/>
                <w:color w:val="auto"/>
                <w:w w:val="96"/>
              </w:rPr>
              <w:t>western boots, youth footwear, socks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hunting footwear</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Athletic footwear</w:t>
            </w:r>
          </w:p>
        </w:tc>
        <w:tc>
          <w:tcPr>
            <w:tcW w:w="3200" w:type="dxa"/>
            <w:vAlign w:val="bottom"/>
          </w:tcPr>
          <w:p>
            <w:pPr>
              <w:spacing w:after="0"/>
              <w:rPr>
                <w:sz w:val="20"/>
                <w:szCs w:val="20"/>
                <w:color w:val="auto"/>
              </w:rPr>
            </w:pPr>
            <w:r>
              <w:rPr>
                <w:rFonts w:ascii="Arial" w:cs="Arial" w:eastAsia="Arial" w:hAnsi="Arial"/>
                <w:sz w:val="18"/>
                <w:szCs w:val="18"/>
                <w:color w:val="auto"/>
                <w:w w:val="89"/>
              </w:rPr>
              <w:t>Running shoes, athletic shoes, sport specific</w:t>
            </w:r>
          </w:p>
        </w:tc>
      </w:tr>
      <w:tr>
        <w:trPr>
          <w:trHeight w:val="230"/>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shoes and training shoes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6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sets forth the approximate amount of sales by merchandise divisions for the periods presented (amounts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140" w:type="dxa"/>
            <w:vAlign w:val="bottom"/>
            <w:gridSpan w:val="4"/>
          </w:tcPr>
          <w:p>
            <w:pPr>
              <w:jc w:val="center"/>
              <w:ind w:left="262"/>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4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Merchandise division sales</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Outdoors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1,522,985</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Total merchandise sales</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60" w:hanging="424"/>
        <w:spacing w:after="0" w:line="255"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E-commerce sales consist of 5.1%, 4.9% and 4.0% of merchandise sales for 2019, 2018 and 2017, respectively.</w:t>
      </w:r>
    </w:p>
    <w:p>
      <w:pPr>
        <w:spacing w:after="0" w:line="9" w:lineRule="exact"/>
        <w:rPr>
          <w:rFonts w:ascii="Arial" w:cs="Arial" w:eastAsia="Arial" w:hAnsi="Arial"/>
          <w:sz w:val="18"/>
          <w:szCs w:val="18"/>
          <w:color w:val="auto"/>
        </w:rPr>
      </w:pPr>
    </w:p>
    <w:p>
      <w:pPr>
        <w:ind w:left="540" w:right="280" w:hanging="424"/>
        <w:spacing w:after="0" w:line="26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February 1, 2020, the number of stores that we operated by state was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State</w:t>
            </w:r>
          </w:p>
        </w:tc>
        <w:tc>
          <w:tcPr>
            <w:tcW w:w="60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Texas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Arkansas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61"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4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utilize data obtained from our CRM tools, which enable us to create effective customer-targeting strategies. Our current CRM programs focus on welcoming our first-time customers, thanking our big spenders,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Centers</w:t>
      </w:r>
    </w:p>
    <w:p>
      <w:pPr>
        <w:spacing w:after="0" w:line="121"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Team Members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October 31, 2020, we employed over 20,000 team members.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4400" w:type="dxa"/>
            <w:vAlign w:val="bottom"/>
            <w:vMerge w:val="restart"/>
          </w:tcPr>
          <w:p>
            <w:pPr>
              <w:spacing w:after="0"/>
              <w:rPr>
                <w:sz w:val="14"/>
                <w:szCs w:val="14"/>
                <w:color w:val="auto"/>
              </w:rPr>
            </w:pPr>
          </w:p>
        </w:tc>
        <w:tc>
          <w:tcPr>
            <w:tcW w:w="4160" w:type="dxa"/>
            <w:vAlign w:val="bottom"/>
            <w:gridSpan w:val="2"/>
            <w:vMerge w:val="restart"/>
          </w:tcPr>
          <w:p>
            <w:pPr>
              <w:ind w:left="1800"/>
              <w:spacing w:after="0"/>
              <w:rPr>
                <w:sz w:val="20"/>
                <w:szCs w:val="20"/>
                <w:color w:val="auto"/>
              </w:rPr>
            </w:pPr>
            <w:r>
              <w:rPr>
                <w:rFonts w:ascii="Arial" w:cs="Arial" w:eastAsia="Arial" w:hAnsi="Arial"/>
                <w:sz w:val="14"/>
                <w:szCs w:val="14"/>
                <w:b w:val="1"/>
                <w:bCs w:val="1"/>
                <w:color w:val="auto"/>
              </w:rPr>
              <w:t>Use</w:t>
            </w:r>
          </w:p>
        </w:tc>
        <w:tc>
          <w:tcPr>
            <w:tcW w:w="1920" w:type="dxa"/>
            <w:vAlign w:val="bottom"/>
            <w:gridSpan w:val="2"/>
          </w:tcPr>
          <w:p>
            <w:pPr>
              <w:jc w:val="right"/>
              <w:ind w:right="68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1920" w:type="dxa"/>
            <w:vAlign w:val="bottom"/>
            <w:gridSpan w:val="2"/>
          </w:tcPr>
          <w:p>
            <w:pPr>
              <w:jc w:val="right"/>
              <w:ind w:right="624"/>
              <w:spacing w:after="0" w:line="158" w:lineRule="exact"/>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Katy, Texas</w:t>
            </w:r>
          </w:p>
        </w:tc>
        <w:tc>
          <w:tcPr>
            <w:tcW w:w="3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Corporate Office Building 1</w:t>
            </w:r>
          </w:p>
        </w:tc>
        <w:tc>
          <w:tcPr>
            <w:tcW w:w="3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w:t>
            </w:r>
          </w:p>
        </w:tc>
        <w:tc>
          <w:tcPr>
            <w:tcW w:w="44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tcPr>
          <w:p>
            <w:pPr>
              <w:spacing w:after="0"/>
              <w:rPr>
                <w:sz w:val="20"/>
                <w:szCs w:val="20"/>
                <w:color w:val="auto"/>
              </w:rPr>
            </w:pPr>
            <w:r>
              <w:rPr>
                <w:rFonts w:ascii="Arial" w:cs="Arial" w:eastAsia="Arial" w:hAnsi="Arial"/>
                <w:sz w:val="18"/>
                <w:szCs w:val="18"/>
                <w:color w:val="auto"/>
              </w:rPr>
              <w:t>Corporate Office Building 2</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200,000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Bulk Warehouse</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200,000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1,400,000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Twiggs County, Georgia</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1,600,000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Cookeville, Tennessee</w:t>
            </w:r>
          </w:p>
        </w:tc>
        <w:tc>
          <w:tcPr>
            <w:tcW w:w="4160" w:type="dxa"/>
            <w:vAlign w:val="bottom"/>
            <w:gridSpan w:val="2"/>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1,600,000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Kowloon, Hong Kong</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Sourcing Office</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5,000</w:t>
            </w: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20-year lease entered in 2007.</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20-year lease entered in 2015.</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20-year lease entered in 2012.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20-year lease entered in 2016.</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Three-year lease entered in 2017.</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Governmental Regulations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76" w:lineRule="exact"/>
        <w:rPr>
          <w:sz w:val="20"/>
          <w:szCs w:val="20"/>
          <w:color w:val="auto"/>
        </w:rPr>
      </w:pPr>
    </w:p>
    <w:p>
      <w:pPr>
        <w:ind w:left="5500" w:right="4920" w:hanging="4844"/>
        <w:spacing w:after="0" w:line="490" w:lineRule="auto"/>
        <w:tabs>
          <w:tab w:leader="none" w:pos="10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consumer product safety, product liability or consumer protection laws; 111</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ADA and similar state and local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website design and content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FCPA, UKBA and other anti-corruption 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On October 6, 2020, the Supreme Court of Texas heard oral arguments relating to our motions for summary judgment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320" w:top="459" w:right="5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Below is a list of our executive officers and directors, their respective ages as of October 31, 2020 and a brief account of the business experience of each of them.</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Ken</w:t>
            </w:r>
          </w:p>
        </w:tc>
        <w:tc>
          <w:tcPr>
            <w:tcW w:w="4260" w:type="dxa"/>
            <w:vAlign w:val="bottom"/>
          </w:tcPr>
          <w:p>
            <w:pPr>
              <w:spacing w:after="0" w:line="189" w:lineRule="exact"/>
              <w:rPr>
                <w:sz w:val="20"/>
                <w:szCs w:val="20"/>
                <w:color w:val="auto"/>
              </w:rPr>
            </w:pPr>
            <w:r>
              <w:rPr>
                <w:rFonts w:ascii="Arial" w:cs="Arial" w:eastAsia="Arial" w:hAnsi="Arial"/>
                <w:sz w:val="18"/>
                <w:szCs w:val="18"/>
                <w:color w:val="auto"/>
              </w:rPr>
              <w:t>C. Hicks</w:t>
            </w:r>
          </w:p>
        </w:tc>
        <w:tc>
          <w:tcPr>
            <w:tcW w:w="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6"/>
                <w:szCs w:val="16"/>
                <w:color w:val="auto"/>
              </w:rPr>
            </w:pPr>
          </w:p>
        </w:tc>
        <w:tc>
          <w:tcPr>
            <w:tcW w:w="60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24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Steven P. Lawrence</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and Chief Merchandising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Samuel J. Johnson</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Retail Operations</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Kenneth D. Attaway*</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Chief Operating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William S. Ennis</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Chief Human Resources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Manish Maini</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Chief Information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Jamey Traywick Rutherford</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Omnichannel</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Rene G. Casares</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Wendy A. Beck</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Brian T. Marley</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Vishal V. Patel</w:t>
            </w:r>
          </w:p>
        </w:tc>
        <w:tc>
          <w:tcPr>
            <w:tcW w:w="240" w:type="dxa"/>
            <w:vAlign w:val="bottom"/>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Allen I. Questrom</w:t>
            </w:r>
          </w:p>
        </w:tc>
        <w:tc>
          <w:tcPr>
            <w:tcW w:w="240" w:type="dxa"/>
            <w:vAlign w:val="bottom"/>
          </w:tcPr>
          <w:p>
            <w:pPr>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William S. Simon</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Nathaniel H. Taylor</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Jeffrey C. Tweedy</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Aileen X. Yan</w:t>
            </w:r>
          </w:p>
        </w:tc>
        <w:tc>
          <w:tcPr>
            <w:tcW w:w="24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Mr. Attaway will cease to serve in the role of chief operating officer and will terminate employment with the Company, effective January 29, 2021.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Ken C. Hicks </w:t>
      </w:r>
      <w:r>
        <w:rPr>
          <w:rFonts w:ascii="Arial" w:cs="Arial" w:eastAsia="Arial" w:hAnsi="Arial"/>
          <w:sz w:val="16"/>
          <w:szCs w:val="16"/>
          <w:color w:val="auto"/>
        </w:rPr>
        <w:t>has served as the Chairman and our President and Chief Executive Officer since May 2018. Mr. Hicks has served as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i w:val="1"/>
          <w:iCs w:val="1"/>
          <w:color w:val="auto"/>
        </w:rPr>
        <w:t xml:space="preserve">Michael P. Mullican </w:t>
      </w:r>
      <w:r>
        <w:rPr>
          <w:rFonts w:ascii="Arial" w:cs="Arial" w:eastAsia="Arial" w:hAnsi="Arial"/>
          <w:sz w:val="18"/>
          <w:szCs w:val="18"/>
          <w:color w:val="auto"/>
        </w:rPr>
        <w:t>has served as our Executive Vice President and Chief Financial Officer since January 2018. He previously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Horizon Lines, Inc. Mr. Mullican holds a Bachelor of Arts in Communication from North Carolina State University and a Juris Doctor degree from the University of Chicago Law School.</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b w:val="1"/>
          <w:bCs w:val="1"/>
          <w:i w:val="1"/>
          <w:iCs w:val="1"/>
          <w:color w:val="auto"/>
        </w:rPr>
        <w:t xml:space="preserve">Steven (Steve) P. Lawrence </w:t>
      </w:r>
      <w:r>
        <w:rPr>
          <w:rFonts w:ascii="Arial" w:cs="Arial" w:eastAsia="Arial" w:hAnsi="Arial"/>
          <w:sz w:val="16"/>
          <w:szCs w:val="16"/>
          <w:color w:val="auto"/>
        </w:rPr>
        <w:t>has served as our Executive Vice President and Chief Merchandising Officer since joining the Academy Sports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Outdoors 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Samuel (Sam) J. Johnson </w:t>
      </w:r>
      <w:r>
        <w:rPr>
          <w:rFonts w:ascii="Arial" w:cs="Arial" w:eastAsia="Arial" w:hAnsi="Arial"/>
          <w:sz w:val="18"/>
          <w:szCs w:val="18"/>
          <w:color w:val="auto"/>
        </w:rPr>
        <w:t>has served as our Executive Vice President, Retail Operations since joining the Academy Sports + Outdoors team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88" w:lineRule="exact"/>
        <w:rPr>
          <w:sz w:val="20"/>
          <w:szCs w:val="20"/>
          <w:color w:val="auto"/>
        </w:rPr>
      </w:pPr>
    </w:p>
    <w:p>
      <w:pPr>
        <w:ind w:left="120" w:right="640" w:firstLine="440"/>
        <w:spacing w:after="0" w:line="291" w:lineRule="auto"/>
        <w:rPr>
          <w:sz w:val="20"/>
          <w:szCs w:val="20"/>
          <w:color w:val="auto"/>
        </w:rPr>
      </w:pPr>
      <w:r>
        <w:rPr>
          <w:rFonts w:ascii="Arial" w:cs="Arial" w:eastAsia="Arial" w:hAnsi="Arial"/>
          <w:sz w:val="16"/>
          <w:szCs w:val="16"/>
          <w:b w:val="1"/>
          <w:bCs w:val="1"/>
          <w:i w:val="1"/>
          <w:iCs w:val="1"/>
          <w:color w:val="auto"/>
        </w:rPr>
        <w:t xml:space="preserve">Kenneth (Ken) D. Attaway </w:t>
      </w:r>
      <w:r>
        <w:rPr>
          <w:rFonts w:ascii="Arial" w:cs="Arial" w:eastAsia="Arial" w:hAnsi="Arial"/>
          <w:sz w:val="16"/>
          <w:szCs w:val="16"/>
          <w:color w:val="auto"/>
        </w:rPr>
        <w:t>has served as our Executive Vice President, Chief Operating Officer since October 2013, currently overseeing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and Logistics, Real Estate, Construction, Facilities/Maintenance, Procurement and Enterprise Program Management Office.</w:t>
      </w:r>
    </w:p>
    <w:p>
      <w:pPr>
        <w:ind w:left="120" w:right="160"/>
        <w:spacing w:after="0" w:line="253" w:lineRule="auto"/>
        <w:rPr>
          <w:sz w:val="20"/>
          <w:szCs w:val="20"/>
          <w:color w:val="auto"/>
        </w:rPr>
      </w:pPr>
      <w:r>
        <w:rPr>
          <w:rFonts w:ascii="Arial" w:cs="Arial" w:eastAsia="Arial" w:hAnsi="Arial"/>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9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William (Bill) S. Ennis </w:t>
      </w:r>
      <w:r>
        <w:rPr>
          <w:rFonts w:ascii="Arial" w:cs="Arial" w:eastAsia="Arial" w:hAnsi="Arial"/>
          <w:sz w:val="18"/>
          <w:szCs w:val="18"/>
          <w:color w:val="auto"/>
        </w:rPr>
        <w:t>has served as our Senior Vice President, Chief Human Resources Officer since March 2016. Mr. Ennis joined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9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Manish Maini </w:t>
      </w:r>
      <w:r>
        <w:rPr>
          <w:rFonts w:ascii="Arial" w:cs="Arial" w:eastAsia="Arial" w:hAnsi="Arial"/>
          <w:sz w:val="16"/>
          <w:szCs w:val="16"/>
          <w:color w:val="auto"/>
        </w:rPr>
        <w:t>has served as our Senior Vice President, Chief Information Officer since joining the Academy Sports + Outdoors team in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Jamey Traywick Rutherford </w:t>
      </w:r>
      <w:r>
        <w:rPr>
          <w:rFonts w:ascii="Arial" w:cs="Arial" w:eastAsia="Arial" w:hAnsi="Arial"/>
          <w:sz w:val="18"/>
          <w:szCs w:val="18"/>
          <w:color w:val="auto"/>
        </w:rPr>
        <w:t>has served as our Senior Vice President, Omnichannel since joining the Academy Sports + Outdoors team in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Rene G. Casares </w:t>
      </w:r>
      <w:r>
        <w:rPr>
          <w:rFonts w:ascii="Arial" w:cs="Arial" w:eastAsia="Arial" w:hAnsi="Arial"/>
          <w:sz w:val="17"/>
          <w:szCs w:val="17"/>
          <w:color w:val="auto"/>
        </w:rPr>
        <w:t>has served as our Senior Vice President, General Counsel and Secretary since March 2018. He joined the company in July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Wendy A Beck </w:t>
      </w:r>
      <w:r>
        <w:rPr>
          <w:rFonts w:ascii="Arial" w:cs="Arial" w:eastAsia="Arial" w:hAnsi="Arial"/>
          <w:sz w:val="17"/>
          <w:szCs w:val="17"/>
          <w:color w:val="auto"/>
        </w:rPr>
        <w:t>has served as a member of the board of directors of Academy Sports and Outdoors, Inc. since December 2020. Ms. Beck,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Certified Public Accountant, most recently served as Executive Vice President and Chief Financial Officer for Norwegian Cruise Line Holdings, Inc. until March 2018. Prior to that, Ms. Beck served as Executive Vice President and Chief Financial Officer of Domino’s Pizza Inc. from 2008 to 2010, as Senior Vice President, Chief Financial Officer and Treasurer of Whataburger Restaurants, LP from 2004 through 2008 and as their Vice President and Chief Accounting Officer from 2001 through 2004, and as Vice President, Chief Financial Officer and Treasurer of Checkers Drive-In Restaurants, Inc. from 2000 through 2001. Ms. Beck has served on the board of directors and the compensation committee of Bloomin’ Brands, Inc. since February 2018 and on the board of directors and has chaired the audit committee of At Home Group Inc. since September 2014. Ms. Beck previously served on the board of directors and the audit committee of SpartanNash Company from September 2010 to December 2013. We believe Ms. Beck’s qualifications to serve on our board of directors include her executive leadership and management experience related to the retail industry and her extensive financial experience.</w:t>
      </w:r>
    </w:p>
    <w:p>
      <w:pPr>
        <w:spacing w:after="0" w:line="18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Brian T. Marley </w:t>
      </w:r>
      <w:r>
        <w:rPr>
          <w:rFonts w:ascii="Arial" w:cs="Arial" w:eastAsia="Arial" w:hAnsi="Arial"/>
          <w:sz w:val="18"/>
          <w:szCs w:val="18"/>
          <w:color w:val="auto"/>
        </w:rPr>
        <w:t>has served as a member of the board of managers of New Academy Holding Company, LLC since January 2018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20 years, during which he was a partner for 7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Vishal V. Patel </w:t>
      </w:r>
      <w:r>
        <w:rPr>
          <w:rFonts w:ascii="Arial" w:cs="Arial" w:eastAsia="Arial" w:hAnsi="Arial"/>
          <w:sz w:val="18"/>
          <w:szCs w:val="18"/>
          <w:color w:val="auto"/>
        </w:rPr>
        <w:t>has served as a member of the board of managers of New Academy Holding Company, LLC since May 2015 and as a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of Academy Sports and Outdoors, Inc. since June 2020. Mr. Patel is a member of the Healthcare and Retail and Consumer teams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9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Allen I. Questrom </w:t>
      </w:r>
      <w:r>
        <w:rPr>
          <w:rFonts w:ascii="Arial" w:cs="Arial" w:eastAsia="Arial" w:hAnsi="Arial"/>
          <w:sz w:val="17"/>
          <w:szCs w:val="17"/>
          <w:color w:val="auto"/>
        </w:rPr>
        <w:t>has served on the board of directors of Academy Sports and Outdoors, Inc. since October 2020 and as lead director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2020. Mr. Questrom has served on the board of advisors of the Robin Report since January 2010, and as a Trustee of Boston University since September 2006. He served on the board of directors of At Home Group, Inc. from March 2012 to June 2020, Tailored Brands Inc. from August 2013 to June 2017, Sotheby’s from December 2004 to June 2014, Foot Locker, Inc. from February 2011 to May 2013 and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Walmart Inc. from June 2007 to June 2009. He served as a Senior Advisor for Lee Equity Partners from June 2006 to January 2018. From September 2000 through December 2004, he was the Chairman and Chief Executive Officer of J.C. Penney Company, Inc. He served on the board of Barneys New York, Inc. beginning in January 1999 and as President and Chief Executive Officer from May 1999 until September 2000 and as Chairman of the Board from May 1999 until January 2001. He was Chairman and CEO of Federated Department Stores, Inc. (now Macy’s) from February 1990 to May 1997. Mr. Questrom was Chairman and Chief Executive Officer of Neiman Marcus, Inc. from 1988 to 1990. Mr. Questrom graduated from Boston University with a Bachelor of Science in Finance and Marketing. We believe Mr. Questrom’s qualifications to serve on our board of directors include his executive leadership and management experience related to the retail industry.</w:t>
      </w:r>
    </w:p>
    <w:p>
      <w:pPr>
        <w:spacing w:after="0" w:line="1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William (Bill) S. Simon </w:t>
      </w:r>
      <w:r>
        <w:rPr>
          <w:rFonts w:ascii="Arial" w:cs="Arial" w:eastAsia="Arial" w:hAnsi="Arial"/>
          <w:sz w:val="16"/>
          <w:szCs w:val="16"/>
          <w:color w:val="auto"/>
        </w:rPr>
        <w:t>has served as a member of the board of managers of New Academy Holding Company, LLC since September 2016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the board of directors of Academy Sports and Outdoors, Inc. since June 2020. Mr. Simon has also served on the board of directors of Darden Restaurants Inc. since July 2012, Chico’s FAS, Inc. since July 2016 and GameStop Corp. since March 2020. He served on the board of directors of Agrium Inc. from February 2016 to May 2017 and on the board of directors of Anixter International Inc. from March 2019 to June 2020. Mr. Simon was the President and CEO of Walmart U.S. from 2010 to 2014, and previously was appointed the COO of Walmart U.S. in 2007. Prior to joining Walmart, Mr. Simon held several senior positions at Brinker International, Diageo, Cadbury-Schweppes, PepsiCo and RJR-Nabisco. He also served in the public sector as Secretary of the Florida Department of Management Services, appointed by Governor Jeb Bush. Mr. Simon is currently a senior advisor to KKR.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6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Nathaniel (Nate) H. Taylor </w:t>
      </w:r>
      <w:r>
        <w:rPr>
          <w:rFonts w:ascii="Arial" w:cs="Arial" w:eastAsia="Arial" w:hAnsi="Arial"/>
          <w:sz w:val="16"/>
          <w:szCs w:val="16"/>
          <w:color w:val="auto"/>
        </w:rPr>
        <w:t>has served as a member of the board of managers of New Academy Holding Company, LLC since August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as Chairman from June 2015 to May 2018, and as a member of the board of directors of Academy Sports and Outdoors, Inc. since June 2020. Mr. Taylor co-heads the Americas Private Equity at KKR and serves on the Investment Committee within KKR’s Americas Private Equity platform. Mr. Taylor has also served on the board of directors of US Foods Holding Corp. since May 2020 and served on the board of directors of National Vision Holdings, Inc. from February 2014 to September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 significant business, financial and investment experience related to the retail industry and prior involvement with KKR’s investment in the Company.</w:t>
      </w:r>
    </w:p>
    <w:p>
      <w:pPr>
        <w:spacing w:after="0" w:line="16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b w:val="1"/>
          <w:bCs w:val="1"/>
          <w:i w:val="1"/>
          <w:iCs w:val="1"/>
          <w:color w:val="auto"/>
        </w:rPr>
        <w:t xml:space="preserve">Jeffrey C. Tweedy </w:t>
      </w:r>
      <w:r>
        <w:rPr>
          <w:rFonts w:ascii="Arial" w:cs="Arial" w:eastAsia="Arial" w:hAnsi="Arial"/>
          <w:sz w:val="17"/>
          <w:szCs w:val="17"/>
          <w:color w:val="auto"/>
        </w:rPr>
        <w:t>has served on the board of directors of Academy Sports and Outdoors, Inc. since October 2020. Mr. Tweedy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Sean John Clothing since November 2007, where he previously served as Executive Vice President from February 1998 to March 2005. He serves on the board of The Piney Woods School since February 2019, and the advisory board of the Fashion Institute of Technology since January 2020, where he previously studied Menswear Design and Marketing. He served as Vice President of Karl Kani Jeans from March 1993 to June 1996. Mr. Tweedy served as Vice President of Spike Lee from February 1992 to June 1993 and as East Coast Sales Manager of Ralph Lauren Womenswear from February 1990 to December 1992. We believe Mr. Tweedy’s qualifications to serve on our board of directors include his extensive executive leadership and management experience related to the retail industry.</w:t>
      </w:r>
    </w:p>
    <w:p>
      <w:pPr>
        <w:spacing w:after="0" w:line="17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Aileen X. Yan </w:t>
      </w:r>
      <w:r>
        <w:rPr>
          <w:rFonts w:ascii="Arial" w:cs="Arial" w:eastAsia="Arial" w:hAnsi="Arial"/>
          <w:sz w:val="17"/>
          <w:szCs w:val="17"/>
          <w:color w:val="auto"/>
        </w:rPr>
        <w:t>has served as a member of the board of managers of New Academy Holding Company, LLC since November 2019 and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amended and restated certificate of incorporation provides for a classified board of directors, with three directors in Class I (Nathaniel H. Taylor, William S. Simon and Brian T. Marley), three directors in Class II (Aileen X. Yan, Allen I. Questrom and Wendy A. Beck) and three directors in Class III (Ken C. Hicks, Vishal V. Patel and Jeffrey C. Tweedy). See “Description of Capital Stock.”</w:t>
      </w:r>
    </w:p>
    <w:p>
      <w:pPr>
        <w:spacing w:after="0" w:line="18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In addition, pursuant to the stockholders agreement, KKR Stockholders have the right to designate nominees to our board of directors subject to the maintenance of certain ownership requirements in us. See “Certain Relationships and Related Party Transactions—Stockholders Agreement.”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Exemption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KKR Stockholders, who are parties to the stockholders agreement, beneficially own shares representing more than 50% of the voting power of our shares eligible to vote in the election of directors. As a result, we are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w:t>
      </w:r>
    </w:p>
    <w:p>
      <w:pPr>
        <w:spacing w:after="0" w:line="1" w:lineRule="exact"/>
        <w:rPr>
          <w:sz w:val="20"/>
          <w:szCs w:val="20"/>
          <w:color w:val="auto"/>
        </w:rPr>
      </w:pPr>
    </w:p>
    <w:p>
      <w:pPr>
        <w:ind w:left="120" w:right="420" w:hanging="4"/>
        <w:spacing w:after="0" w:line="253"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w:t>
      </w:r>
    </w:p>
    <w:p>
      <w:pPr>
        <w:spacing w:after="0" w:line="193"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Accordingly, you will not have the same protections afforded to stockholders of companies that are subject to all of these corporate governance requirements. In the event that we cease to be a “controlled company” and our shares continue to be listed on Nasdaq,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261" w:lineRule="exact"/>
        <w:rPr>
          <w:sz w:val="20"/>
          <w:szCs w:val="20"/>
          <w:color w:val="auto"/>
        </w:rPr>
      </w:pPr>
    </w:p>
    <w:p>
      <w:pPr>
        <w:ind w:left="120" w:right="4800"/>
        <w:spacing w:after="0" w:line="400" w:lineRule="auto"/>
        <w:rPr>
          <w:sz w:val="20"/>
          <w:szCs w:val="20"/>
          <w:color w:val="auto"/>
        </w:rPr>
      </w:pPr>
      <w:r>
        <w:rPr>
          <w:rFonts w:ascii="Arial" w:cs="Arial" w:eastAsia="Arial" w:hAnsi="Arial"/>
          <w:sz w:val="17"/>
          <w:szCs w:val="17"/>
          <w:b w:val="1"/>
          <w:bCs w:val="1"/>
          <w:color w:val="auto"/>
        </w:rPr>
        <w:t xml:space="preserve">Board Leadership Structure and Our Board of Director’s Role in Risk Oversight </w:t>
      </w:r>
      <w:r>
        <w:rPr>
          <w:rFonts w:ascii="Arial" w:cs="Arial" w:eastAsia="Arial" w:hAnsi="Arial"/>
          <w:sz w:val="17"/>
          <w:szCs w:val="17"/>
          <w:i w:val="1"/>
          <w:iCs w:val="1"/>
          <w:color w:val="auto"/>
        </w:rPr>
        <w:t>Committees of Our Board of Directors and Board Leadership Structure</w:t>
      </w:r>
    </w:p>
    <w:p>
      <w:pPr>
        <w:ind w:left="120" w:right="40" w:firstLine="440"/>
        <w:spacing w:after="0" w:line="308" w:lineRule="auto"/>
        <w:rPr>
          <w:sz w:val="20"/>
          <w:szCs w:val="20"/>
          <w:color w:val="auto"/>
        </w:rPr>
      </w:pPr>
      <w:r>
        <w:rPr>
          <w:rFonts w:ascii="Arial" w:cs="Arial" w:eastAsia="Arial" w:hAnsi="Arial"/>
          <w:sz w:val="17"/>
          <w:szCs w:val="17"/>
          <w:color w:val="auto"/>
        </w:rPr>
        <w:t>The standing committees of our board of directors consist of an Audit Committee, a Compensation Committee and a Nominating and Governance Committee. Our board of directors may also establish from time to time any other committees that it deems necessary or desirable.</w:t>
      </w:r>
    </w:p>
    <w:p>
      <w:pPr>
        <w:spacing w:after="0" w:line="14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chief executive officer and other executive officers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In addition, pursuant to our Corporate Governance Guidelines, whenever the chairperson of the board does not qualify as an independent director, the independent directors may elect from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among themselves a lead director of the board. Accordingly, in December 2020, the independent directors appointed Allen I. Questrom to serve as lead director. Key responsibilities of our lead director include, among others, presiding at executive sessions of independent directors, facilitating communications between the independent directors and the chairperson of the board and our management team, and calling meetings of the independent directors, as necessary. We believe that the leadership structure of our board of directors provides appropriate risk oversight of our activities given the controlling interests held by KKR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an Audit Committee, consisting of Brian T. Marley, who serves as the Chair, and Wendy A. Beck and Allen I. Questrom. Each of Ms. Beck and Mr. Questrom qualifies as an independent director under the corporate governance standards of Nasdaq and the independence requirements of Rule 10A-3 of the Securities Exchange Act of 1934, as amended, or the Exchange Act. Our board of directors has determined that each of Ms. Beck and Messrs. Marley and Questrom qualifies as an “audit committee financial expert” as such term is defined in Item 407(d)(5) of Regulation S-K.</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purpose of the Audit Committee will be to prepare the audit committee report required by the SEC to be included in our proxy statement and to assist our board of directors in overseeing:</w:t>
      </w:r>
    </w:p>
    <w:p>
      <w:pPr>
        <w:spacing w:after="0" w:line="76"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accounting, financial reporting and disclosure processes;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adequacy and soundness of systems of disclosure and internal control established by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 and the annual independent audit of our consolidated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in connection with the foregoing;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compliance with our Code of Conduct;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overall risk management profile.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adopted a written charter for the Audit Committee, which is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 Compensation Committee, consisting of William S. Simon, Jeffrey C. Tweedy and Nathaniel H. Taylor, who serves as the Chair.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setting our compensation program and compensation of our executive officers, directors and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monitoring our incentive compensation and equity-based compensation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succession planning for our executive officers, directors and key personnel;</w:t>
      </w:r>
    </w:p>
    <w:p>
      <w:pPr>
        <w:spacing w:after="0" w:line="130" w:lineRule="exact"/>
        <w:rPr>
          <w:rFonts w:ascii="Arial" w:cs="Arial" w:eastAsia="Arial" w:hAnsi="Arial"/>
          <w:sz w:val="18"/>
          <w:szCs w:val="18"/>
          <w:color w:val="auto"/>
        </w:rPr>
      </w:pPr>
    </w:p>
    <w:p>
      <w:pPr>
        <w:ind w:left="5500" w:right="20" w:hanging="4844"/>
        <w:spacing w:after="0" w:line="449" w:lineRule="auto"/>
        <w:tabs>
          <w:tab w:leader="none" w:pos="10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compliance with the compensation rules, regulations and guidelines promulgated by Nasdaq, the SEC and other law, as applicable; and 119</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firstLine="96"/>
        <w:spacing w:after="0" w:line="573" w:lineRule="auto"/>
        <w:tabs>
          <w:tab w:leader="none" w:pos="1092"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preparing the compensation committee report required to be included in our proxy statement under the rules and regulations of the SEC. Our board of directors adopted a written charter for the Compensation Committee, which is available on our website.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Governance Committee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a Nominating and Governance Committee, consisting of Nathaniel H. Taylor, Jeffrey C. Tweedy and Allen I. Questrom, who serves as the Chair.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Nominating and Governance Committee is to:</w:t>
      </w:r>
    </w:p>
    <w:p>
      <w:pPr>
        <w:spacing w:after="0" w:line="131"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advise our board of directors concerning the appropriate composition of our board of directors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 individuals qualified to become members of our board of directors;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 to our board of directors the persons to be nominated by our board of directors for election as directors at any meeting of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recommend to our board of directors the members of our board of directors to serve on the various committees of our board of directors;</w:t>
      </w:r>
    </w:p>
    <w:p>
      <w:pPr>
        <w:spacing w:after="0" w:line="153"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 and recommend to our board of directors a set of corporate governance guidelines and assist our board of directors in complying with them;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 the evaluation of our board of directors, our board of directors’ committees, and management.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adopted a written charter for the Nominating and Governance Committee, which is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6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are parties to certain transactions with KKR Stockholders and their affiliates and certain of our directors described in the section of this prospectus entitled “Certain Relationships and Related Party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Code of Ethics and Business Conduct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adopted a new Code of Ethics and Business Conduct that applies to all of our directors, officers and team members, including our chief executive officer and chief financial and accounting officer. Our Code of Ethics and Business Conduct is available on our website. Our Code of Ethics and Business Conduct is a “code of ethics,” as defined in Item 406(b) of Regulation S-K. We will make any legally required disclosures regarding amendments to, or waivers of, provisions of our code of ethics on our website.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Named Executive Officers for 2019 were:</w:t>
      </w:r>
    </w:p>
    <w:p>
      <w:pPr>
        <w:spacing w:after="0" w:line="131"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Ken C. Hicks, </w:t>
      </w:r>
      <w:r>
        <w:rPr>
          <w:rFonts w:ascii="Arial" w:cs="Arial" w:eastAsia="Arial" w:hAnsi="Arial"/>
          <w:sz w:val="18"/>
          <w:szCs w:val="18"/>
          <w:i w:val="1"/>
          <w:iCs w:val="1"/>
          <w:color w:val="auto"/>
        </w:rPr>
        <w:t>Chairman, President, and Chief Executive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Michael P. Mullican, </w:t>
      </w:r>
      <w:r>
        <w:rPr>
          <w:rFonts w:ascii="Arial" w:cs="Arial" w:eastAsia="Arial" w:hAnsi="Arial"/>
          <w:sz w:val="18"/>
          <w:szCs w:val="18"/>
          <w:i w:val="1"/>
          <w:iCs w:val="1"/>
          <w:color w:val="auto"/>
        </w:rPr>
        <w:t>Executive Vice President, Chief Financial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Steven (Steve) P. Lawrence, </w:t>
      </w:r>
      <w:r>
        <w:rPr>
          <w:rFonts w:ascii="Arial" w:cs="Arial" w:eastAsia="Arial" w:hAnsi="Arial"/>
          <w:sz w:val="18"/>
          <w:szCs w:val="18"/>
          <w:i w:val="1"/>
          <w:iCs w:val="1"/>
          <w:color w:val="auto"/>
        </w:rPr>
        <w:t>Executive Vice President, Chief Merchandising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Samuel (Sam) J. Johnson, </w:t>
      </w:r>
      <w:r>
        <w:rPr>
          <w:rFonts w:ascii="Arial" w:cs="Arial" w:eastAsia="Arial" w:hAnsi="Arial"/>
          <w:sz w:val="18"/>
          <w:szCs w:val="18"/>
          <w:i w:val="1"/>
          <w:iCs w:val="1"/>
          <w:color w:val="auto"/>
        </w:rPr>
        <w:t>Executive Vice President, Retail Operations;</w:t>
      </w:r>
      <w:r>
        <w:rPr>
          <w:rFonts w:ascii="Arial" w:cs="Arial" w:eastAsia="Arial" w:hAnsi="Arial"/>
          <w:sz w:val="18"/>
          <w:szCs w:val="18"/>
          <w:color w:val="auto"/>
        </w:rPr>
        <w:t xml:space="preser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Kenneth (Ken) D. Attaway, </w:t>
      </w:r>
      <w:r>
        <w:rPr>
          <w:rFonts w:ascii="Arial" w:cs="Arial" w:eastAsia="Arial" w:hAnsi="Arial"/>
          <w:sz w:val="18"/>
          <w:szCs w:val="18"/>
          <w:i w:val="1"/>
          <w:iCs w:val="1"/>
          <w:color w:val="auto"/>
        </w:rPr>
        <w:t>Executive Vice President, Chief Operations Officer</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We Are and 2019 Business Performance Highlights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Highlights from 2019 include:</w:t>
      </w:r>
    </w:p>
    <w:p>
      <w:pPr>
        <w:spacing w:after="0" w:line="131" w:lineRule="exact"/>
        <w:rPr>
          <w:sz w:val="20"/>
          <w:szCs w:val="20"/>
          <w:color w:val="auto"/>
        </w:rPr>
      </w:pPr>
    </w:p>
    <w:p>
      <w:pPr>
        <w:ind w:left="1080" w:right="60" w:hanging="424"/>
        <w:spacing w:after="0" w:line="301"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generated $4.8 billion of net sales, $120 million of net income, $323 million of Adjusted EBITDA (a $23 million increase over 2018), $197 million of Adjusted Free Cash Flow, and return on invested capital, or ROIC Percentage, of 14.3%. See “Summary—Summary Historical Consolidated Financial and Other Data” for the definitions of Adjusted EBITDA and Adjusted Free Cash Flow and reconciliations of Adjusted EBITDA to net income and Adjusted Free Cash Flow to net cash provided by (used in) operating activities.</w:t>
      </w:r>
    </w:p>
    <w:p>
      <w:pPr>
        <w:spacing w:after="0" w:line="62"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estimate that we served 30 million customers and completed approximately 80 million transactions resulting in strong household penetration in our core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rolled out BOPIS to all locations, which accounted for approximately 24% of our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3" w:lineRule="exact"/>
        <w:rPr>
          <w:sz w:val="20"/>
          <w:szCs w:val="20"/>
          <w:color w:val="auto"/>
        </w:rPr>
      </w:pPr>
    </w:p>
    <w:p>
      <w:pPr>
        <w:ind w:left="1080" w:right="260" w:hanging="424"/>
        <w:spacing w:after="0" w:line="31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Market Competitive</w:t>
      </w:r>
      <w:r>
        <w:rPr>
          <w:rFonts w:ascii="Arial" w:cs="Arial" w:eastAsia="Arial" w:hAnsi="Arial"/>
          <w:sz w:val="16"/>
          <w:szCs w:val="16"/>
          <w:color w:val="auto"/>
        </w:rPr>
        <w:t>: Compensation levels and programs for executive officers, including our Named Executive Officers,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54" w:lineRule="exact"/>
        <w:rPr>
          <w:rFonts w:ascii="Arial" w:cs="Arial" w:eastAsia="Arial" w:hAnsi="Arial"/>
          <w:sz w:val="16"/>
          <w:szCs w:val="16"/>
          <w:color w:val="auto"/>
        </w:rPr>
      </w:pPr>
    </w:p>
    <w:p>
      <w:pPr>
        <w:ind w:left="1080" w:right="40" w:hanging="424"/>
        <w:spacing w:after="0" w:line="275"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Performance-Based</w:t>
      </w:r>
      <w:r>
        <w:rPr>
          <w:rFonts w:ascii="Arial" w:cs="Arial" w:eastAsia="Arial" w:hAnsi="Arial"/>
          <w:sz w:val="17"/>
          <w:szCs w:val="17"/>
          <w:color w:val="auto"/>
        </w:rPr>
        <w:t>: We believe in a pay-for-performance compensation philosophy which targets our team members to be paid at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1"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Equityholder Aligned</w:t>
      </w:r>
      <w:r>
        <w:rPr>
          <w:rFonts w:ascii="Arial" w:cs="Arial" w:eastAsia="Arial" w:hAnsi="Arial"/>
          <w:sz w:val="18"/>
          <w:szCs w:val="18"/>
          <w:color w:val="auto"/>
        </w:rPr>
        <w:t>: Incentives should be structured to create a strong alignment between executive officers and equityholders on both a</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and a long-term basis.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93" w:lineRule="exact"/>
        <w:rPr>
          <w:sz w:val="20"/>
          <w:szCs w:val="20"/>
          <w:color w:val="auto"/>
        </w:rPr>
      </w:pPr>
    </w:p>
    <w:p>
      <w:pPr>
        <w:ind w:left="1900"/>
        <w:spacing w:after="0"/>
        <w:tabs>
          <w:tab w:leader="none" w:pos="6580" w:val="left"/>
        </w:tabs>
        <w:rPr>
          <w:sz w:val="20"/>
          <w:szCs w:val="20"/>
          <w:color w:val="auto"/>
        </w:rPr>
      </w:pPr>
      <w:r>
        <w:rPr>
          <w:rFonts w:ascii="Arial" w:cs="Arial" w:eastAsia="Arial" w:hAnsi="Arial"/>
          <w:sz w:val="18"/>
          <w:szCs w:val="18"/>
          <w:b w:val="1"/>
          <w:bCs w:val="1"/>
          <w:color w:val="auto"/>
        </w:rPr>
        <w:t>Compensation Mix - CEO</w:t>
      </w:r>
      <w:r>
        <w:rPr>
          <w:sz w:val="20"/>
          <w:szCs w:val="20"/>
          <w:color w:val="auto"/>
        </w:rPr>
        <w:tab/>
      </w:r>
      <w:r>
        <w:rPr>
          <w:rFonts w:ascii="Arial" w:cs="Arial" w:eastAsia="Arial" w:hAnsi="Arial"/>
          <w:sz w:val="16"/>
          <w:szCs w:val="16"/>
          <w:b w:val="1"/>
          <w:bCs w:val="1"/>
          <w:color w:val="auto"/>
        </w:rPr>
        <w:t>Compensation Mix - 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1928495" cy="13201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28495" cy="132016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154305</wp:posOffset>
            </wp:positionV>
            <wp:extent cx="1885950" cy="13284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8595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of Executive Officer Compensation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7"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The Compensation Committee, or the Compensation Committee, of our Board of Directors, or the Board, which is comprised solely of non-employee directors, is responsible for establishing, implementing, and evaluating our executive officer compensation and benefit programs.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Compensation Committee discharges the responsibilities of our Board relating to the compensation of our executive officers, including the Named Executive Officers, according to its charter. The Compensation 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6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When selecting and setting the amount of each compensation element, the Compensation Committee generally considers the following factors:</w:t>
      </w:r>
    </w:p>
    <w:p>
      <w:pPr>
        <w:spacing w:after="0" w:line="142" w:lineRule="exact"/>
        <w:rPr>
          <w:sz w:val="20"/>
          <w:szCs w:val="20"/>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performance against the financial and operational objectives established by the Compensation Committee;</w:t>
      </w:r>
    </w:p>
    <w:p>
      <w:pPr>
        <w:spacing w:after="0" w:line="130"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individual executive officer’s skills, experience, and qualifications relative to other similarly-situated executive officers at the companies in our compensation peer group;</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scope of each executive officer’s role compared to other similarly-situated executive officers at the companies in our compensation peer group;</w:t>
      </w:r>
    </w:p>
    <w:p>
      <w:pPr>
        <w:spacing w:after="0" w:line="153" w:lineRule="exact"/>
        <w:rPr>
          <w:rFonts w:ascii="Arial" w:cs="Arial" w:eastAsia="Arial" w:hAnsi="Arial"/>
          <w:sz w:val="16"/>
          <w:szCs w:val="16"/>
          <w:color w:val="auto"/>
        </w:rPr>
      </w:pPr>
    </w:p>
    <w:p>
      <w:pPr>
        <w:ind w:left="540" w:right="440" w:hanging="316"/>
        <w:spacing w:after="0" w:line="277"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compensation equality among our executive officers, including the Named Executive Officers (other than our Chief Executive Officer);</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performance relative to our compensation peer group; and</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how each executive officer’s target compensation compares to a ranking of similar positions in our compensation peer group.</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Historically, the Compensation Committee has recommended equity awards for each Named Executive Officer, and such awards are then granted by the Board (or its Executive Committee). Following the IPO, all equity awards are granted by the full Board or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Executive Management Team for Compensation</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Historically, the Compensation Committee has not retained its own compensation consultant but we anticipate that the Compensation Committee will engage its own independent compensation consultant following the IPO.</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Developed a compensation benchmarking peer group and approach that is used to develop competitive market data references.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Provided competitive market data based on the compensation peer group for our executive officers.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the base salary levels, annual cash bonus opportunities, long-term incentive compensation opportunities, and perquisites of our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Provided an assessment of executive compensation trends within our industry.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jc w:val="both"/>
        <w:ind w:left="120" w:right="180" w:firstLine="440"/>
        <w:spacing w:after="0" w:line="257" w:lineRule="auto"/>
        <w:rPr>
          <w:sz w:val="20"/>
          <w:szCs w:val="20"/>
          <w:color w:val="auto"/>
        </w:rPr>
      </w:pPr>
      <w:r>
        <w:rPr>
          <w:rFonts w:ascii="Arial" w:cs="Arial" w:eastAsia="Arial" w:hAnsi="Arial"/>
          <w:sz w:val="18"/>
          <w:szCs w:val="18"/>
          <w:color w:val="auto"/>
        </w:rPr>
        <w:t>For purposes of comparing our executive compensation against the competitive market, the Compensation Committee reviews and considers the compensation levels and practices of a group of comparable retail 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9" w:right="439" w:bottom="1440" w:gutter="0" w:footer="0" w:header="0"/>
        </w:sectPr>
      </w:pPr>
    </w:p>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Advance Auto Parts,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Ascena Retail Group, Inc.</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AutoZone,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Burlington Stores,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Caleres,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Carter’s,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Dick’s Sporting Goods, Inc.</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DSW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GameStop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Genesco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Michaels Companies,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Williams-Sonoma, Inc.</w:t>
      </w:r>
    </w:p>
    <w:p>
      <w:pPr>
        <w:spacing w:after="0" w:line="200" w:lineRule="exact"/>
        <w:rPr>
          <w:sz w:val="20"/>
          <w:szCs w:val="20"/>
          <w:color w:val="auto"/>
        </w:rPr>
      </w:pPr>
    </w:p>
    <w:p>
      <w:pPr>
        <w:sectPr>
          <w:pgSz w:w="11900" w:h="16838" w:orient="portrait"/>
          <w:cols w:equalWidth="0" w:num="2">
            <w:col w:w="5280" w:space="720"/>
            <w:col w:w="5140"/>
          </w:cols>
          <w:pgMar w:left="320" w:top="459" w:right="439" w:bottom="1440" w:gutter="0" w:footer="0" w:header="0"/>
          <w:type w:val="continuous"/>
        </w:sectPr>
      </w:pPr>
    </w:p>
    <w:p>
      <w:pPr>
        <w:spacing w:after="0" w:line="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316"/>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Similar revenue size – 0.4x to 2.5x our last four fiscal quarters’ revenue as of the third quarter of 2018;</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Companies primarily in the retail business;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Similar business model and/or product.</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70"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6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December 2019, the Compensation Committee, with the input of data and analysis from Meridian, approved the same compensation peer group for 2020 as described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For additional information regarding our employment agreements, see “—Employment Agreements with Named Executive Officers.”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Considerations in Setting 2019 Compensation</w:t>
      </w:r>
    </w:p>
    <w:p>
      <w:pPr>
        <w:spacing w:after="0" w:line="12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2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78"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12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Use of Market Data</w:t>
      </w:r>
      <w:r>
        <w:rPr>
          <w:rFonts w:ascii="Arial" w:cs="Arial" w:eastAsia="Arial" w:hAnsi="Arial"/>
          <w:sz w:val="17"/>
          <w:szCs w:val="17"/>
          <w:color w:val="auto"/>
        </w:rPr>
        <w:t>. We establish target compensation levels that are consistent with market practice and internal equity considerations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Emphasis on Performance</w:t>
      </w:r>
      <w:r>
        <w:rPr>
          <w:rFonts w:ascii="Arial" w:cs="Arial" w:eastAsia="Arial" w:hAnsi="Arial"/>
          <w:sz w:val="16"/>
          <w:szCs w:val="16"/>
          <w:color w:val="auto"/>
        </w:rPr>
        <w:t>. Our compensation program provides increased pay opportunity correlated with superior performance over the long</w:t>
      </w:r>
      <w:r>
        <w:rPr>
          <w:rFonts w:ascii="Arial" w:cs="Arial" w:eastAsia="Arial" w:hAnsi="Arial"/>
          <w:sz w:val="16"/>
          <w:szCs w:val="16"/>
          <w:i w:val="1"/>
          <w:iCs w:val="1"/>
          <w:color w:val="auto"/>
        </w:rPr>
        <w:t xml:space="preserve"> </w:t>
      </w:r>
      <w:r>
        <w:rPr>
          <w:rFonts w:ascii="Arial" w:cs="Arial" w:eastAsia="Arial" w:hAnsi="Arial"/>
          <w:sz w:val="16"/>
          <w:szCs w:val="16"/>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Importance of Company Results</w:t>
      </w:r>
      <w:r>
        <w:rPr>
          <w:rFonts w:ascii="Arial" w:cs="Arial" w:eastAsia="Arial" w:hAnsi="Arial"/>
          <w:sz w:val="17"/>
          <w:szCs w:val="17"/>
          <w:color w:val="auto"/>
        </w:rPr>
        <w:t>. In determining the amount of cash bonus for each Named Executive Officer, we may consider performance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Compensation Policies and Practices</w:t>
      </w:r>
    </w:p>
    <w:p>
      <w:pPr>
        <w:spacing w:after="0" w:line="121"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Either during 2019 or in connection with or following the IPO where noted, we either adopted or maintained the following executive officer compensation policies and practices, which include policies and practices that we have implemented to drive performance as well as policies and practices that either prohibit or minimize behaviors that we do not believe serve our equityholders’ long-term interests:</w:t>
      </w:r>
    </w:p>
    <w:p>
      <w:pPr>
        <w:spacing w:after="0" w:line="7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Composition of Compensation Committee</w:t>
      </w:r>
      <w:r>
        <w:rPr>
          <w:rFonts w:ascii="Arial" w:cs="Arial" w:eastAsia="Arial" w:hAnsi="Arial"/>
          <w:sz w:val="18"/>
          <w:szCs w:val="18"/>
          <w:color w:val="auto"/>
        </w:rPr>
        <w:t>. The Compensation Committee is comprised solely of nonemployee directors.</w:t>
      </w:r>
    </w:p>
    <w:p>
      <w:pPr>
        <w:spacing w:after="0" w:line="130" w:lineRule="exact"/>
        <w:rPr>
          <w:rFonts w:ascii="Arial" w:cs="Arial" w:eastAsia="Arial" w:hAnsi="Arial"/>
          <w:sz w:val="18"/>
          <w:szCs w:val="18"/>
          <w:color w:val="auto"/>
        </w:rPr>
      </w:pPr>
    </w:p>
    <w:p>
      <w:pPr>
        <w:ind w:left="1080" w:right="560" w:hanging="424"/>
        <w:spacing w:after="0" w:line="34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Compensation Committee Advisor</w:t>
      </w:r>
      <w:r>
        <w:rPr>
          <w:rFonts w:ascii="Arial" w:cs="Arial" w:eastAsia="Arial" w:hAnsi="Arial"/>
          <w:sz w:val="16"/>
          <w:szCs w:val="16"/>
          <w:color w:val="auto"/>
        </w:rPr>
        <w:t>. We anticipate that the Compensation Committee will engage its own independent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following the IPO. The Company has historically retained Meridian as an advisor on executive pay related items.</w:t>
      </w:r>
    </w:p>
    <w:p>
      <w:pPr>
        <w:spacing w:after="0" w:line="29" w:lineRule="exact"/>
        <w:rPr>
          <w:rFonts w:ascii="Arial" w:cs="Arial" w:eastAsia="Arial" w:hAnsi="Arial"/>
          <w:sz w:val="16"/>
          <w:szCs w:val="16"/>
          <w:color w:val="auto"/>
        </w:rPr>
      </w:pPr>
    </w:p>
    <w:p>
      <w:pPr>
        <w:ind w:left="1080" w:hanging="424"/>
        <w:spacing w:after="0" w:line="254"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Annual Executive Officer Compensation Review</w:t>
      </w:r>
      <w:r>
        <w:rPr>
          <w:rFonts w:ascii="Arial" w:cs="Arial" w:eastAsia="Arial" w:hAnsi="Arial"/>
          <w:sz w:val="18"/>
          <w:szCs w:val="18"/>
          <w:color w:val="auto"/>
        </w:rPr>
        <w:t>. The Compensation Committee conducted an annual review and approval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10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Executive Officer Compensation Practices</w:t>
      </w:r>
      <w:r>
        <w:rPr>
          <w:rFonts w:ascii="Arial" w:cs="Arial" w:eastAsia="Arial" w:hAnsi="Arial"/>
          <w:sz w:val="18"/>
          <w:szCs w:val="18"/>
          <w:color w:val="auto"/>
        </w:rPr>
        <w:t>. Our compensation philosophy and related corporate governance policies and practices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complemented by several specific compensation practices that are designed to align our executive officer compensation with long-term equityholder interests, including the following:</w:t>
      </w:r>
    </w:p>
    <w:p>
      <w:pPr>
        <w:spacing w:after="0" w:line="89" w:lineRule="exact"/>
        <w:rPr>
          <w:rFonts w:ascii="Arial" w:cs="Arial" w:eastAsia="Arial" w:hAnsi="Arial"/>
          <w:sz w:val="18"/>
          <w:szCs w:val="18"/>
          <w:color w:val="auto"/>
        </w:rPr>
      </w:pPr>
    </w:p>
    <w:p>
      <w:pPr>
        <w:ind w:left="1540" w:right="280" w:hanging="331"/>
        <w:spacing w:after="0" w:line="277"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Annual Performance Review</w:t>
      </w:r>
      <w:r>
        <w:rPr>
          <w:rFonts w:ascii="Arial" w:cs="Arial" w:eastAsia="Arial" w:hAnsi="Arial"/>
          <w:sz w:val="18"/>
          <w:szCs w:val="18"/>
          <w:color w:val="auto"/>
        </w:rPr>
        <w:t>. The Compensation Committee engages in an annual performance review of each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based on our corporate results and individual performance.</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Compensation At Risk</w:t>
      </w:r>
      <w:r>
        <w:rPr>
          <w:rFonts w:ascii="Arial" w:cs="Arial" w:eastAsia="Arial" w:hAnsi="Arial"/>
          <w:sz w:val="18"/>
          <w:szCs w:val="18"/>
          <w:color w:val="auto"/>
        </w:rPr>
        <w:t>. Our executive officer compensation program is designed so that a majority of compensation is “at risk”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performance, in the form of both short-term cash and long-term equity incentives to align the interests of our executive officers and equityholders.</w:t>
      </w:r>
    </w:p>
    <w:p>
      <w:pPr>
        <w:spacing w:after="0" w:line="89" w:lineRule="exact"/>
        <w:rPr>
          <w:rFonts w:ascii="Arial" w:cs="Arial" w:eastAsia="Arial" w:hAnsi="Arial"/>
          <w:sz w:val="18"/>
          <w:szCs w:val="18"/>
          <w:color w:val="auto"/>
        </w:rPr>
      </w:pPr>
    </w:p>
    <w:p>
      <w:pPr>
        <w:ind w:left="1540" w:right="460" w:hanging="331"/>
        <w:spacing w:after="0" w:line="263"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 Defined Benefit Pension or Nonqualified Deferred Compensation Plans</w:t>
      </w:r>
      <w:r>
        <w:rPr>
          <w:rFonts w:ascii="Arial" w:cs="Arial" w:eastAsia="Arial" w:hAnsi="Arial"/>
          <w:sz w:val="18"/>
          <w:szCs w:val="18"/>
          <w:color w:val="auto"/>
        </w:rPr>
        <w:t>. We do not currently offer, nor do we have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defined benefit pension arrangements or nonqualified deferred compensation plans or arrangements to our executive officers.</w:t>
      </w:r>
    </w:p>
    <w:p>
      <w:pPr>
        <w:spacing w:after="0" w:line="89" w:lineRule="exact"/>
        <w:rPr>
          <w:rFonts w:ascii="Arial" w:cs="Arial" w:eastAsia="Arial" w:hAnsi="Arial"/>
          <w:sz w:val="18"/>
          <w:szCs w:val="18"/>
          <w:color w:val="auto"/>
        </w:rPr>
      </w:pPr>
    </w:p>
    <w:p>
      <w:pPr>
        <w:ind w:left="1540" w:right="120" w:hanging="331"/>
        <w:spacing w:after="0" w:line="259"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Nominal Special Health or Welfare Benefits</w:t>
      </w:r>
      <w:r>
        <w:rPr>
          <w:rFonts w:ascii="Arial" w:cs="Arial" w:eastAsia="Arial" w:hAnsi="Arial"/>
          <w:sz w:val="18"/>
          <w:szCs w:val="18"/>
          <w:color w:val="auto"/>
        </w:rPr>
        <w:t>. Our executive officers participate in broad-based company-sponsored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92" w:lineRule="exact"/>
        <w:rPr>
          <w:rFonts w:ascii="Arial" w:cs="Arial" w:eastAsia="Arial" w:hAnsi="Arial"/>
          <w:sz w:val="18"/>
          <w:szCs w:val="18"/>
          <w:color w:val="auto"/>
        </w:rPr>
      </w:pPr>
    </w:p>
    <w:p>
      <w:pPr>
        <w:ind w:left="1540" w:right="400" w:hanging="331"/>
        <w:spacing w:after="0" w:line="277"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 Post-Employment Tax Reimbursements</w:t>
      </w:r>
      <w:r>
        <w:rPr>
          <w:rFonts w:ascii="Arial" w:cs="Arial" w:eastAsia="Arial" w:hAnsi="Arial"/>
          <w:sz w:val="18"/>
          <w:szCs w:val="18"/>
          <w:color w:val="auto"/>
        </w:rPr>
        <w:t>. We do not provide any tax reimbursement payments (including “gross-ups”) on any</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or change-in-control payments or benefits.</w:t>
      </w:r>
    </w:p>
    <w:p>
      <w:pPr>
        <w:spacing w:after="0" w:line="75" w:lineRule="exact"/>
        <w:rPr>
          <w:rFonts w:ascii="Arial" w:cs="Arial" w:eastAsia="Arial" w:hAnsi="Arial"/>
          <w:sz w:val="18"/>
          <w:szCs w:val="18"/>
          <w:color w:val="auto"/>
        </w:rPr>
      </w:pPr>
    </w:p>
    <w:p>
      <w:pPr>
        <w:ind w:left="1540" w:right="20" w:hanging="331"/>
        <w:spacing w:after="0" w:line="257"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 Options Granted with Exercise Price Below Fair Market Value, with Pre-Offering Fair Market Value determined based on Third-Party Valuations</w:t>
      </w:r>
      <w:r>
        <w:rPr>
          <w:rFonts w:ascii="Arial" w:cs="Arial" w:eastAsia="Arial" w:hAnsi="Arial"/>
          <w:sz w:val="18"/>
          <w:szCs w:val="18"/>
          <w:color w:val="auto"/>
        </w:rPr>
        <w:t>. All options have been granted with exercise prices equal to the fair market value of our Membership Units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the IPO, the Board determined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60"/>
        <w:spacing w:after="0" w:line="263" w:lineRule="auto"/>
        <w:rPr>
          <w:sz w:val="20"/>
          <w:szCs w:val="20"/>
          <w:color w:val="auto"/>
        </w:rPr>
      </w:pPr>
      <w:r>
        <w:rPr>
          <w:rFonts w:ascii="Arial" w:cs="Arial" w:eastAsia="Arial" w:hAnsi="Arial"/>
          <w:sz w:val="18"/>
          <w:szCs w:val="18"/>
          <w:color w:val="auto"/>
        </w:rPr>
        <w:t>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89" w:lineRule="exact"/>
        <w:rPr>
          <w:sz w:val="20"/>
          <w:szCs w:val="20"/>
          <w:color w:val="auto"/>
        </w:rPr>
      </w:pPr>
    </w:p>
    <w:p>
      <w:pPr>
        <w:ind w:left="1540" w:right="180" w:hanging="331"/>
        <w:spacing w:after="0" w:line="259"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Multi-Year Time Vesting and Performance Vesting Requirements for Equity Awards</w:t>
      </w:r>
      <w:r>
        <w:rPr>
          <w:rFonts w:ascii="Arial" w:cs="Arial" w:eastAsia="Arial" w:hAnsi="Arial"/>
          <w:sz w:val="18"/>
          <w:szCs w:val="18"/>
          <w:color w:val="auto"/>
        </w:rPr>
        <w:t>. The options and restricted units granted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92" w:lineRule="exact"/>
        <w:rPr>
          <w:rFonts w:ascii="Arial" w:cs="Arial" w:eastAsia="Arial" w:hAnsi="Arial"/>
          <w:sz w:val="18"/>
          <w:szCs w:val="18"/>
          <w:color w:val="auto"/>
        </w:rPr>
      </w:pPr>
    </w:p>
    <w:p>
      <w:pPr>
        <w:ind w:left="1540" w:right="620" w:hanging="331"/>
        <w:spacing w:after="0" w:line="277"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Hedging and Pledging Prohibited</w:t>
      </w:r>
      <w:r>
        <w:rPr>
          <w:rFonts w:ascii="Arial" w:cs="Arial" w:eastAsia="Arial" w:hAnsi="Arial"/>
          <w:sz w:val="18"/>
          <w:szCs w:val="18"/>
          <w:color w:val="auto"/>
        </w:rPr>
        <w:t>. We prohibit our executive officers from hedging our securities, pledging our securities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for loans, or holding our securities in margin accounts.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key elements of our executive officer compensation program for our Named Executive Officers:</w:t>
      </w:r>
    </w:p>
    <w:p>
      <w:pPr>
        <w:sectPr>
          <w:pgSz w:w="11900" w:h="16838" w:orient="portrait"/>
          <w:cols w:equalWidth="0" w:num="1">
            <w:col w:w="11100"/>
          </w:cols>
          <w:pgMar w:left="320" w:top="459" w:right="479" w:bottom="1440" w:gutter="0" w:footer="0" w:header="0"/>
        </w:sect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Component</w:t>
            </w:r>
          </w:p>
        </w:tc>
        <w:tc>
          <w:tcPr>
            <w:tcW w:w="4620" w:type="dxa"/>
            <w:vAlign w:val="bottom"/>
          </w:tcPr>
          <w:p>
            <w:pPr>
              <w:ind w:left="2060"/>
              <w:spacing w:after="0"/>
              <w:rPr>
                <w:sz w:val="20"/>
                <w:szCs w:val="20"/>
                <w:color w:val="auto"/>
              </w:rPr>
            </w:pPr>
            <w:r>
              <w:rPr>
                <w:rFonts w:ascii="Arial" w:cs="Arial" w:eastAsia="Arial" w:hAnsi="Arial"/>
                <w:sz w:val="14"/>
                <w:szCs w:val="14"/>
                <w:b w:val="1"/>
                <w:bCs w:val="1"/>
                <w:color w:val="auto"/>
              </w:rPr>
              <w:t>Purpose</w:t>
            </w:r>
          </w:p>
        </w:tc>
      </w:tr>
      <w:tr>
        <w:trPr>
          <w:trHeight w:val="224"/>
        </w:trPr>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Base salary</w:t>
            </w:r>
          </w:p>
        </w:tc>
        <w:tc>
          <w:tcPr>
            <w:tcW w:w="220" w:type="dxa"/>
            <w:vAlign w:val="bottom"/>
          </w:tcPr>
          <w:p>
            <w:pPr>
              <w:spacing w:after="0"/>
              <w:rPr>
                <w:sz w:val="19"/>
                <w:szCs w:val="19"/>
                <w:color w:val="auto"/>
              </w:rPr>
            </w:pPr>
          </w:p>
        </w:tc>
        <w:tc>
          <w:tcPr>
            <w:tcW w:w="46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  Compensate for services rendered each year</w:t>
            </w:r>
          </w:p>
        </w:tc>
      </w:tr>
      <w:tr>
        <w:trPr>
          <w:trHeight w:val="403"/>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Annual cash</w:t>
            </w:r>
          </w:p>
        </w:tc>
        <w:tc>
          <w:tcPr>
            <w:tcW w:w="4620" w:type="dxa"/>
            <w:vAlign w:val="bottom"/>
          </w:tcPr>
          <w:p>
            <w:pPr>
              <w:ind w:left="100"/>
              <w:spacing w:after="0"/>
              <w:rPr>
                <w:sz w:val="20"/>
                <w:szCs w:val="20"/>
                <w:color w:val="auto"/>
              </w:rPr>
            </w:pPr>
            <w:r>
              <w:rPr>
                <w:rFonts w:ascii="Arial" w:cs="Arial" w:eastAsia="Arial" w:hAnsi="Arial"/>
                <w:sz w:val="18"/>
                <w:szCs w:val="18"/>
                <w:color w:val="auto"/>
              </w:rPr>
              <w:t>•  Encourage achievement of our corporate performance</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incentive bonus</w:t>
            </w:r>
          </w:p>
        </w:tc>
        <w:tc>
          <w:tcPr>
            <w:tcW w:w="4620" w:type="dxa"/>
            <w:vAlign w:val="bottom"/>
          </w:tcPr>
          <w:p>
            <w:pPr>
              <w:ind w:left="360"/>
              <w:spacing w:after="0"/>
              <w:rPr>
                <w:sz w:val="20"/>
                <w:szCs w:val="20"/>
                <w:color w:val="auto"/>
              </w:rPr>
            </w:pPr>
            <w:r>
              <w:rPr>
                <w:rFonts w:ascii="Arial" w:cs="Arial" w:eastAsia="Arial" w:hAnsi="Arial"/>
                <w:sz w:val="18"/>
                <w:szCs w:val="18"/>
                <w:color w:val="auto"/>
              </w:rPr>
              <w:t>objectives</w:t>
            </w: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  Reward those individuals who significantly impact our</w:t>
            </w:r>
          </w:p>
        </w:tc>
      </w:tr>
      <w:tr>
        <w:trPr>
          <w:trHeight w:val="230"/>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corporate results</w:t>
            </w:r>
          </w:p>
        </w:tc>
      </w:tr>
      <w:tr>
        <w:trPr>
          <w:trHeight w:val="647"/>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Long-term equity</w:t>
            </w:r>
          </w:p>
        </w:tc>
        <w:tc>
          <w:tcPr>
            <w:tcW w:w="4620" w:type="dxa"/>
            <w:vAlign w:val="bottom"/>
          </w:tcPr>
          <w:p>
            <w:pPr>
              <w:ind w:left="100"/>
              <w:spacing w:after="0"/>
              <w:rPr>
                <w:sz w:val="20"/>
                <w:szCs w:val="20"/>
                <w:color w:val="auto"/>
              </w:rPr>
            </w:pPr>
            <w:r>
              <w:rPr>
                <w:rFonts w:ascii="Arial" w:cs="Arial" w:eastAsia="Arial" w:hAnsi="Arial"/>
                <w:sz w:val="18"/>
                <w:szCs w:val="18"/>
                <w:color w:val="auto"/>
              </w:rPr>
              <w:t>•  Align executive officer and equityholder interests by</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incentives</w:t>
            </w:r>
          </w:p>
        </w:tc>
        <w:tc>
          <w:tcPr>
            <w:tcW w:w="4620" w:type="dxa"/>
            <w:vAlign w:val="bottom"/>
          </w:tcPr>
          <w:p>
            <w:pPr>
              <w:ind w:left="360"/>
              <w:spacing w:after="0"/>
              <w:rPr>
                <w:sz w:val="20"/>
                <w:szCs w:val="20"/>
                <w:color w:val="auto"/>
              </w:rPr>
            </w:pPr>
            <w:r>
              <w:rPr>
                <w:rFonts w:ascii="Arial" w:cs="Arial" w:eastAsia="Arial" w:hAnsi="Arial"/>
                <w:sz w:val="18"/>
                <w:szCs w:val="18"/>
                <w:color w:val="auto"/>
                <w:w w:val="94"/>
              </w:rPr>
              <w:t>creating a link between executive compensation and our</w:t>
            </w:r>
          </w:p>
        </w:tc>
      </w:tr>
      <w:tr>
        <w:trPr>
          <w:trHeight w:val="230"/>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771"/>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260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 w:lineRule="exact"/>
        <w:rPr>
          <w:sz w:val="20"/>
          <w:szCs w:val="20"/>
          <w:color w:val="auto"/>
        </w:rPr>
      </w:pPr>
    </w:p>
    <w:p>
      <w:pPr>
        <w:ind w:left="271" w:right="260" w:hanging="271"/>
        <w:spacing w:after="0" w:line="257"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position, experience, job responsibilities, and performance</w:t>
      </w:r>
    </w:p>
    <w:p>
      <w:pPr>
        <w:ind w:left="251" w:hanging="251"/>
        <w:spacing w:after="0"/>
        <w:tabs>
          <w:tab w:leader="none" w:pos="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Company performance (90% weighting)</w:t>
      </w:r>
    </w:p>
    <w:p>
      <w:pPr>
        <w:spacing w:after="0" w:line="9" w:lineRule="exact"/>
        <w:rPr>
          <w:rFonts w:ascii="Arial" w:cs="Arial" w:eastAsia="Arial" w:hAnsi="Arial"/>
          <w:sz w:val="18"/>
          <w:szCs w:val="18"/>
          <w:color w:val="auto"/>
        </w:rPr>
      </w:pPr>
    </w:p>
    <w:p>
      <w:pPr>
        <w:ind w:left="631" w:right="740" w:hanging="271"/>
        <w:spacing w:after="0" w:line="250" w:lineRule="auto"/>
        <w:tabs>
          <w:tab w:leader="none" w:pos="6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Total Company EBITDA Dollars (40% weighting)</w:t>
      </w:r>
    </w:p>
    <w:p>
      <w:pPr>
        <w:ind w:left="611" w:hanging="251"/>
        <w:spacing w:after="0"/>
        <w:tabs>
          <w:tab w:leader="none" w:pos="611"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Total Company Sales (weighted 40%)</w:t>
      </w:r>
    </w:p>
    <w:p>
      <w:pPr>
        <w:spacing w:after="0" w:line="9" w:lineRule="exact"/>
        <w:rPr>
          <w:rFonts w:ascii="Arial" w:cs="Arial" w:eastAsia="Arial" w:hAnsi="Arial"/>
          <w:sz w:val="18"/>
          <w:szCs w:val="18"/>
          <w:color w:val="auto"/>
        </w:rPr>
      </w:pPr>
    </w:p>
    <w:p>
      <w:pPr>
        <w:ind w:left="611" w:hanging="251"/>
        <w:spacing w:after="0"/>
        <w:tabs>
          <w:tab w:leader="none" w:pos="611" w:val="left"/>
        </w:tabs>
        <w:numPr>
          <w:ilvl w:val="1"/>
          <w:numId w:val="84"/>
        </w:numPr>
        <w:rPr>
          <w:rFonts w:ascii="Arial" w:cs="Arial" w:eastAsia="Arial" w:hAnsi="Arial"/>
          <w:sz w:val="18"/>
          <w:szCs w:val="18"/>
          <w:color w:val="auto"/>
        </w:rPr>
      </w:pPr>
      <w:r>
        <w:rPr>
          <w:rFonts w:ascii="Arial" w:cs="Arial" w:eastAsia="Arial" w:hAnsi="Arial"/>
          <w:sz w:val="18"/>
          <w:szCs w:val="18"/>
          <w:color w:val="auto"/>
        </w:rPr>
        <w:t>ROIC Percentage (weighted 10%)</w:t>
      </w:r>
    </w:p>
    <w:p>
      <w:pPr>
        <w:spacing w:after="0" w:line="9" w:lineRule="exact"/>
        <w:rPr>
          <w:rFonts w:ascii="Arial" w:cs="Arial" w:eastAsia="Arial" w:hAnsi="Arial"/>
          <w:sz w:val="18"/>
          <w:szCs w:val="18"/>
          <w:color w:val="auto"/>
        </w:rPr>
      </w:pPr>
    </w:p>
    <w:p>
      <w:pPr>
        <w:ind w:left="251" w:hanging="251"/>
        <w:spacing w:after="0"/>
        <w:tabs>
          <w:tab w:leader="none" w:pos="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Individual performance (10% weighting)</w:t>
      </w:r>
    </w:p>
    <w:p>
      <w:pPr>
        <w:spacing w:after="0" w:line="9" w:lineRule="exact"/>
        <w:rPr>
          <w:rFonts w:ascii="Arial" w:cs="Arial" w:eastAsia="Arial" w:hAnsi="Arial"/>
          <w:sz w:val="18"/>
          <w:szCs w:val="18"/>
          <w:color w:val="auto"/>
        </w:rPr>
      </w:pPr>
    </w:p>
    <w:p>
      <w:pPr>
        <w:ind w:left="251" w:hanging="251"/>
        <w:spacing w:after="0"/>
        <w:tabs>
          <w:tab w:leader="none" w:pos="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Options</w:t>
      </w:r>
    </w:p>
    <w:p>
      <w:pPr>
        <w:spacing w:after="0" w:line="22" w:lineRule="exact"/>
        <w:rPr>
          <w:rFonts w:ascii="Arial" w:cs="Arial" w:eastAsia="Arial" w:hAnsi="Arial"/>
          <w:sz w:val="18"/>
          <w:szCs w:val="18"/>
          <w:color w:val="auto"/>
        </w:rPr>
      </w:pPr>
    </w:p>
    <w:p>
      <w:pPr>
        <w:ind w:left="251" w:hanging="251"/>
        <w:spacing w:after="0"/>
        <w:tabs>
          <w:tab w:leader="none" w:pos="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Restricted Units</w:t>
      </w:r>
    </w:p>
    <w:p>
      <w:pPr>
        <w:spacing w:after="0" w:line="425" w:lineRule="exact"/>
        <w:rPr>
          <w:sz w:val="20"/>
          <w:szCs w:val="20"/>
          <w:color w:val="auto"/>
        </w:rPr>
      </w:pPr>
    </w:p>
    <w:p>
      <w:pPr>
        <w:sectPr>
          <w:pgSz w:w="11900" w:h="16838" w:orient="portrait"/>
          <w:cols w:equalWidth="0" w:num="2">
            <w:col w:w="6620" w:space="309"/>
            <w:col w:w="4171"/>
          </w:cols>
          <w:pgMar w:left="320" w:top="459" w:right="479" w:bottom="1440" w:gutter="0" w:footer="0" w:header="0"/>
          <w:type w:val="continuous"/>
        </w:sectPr>
      </w:pPr>
    </w:p>
    <w:p>
      <w:pPr>
        <w:spacing w:after="0" w:line="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addition to these key compensation elements, our Named Executive Officers are provided certain other compensation including perquisites and other benefits, as described in “—Other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9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 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9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Fiscal</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Fiscal</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2018 Base</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2019 Base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Salary ($)</w:t>
            </w: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5"/>
              </w:rPr>
              <w:t>Salary ($)</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820" w:type="dxa"/>
            <w:vAlign w:val="bottom"/>
          </w:tcPr>
          <w:p>
            <w:pPr>
              <w:jc w:val="right"/>
              <w:spacing w:after="0"/>
              <w:rPr>
                <w:sz w:val="20"/>
                <w:szCs w:val="20"/>
                <w:color w:val="auto"/>
              </w:rPr>
            </w:pPr>
            <w:r>
              <w:rPr>
                <w:rFonts w:ascii="Arial" w:cs="Arial" w:eastAsia="Arial" w:hAnsi="Arial"/>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Arial" w:cs="Arial" w:eastAsia="Arial" w:hAnsi="Arial"/>
                <w:sz w:val="18"/>
                <w:szCs w:val="18"/>
                <w:color w:val="auto"/>
                <w:w w:val="91"/>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Sam J. Johnson</w:t>
            </w:r>
          </w:p>
        </w:tc>
        <w:tc>
          <w:tcPr>
            <w:tcW w:w="820" w:type="dxa"/>
            <w:vAlign w:val="bottom"/>
          </w:tcPr>
          <w:p>
            <w:pPr>
              <w:jc w:val="right"/>
              <w:spacing w:after="0"/>
              <w:rPr>
                <w:sz w:val="20"/>
                <w:szCs w:val="20"/>
                <w:color w:val="auto"/>
              </w:rPr>
            </w:pPr>
            <w:r>
              <w:rPr>
                <w:rFonts w:ascii="Arial" w:cs="Arial" w:eastAsia="Arial" w:hAnsi="Arial"/>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Arial" w:cs="Arial" w:eastAsia="Arial" w:hAnsi="Arial"/>
                <w:sz w:val="18"/>
                <w:szCs w:val="18"/>
                <w:color w:val="auto"/>
                <w:w w:val="91"/>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91"/>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seek to have a significant portion of the compensation of our executive officers, including the Named Executive Officers, tied to performance.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accomplish this objective, we provide our executive officers with the opportunity to earn cash bonuses to encourage the achievement of both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and individual performance objectives and to reward those individuals who significantly impact our corporate results.</w:t>
      </w:r>
    </w:p>
    <w:p>
      <w:pPr>
        <w:spacing w:after="0" w:line="21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EBITDA Dollars, and total Company sales, and of individual performance targets, other than his own, are recommended by Mr. Hicks to the Compensation Committee for its final approval.</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following table sets forth the metrics, the weighting of each metric and the minimum, target, and maximum levels of achievement (in each case, expressed as a percentage of the target payout), as well as the 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Level of Achievement</w:t>
            </w: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 of Target Bonus Payout</w:t>
            </w: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7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Metrics</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Weighting</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Threshold</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Target</w:t>
            </w: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18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Maximum</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CEO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Others</w:t>
            </w:r>
          </w:p>
        </w:tc>
        <w:tc>
          <w:tcPr>
            <w:tcW w:w="0" w:type="dxa"/>
            <w:vAlign w:val="bottom"/>
          </w:tcPr>
          <w:p>
            <w:pPr>
              <w:spacing w:after="0"/>
              <w:rPr>
                <w:sz w:val="1"/>
                <w:szCs w:val="1"/>
                <w:color w:val="auto"/>
              </w:rPr>
            </w:pPr>
          </w:p>
        </w:tc>
      </w:tr>
      <w:tr>
        <w:trPr>
          <w:trHeight w:val="195"/>
        </w:trPr>
        <w:tc>
          <w:tcPr>
            <w:tcW w:w="23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Company Performance</w:t>
            </w:r>
          </w:p>
        </w:tc>
        <w:tc>
          <w:tcPr>
            <w:tcW w:w="5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Total Company</w:t>
            </w: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Dollars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1780" w:type="dxa"/>
            <w:vAlign w:val="bottom"/>
            <w:gridSpan w:val="3"/>
          </w:tcPr>
          <w:p>
            <w:pPr>
              <w:ind w:left="500"/>
              <w:spacing w:after="0" w:line="201" w:lineRule="exact"/>
              <w:rPr>
                <w:sz w:val="20"/>
                <w:szCs w:val="20"/>
                <w:color w:val="auto"/>
              </w:rPr>
            </w:pPr>
            <w:r>
              <w:rPr>
                <w:rFonts w:ascii="Arial" w:cs="Arial" w:eastAsia="Arial" w:hAnsi="Arial"/>
                <w:sz w:val="18"/>
                <w:szCs w:val="18"/>
                <w:color w:val="auto"/>
              </w:rPr>
              <w:t>Total Company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Sales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93%</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ROIC %</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rPr>
              <w:t>Individual</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line="198" w:lineRule="exact"/>
              <w:rPr>
                <w:sz w:val="20"/>
                <w:szCs w:val="20"/>
                <w:color w:val="auto"/>
              </w:rPr>
            </w:pPr>
            <w:r>
              <w:rPr>
                <w:rFonts w:ascii="Arial" w:cs="Arial" w:eastAsia="Arial" w:hAnsi="Arial"/>
                <w:sz w:val="18"/>
                <w:szCs w:val="18"/>
                <w:color w:val="auto"/>
                <w:w w:val="91"/>
              </w:rPr>
              <w:t>Does not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Individual</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meet all</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Meets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Goals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expectations</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expectations</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Company Performance Metrics</w:t>
      </w:r>
    </w:p>
    <w:p>
      <w:pPr>
        <w:spacing w:after="0" w:line="11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ROIC Percentage weighted at 10%. The level of achievement of these targets is subject to the final determination and approval of the Compensation Committee.</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Performance Metrics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Under the Executive Team Bonus Plan, there is an individual performance component that represents 10% of each Named Executive Officer’s annual bonus opportunity. The maximum payout under the individual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3" w:lineRule="auto"/>
        <w:rPr>
          <w:sz w:val="20"/>
          <w:szCs w:val="20"/>
          <w:color w:val="auto"/>
        </w:rPr>
      </w:pPr>
      <w:r>
        <w:rPr>
          <w:rFonts w:ascii="Arial" w:cs="Arial" w:eastAsia="Arial" w:hAnsi="Arial"/>
          <w:sz w:val="16"/>
          <w:szCs w:val="16"/>
          <w:color w:val="auto"/>
        </w:rPr>
        <w:t>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 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w:t>
      </w:r>
    </w:p>
    <w:p>
      <w:pPr>
        <w:spacing w:after="0" w:line="5" w:lineRule="exact"/>
        <w:rPr>
          <w:sz w:val="20"/>
          <w:szCs w:val="20"/>
          <w:color w:val="auto"/>
        </w:rPr>
      </w:pPr>
    </w:p>
    <w:p>
      <w:pPr>
        <w:ind w:left="120" w:right="120" w:hanging="4"/>
        <w:spacing w:after="0" w:line="273" w:lineRule="auto"/>
        <w:tabs>
          <w:tab w:leader="none" w:pos="425"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Achievement of Performance Goals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2019 Company performance metric results: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Level of Achievement</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Achievement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4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Metrics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2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Achievement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 of</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210"/>
        </w:trPr>
        <w:tc>
          <w:tcPr>
            <w:tcW w:w="1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Company</w:t>
            </w:r>
          </w:p>
        </w:tc>
        <w:tc>
          <w:tcPr>
            <w:tcW w:w="180" w:type="dxa"/>
            <w:vAlign w:val="bottom"/>
            <w:tcBorders>
              <w:top w:val="single" w:sz="8" w:color="CCEEFF"/>
            </w:tcBorders>
            <w:shd w:val="clear" w:color="auto" w:fill="CCEEFF"/>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$317.3 million</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6020" w:type="dxa"/>
            <w:vAlign w:val="bottom"/>
            <w:gridSpan w:val="3"/>
          </w:tcPr>
          <w:p>
            <w:pPr>
              <w:ind w:left="180"/>
              <w:spacing w:after="0"/>
              <w:rPr>
                <w:sz w:val="20"/>
                <w:szCs w:val="20"/>
                <w:color w:val="auto"/>
              </w:rPr>
            </w:pPr>
            <w:r>
              <w:rPr>
                <w:rFonts w:ascii="Arial" w:cs="Arial" w:eastAsia="Arial" w:hAnsi="Arial"/>
                <w:sz w:val="18"/>
                <w:szCs w:val="18"/>
                <w:color w:val="auto"/>
              </w:rPr>
              <w:t>Total Company Sales</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$4.94 billion</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$4.83 billion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97.9%</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6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ROIC %</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13.7%</w:t>
            </w:r>
          </w:p>
        </w:tc>
        <w:tc>
          <w:tcPr>
            <w:tcW w:w="1460" w:type="dxa"/>
            <w:vAlign w:val="bottom"/>
            <w:gridSpan w:val="2"/>
            <w:shd w:val="clear" w:color="auto" w:fill="CCEEFF"/>
          </w:tcPr>
          <w:p>
            <w:pPr>
              <w:jc w:val="center"/>
              <w:ind w:left="239"/>
              <w:spacing w:after="0"/>
              <w:rPr>
                <w:sz w:val="20"/>
                <w:szCs w:val="20"/>
                <w:color w:val="auto"/>
              </w:rPr>
            </w:pPr>
            <w:r>
              <w:rPr>
                <w:rFonts w:ascii="Arial" w:cs="Arial" w:eastAsia="Arial" w:hAnsi="Arial"/>
                <w:sz w:val="18"/>
                <w:szCs w:val="18"/>
                <w:color w:val="auto"/>
                <w:w w:val="90"/>
              </w:rPr>
              <w:t>14.0%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It was determined that each Named Executive Officers achieved his applicable individual performance goals at the targeted level of performance for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 of Salary</w:t>
            </w: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 of Salary</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Earned (%) for</w:t>
            </w:r>
          </w:p>
        </w:tc>
        <w:tc>
          <w:tcPr>
            <w:tcW w:w="13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Achievement of</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Earned (%) for</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Combined</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Achievement of</w:t>
            </w: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2019 Base</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Target Bonus</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Target Bonus</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Company</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Individual</w:t>
            </w:r>
          </w:p>
        </w:tc>
        <w:tc>
          <w:tcPr>
            <w:tcW w:w="11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Actual Bonus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8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11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94"/>
              </w:rPr>
              <w:t xml:space="preserve">Salary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w:t>
            </w:r>
          </w:p>
        </w:tc>
        <w:tc>
          <w:tcPr>
            <w:tcW w:w="82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Goals</w:t>
            </w: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Goals</w:t>
            </w:r>
          </w:p>
        </w:tc>
        <w:tc>
          <w:tcPr>
            <w:tcW w:w="11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Factor (%)</w:t>
            </w:r>
          </w:p>
        </w:tc>
        <w:tc>
          <w:tcPr>
            <w:tcW w:w="9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 xml:space="preserve">Achieved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1,100,000</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1,650,000</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154.9</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169.9</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487,822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487,822</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505,353</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 Lawrence(2)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690,730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828,876</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858,663</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Sam J. Johnson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463,840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463,840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480,509</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D. Attaway</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446,495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446,495</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462,541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54"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2" w:lineRule="exact"/>
        <w:rPr>
          <w:rFonts w:ascii="Arial" w:cs="Arial" w:eastAsia="Arial" w:hAnsi="Arial"/>
          <w:sz w:val="18"/>
          <w:szCs w:val="18"/>
          <w:color w:val="auto"/>
        </w:rPr>
      </w:pPr>
    </w:p>
    <w:p>
      <w:pPr>
        <w:ind w:left="540" w:right="180" w:hanging="424"/>
        <w:spacing w:after="0" w:line="270"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Sign-on Bonus Payment</w:t>
      </w:r>
    </w:p>
    <w:p>
      <w:pPr>
        <w:spacing w:after="0" w:line="12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twelve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92" w:lineRule="exact"/>
        <w:rPr>
          <w:sz w:val="20"/>
          <w:szCs w:val="20"/>
          <w:color w:val="auto"/>
        </w:rPr>
      </w:pPr>
    </w:p>
    <w:p>
      <w:pPr>
        <w:ind w:left="540" w:hanging="31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desire to motivate, retain, and reward executive talent;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need to remain competitive in recruiting;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effectively managing the dilution of equityholders’ interests.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2011 Equity Plan became effective on August 30, 2011 and has been subsequently amended on multiple occasions to increase the number of Membership Units available for issuance thereunder, most recently on August 26,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no further awards will be granted under the 2011 Equity Plan. However, all outstanding awards granted under the 2011 Equity Plan will continue to be governed by the existing terms of the 2011 Equity Plan and the applicable award agreements. We have filed a registration statement on Form S-8 under the Securities Act to register shares of our common stock or securities convertible into or exchangeable for shares of our common stock issued pursuant to our 2011 Equity Plan, our 2020 Equity Plan and the ESPP.</w:t>
      </w:r>
    </w:p>
    <w:p>
      <w:pPr>
        <w:spacing w:after="0" w:line="16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regarding long-term equity incentive compensation, see “—Equity Compensation Plans.”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2011 Equity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Options</w:t>
      </w:r>
    </w:p>
    <w:p>
      <w:pPr>
        <w:spacing w:after="0" w:line="117"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CEO Option Agreement</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Time Options, the 2018 CEO Option Agreement provides:</w:t>
      </w:r>
    </w:p>
    <w:p>
      <w:pPr>
        <w:spacing w:after="0" w:line="131" w:lineRule="exact"/>
        <w:rPr>
          <w:sz w:val="20"/>
          <w:szCs w:val="20"/>
          <w:color w:val="auto"/>
        </w:rPr>
      </w:pPr>
    </w:p>
    <w:p>
      <w:pPr>
        <w:ind w:left="1080" w:right="4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5"/>
          <w:szCs w:val="15"/>
          <w:color w:val="auto"/>
        </w:rPr>
        <w:t>th</w:t>
      </w:r>
      <w:r>
        <w:rPr>
          <w:rFonts w:ascii="Arial" w:cs="Arial" w:eastAsia="Arial" w:hAnsi="Arial"/>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75"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jc w:val="both"/>
        <w:ind w:left="1080" w:right="28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20" w:hanging="424"/>
        <w:spacing w:after="0" w:line="311"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54" w:lineRule="exact"/>
        <w:rPr>
          <w:rFonts w:ascii="Arial" w:cs="Arial" w:eastAsia="Arial" w:hAnsi="Arial"/>
          <w:sz w:val="16"/>
          <w:szCs w:val="16"/>
          <w:color w:val="auto"/>
        </w:rPr>
      </w:pPr>
    </w:p>
    <w:p>
      <w:pPr>
        <w:ind w:left="1540" w:right="40" w:hanging="331"/>
        <w:spacing w:after="0" w:line="293" w:lineRule="auto"/>
        <w:tabs>
          <w:tab w:leader="none" w:pos="15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69" w:lineRule="exact"/>
        <w:rPr>
          <w:rFonts w:ascii="Arial" w:cs="Arial" w:eastAsia="Arial" w:hAnsi="Arial"/>
          <w:sz w:val="16"/>
          <w:szCs w:val="16"/>
          <w:color w:val="auto"/>
        </w:rPr>
      </w:pPr>
    </w:p>
    <w:p>
      <w:pPr>
        <w:ind w:left="2200" w:hanging="545"/>
        <w:spacing w:after="0" w:line="275" w:lineRule="auto"/>
        <w:tabs>
          <w:tab w:leader="none" w:pos="2200" w:val="left"/>
        </w:tabs>
        <w:numPr>
          <w:ilvl w:val="2"/>
          <w:numId w:val="90"/>
        </w:numPr>
        <w:rPr>
          <w:rFonts w:ascii="Arial" w:cs="Arial" w:eastAsia="Arial" w:hAnsi="Arial"/>
          <w:sz w:val="17"/>
          <w:szCs w:val="17"/>
          <w:color w:val="auto"/>
        </w:rPr>
      </w:pPr>
      <w:r>
        <w:rPr>
          <w:rFonts w:ascii="Arial" w:cs="Arial" w:eastAsia="Arial" w:hAnsi="Arial"/>
          <w:sz w:val="17"/>
          <w:szCs w:val="17"/>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0" w:hanging="545"/>
        <w:spacing w:after="0" w:line="255" w:lineRule="auto"/>
        <w:tabs>
          <w:tab w:leader="none" w:pos="22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7" w:lineRule="exact"/>
        <w:rPr>
          <w:rFonts w:ascii="Arial" w:cs="Arial" w:eastAsia="Arial" w:hAnsi="Arial"/>
          <w:sz w:val="18"/>
          <w:szCs w:val="18"/>
          <w:color w:val="auto"/>
        </w:rPr>
      </w:pPr>
    </w:p>
    <w:p>
      <w:pPr>
        <w:ind w:left="2200" w:right="20" w:hanging="545"/>
        <w:spacing w:after="0" w:line="273" w:lineRule="auto"/>
        <w:tabs>
          <w:tab w:leader="none" w:pos="2200" w:val="left"/>
        </w:tabs>
        <w:numPr>
          <w:ilvl w:val="2"/>
          <w:numId w:val="91"/>
        </w:numPr>
        <w:rPr>
          <w:rFonts w:ascii="Arial" w:cs="Arial" w:eastAsia="Arial" w:hAnsi="Arial"/>
          <w:sz w:val="17"/>
          <w:szCs w:val="17"/>
          <w:color w:val="auto"/>
        </w:rPr>
      </w:pPr>
      <w:r>
        <w:rPr>
          <w:rFonts w:ascii="Arial" w:cs="Arial" w:eastAsia="Arial" w:hAnsi="Arial"/>
          <w:sz w:val="17"/>
          <w:szCs w:val="17"/>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83" w:lineRule="exact"/>
        <w:rPr>
          <w:rFonts w:ascii="Arial" w:cs="Arial" w:eastAsia="Arial" w:hAnsi="Arial"/>
          <w:sz w:val="17"/>
          <w:szCs w:val="17"/>
          <w:color w:val="auto"/>
        </w:rPr>
      </w:pPr>
    </w:p>
    <w:p>
      <w:pPr>
        <w:ind w:left="1540" w:right="40" w:hanging="331"/>
        <w:spacing w:after="0" w:line="259"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connection with a Change of Control:</w:t>
      </w:r>
    </w:p>
    <w:p>
      <w:pPr>
        <w:spacing w:after="0" w:line="130" w:lineRule="exact"/>
        <w:rPr>
          <w:rFonts w:ascii="Arial" w:cs="Arial" w:eastAsia="Arial" w:hAnsi="Arial"/>
          <w:sz w:val="18"/>
          <w:szCs w:val="18"/>
          <w:color w:val="auto"/>
        </w:rPr>
      </w:pPr>
    </w:p>
    <w:p>
      <w:pPr>
        <w:ind w:left="1540" w:right="100" w:hanging="331"/>
        <w:spacing w:after="0" w:line="263"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such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540" w:hanging="331"/>
        <w:spacing w:after="0" w:line="257"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CEO Option Agreement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2019 CEO Option Agreement is substantially similar to the 2018 CEO Option Agreement, except that (i) vesting is measured from the grant date (not an earlier vesting commencement date), and (ii) with respect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24"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2"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CEO Option Agreement</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March 5, 2020, the Company granted 870,757 Time Options with an exercise price of $5.49 to Mr. Hicks pursuant to an Option Agreement under the 2011 Equity Plan, or the 2020 CEO Option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of Time Options, the 2020 CEO Option Agreement provides:</w:t>
      </w:r>
    </w:p>
    <w:p>
      <w:pPr>
        <w:spacing w:after="0" w:line="131" w:lineRule="exact"/>
        <w:rPr>
          <w:sz w:val="20"/>
          <w:szCs w:val="20"/>
          <w:color w:val="auto"/>
        </w:rPr>
      </w:pPr>
    </w:p>
    <w:p>
      <w:pPr>
        <w:ind w:left="1080" w:right="80" w:hanging="424"/>
        <w:spacing w:after="0" w:line="301"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1/48</w:t>
      </w:r>
      <w:r>
        <w:rPr>
          <w:rFonts w:ascii="Arial" w:cs="Arial" w:eastAsia="Arial" w:hAnsi="Arial"/>
          <w:sz w:val="13"/>
          <w:szCs w:val="13"/>
          <w:color w:val="auto"/>
        </w:rPr>
        <w:t>th</w:t>
      </w:r>
      <w:r>
        <w:rPr>
          <w:rFonts w:ascii="Arial" w:cs="Arial" w:eastAsia="Arial" w:hAnsi="Arial"/>
          <w:sz w:val="16"/>
          <w:szCs w:val="16"/>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Arial" w:cs="Arial" w:eastAsia="Arial" w:hAnsi="Arial"/>
          <w:sz w:val="13"/>
          <w:szCs w:val="13"/>
          <w:color w:val="auto"/>
        </w:rPr>
        <w:t>th</w:t>
      </w:r>
      <w:r>
        <w:rPr>
          <w:rFonts w:ascii="Arial" w:cs="Arial" w:eastAsia="Arial" w:hAnsi="Arial"/>
          <w:sz w:val="16"/>
          <w:szCs w:val="16"/>
          <w:color w:val="auto"/>
        </w:rPr>
        <w:t xml:space="preserve"> of the Time Options shall be vested and exercisable on the date of such termination.</w:t>
      </w:r>
    </w:p>
    <w:p>
      <w:pPr>
        <w:spacing w:after="0" w:line="62" w:lineRule="exact"/>
        <w:rPr>
          <w:rFonts w:ascii="Arial" w:cs="Arial" w:eastAsia="Arial" w:hAnsi="Arial"/>
          <w:sz w:val="16"/>
          <w:szCs w:val="16"/>
          <w:color w:val="auto"/>
        </w:rPr>
      </w:pPr>
    </w:p>
    <w:p>
      <w:pPr>
        <w:ind w:left="1080" w:right="360" w:hanging="424"/>
        <w:spacing w:after="0" w:line="286"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he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ind w:left="1080" w:right="180" w:hanging="424"/>
        <w:spacing w:after="0" w:line="34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2016 Executive Option Agreement</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2016 Executive Option Agreement is substantially similar to the 2018 CEO Option Agreement, except that it contains the following vesting schedule with respect to the Time Options:</w:t>
      </w:r>
    </w:p>
    <w:p>
      <w:pPr>
        <w:spacing w:after="0" w:line="76" w:lineRule="exact"/>
        <w:rPr>
          <w:sz w:val="20"/>
          <w:szCs w:val="20"/>
          <w:color w:val="auto"/>
        </w:rPr>
      </w:pPr>
    </w:p>
    <w:p>
      <w:pPr>
        <w:ind w:left="1080" w:right="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Mr. Attaway’s continued service through the applicable vesting date.</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2017 Executive Option Agreement</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76" w:lineRule="exact"/>
        <w:rPr>
          <w:sz w:val="20"/>
          <w:szCs w:val="20"/>
          <w:color w:val="auto"/>
        </w:rPr>
      </w:pPr>
    </w:p>
    <w:p>
      <w:pPr>
        <w:ind w:left="1080" w:right="2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March 23, 2017, the Company granted 98,523 Time Options and 49,261 Performance Options with an exercise price of $5.30 (repriced down from $6.03 by the Compensation Committee in 2018) to Mr. Mullican;</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June 6, 2017, the Company granted 73,892 Time Options and 36,946 Performance Options with an exercise price of $5.30 (repriced down from $6.03 by the Compensation Committee in 2018) to Mr. Johnson;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March 23, 2017, the Company granted 123,154 Time Options and 61,576 Performance Options with an exercise price of $5.30 (repriced down from $6.03 by the Compensation Committee in 2018) to Mr. Attaway.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Time Options:</w:t>
      </w:r>
    </w:p>
    <w:p>
      <w:pPr>
        <w:spacing w:after="0" w:line="131" w:lineRule="exact"/>
        <w:rPr>
          <w:sz w:val="20"/>
          <w:szCs w:val="20"/>
          <w:color w:val="auto"/>
        </w:rPr>
      </w:pPr>
    </w:p>
    <w:p>
      <w:pPr>
        <w:ind w:left="1080" w:right="1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the grantee’s continued service through the applicable vesting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Performance Options:</w:t>
      </w:r>
    </w:p>
    <w:p>
      <w:pPr>
        <w:spacing w:after="0" w:line="131" w:lineRule="exact"/>
        <w:rPr>
          <w:sz w:val="20"/>
          <w:szCs w:val="20"/>
          <w:color w:val="auto"/>
        </w:rPr>
      </w:pPr>
    </w:p>
    <w:p>
      <w:pPr>
        <w:ind w:left="1080" w:right="220" w:hanging="424"/>
        <w:spacing w:after="0" w:line="29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66" w:lineRule="exact"/>
        <w:rPr>
          <w:rFonts w:ascii="Arial" w:cs="Arial" w:eastAsia="Arial" w:hAnsi="Arial"/>
          <w:sz w:val="16"/>
          <w:szCs w:val="16"/>
          <w:color w:val="auto"/>
        </w:rPr>
      </w:pPr>
    </w:p>
    <w:p>
      <w:pPr>
        <w:ind w:left="1080" w:hanging="424"/>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-862965</wp:posOffset>
            </wp:positionV>
            <wp:extent cx="285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Executive Option Agreement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76" w:lineRule="exact"/>
        <w:rPr>
          <w:sz w:val="20"/>
          <w:szCs w:val="20"/>
          <w:color w:val="auto"/>
        </w:rPr>
      </w:pPr>
    </w:p>
    <w:p>
      <w:pPr>
        <w:ind w:left="1080" w:right="2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April 5, 2018, the Company granted 128,825 Time Options and 64,412 Performance Options with an exercise price of $5.23 to Mr. Mullican;</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April 5, 2018, the Company granted 104,670 Time Options and 52,335 Performance Options with an exercise price of $5.23 to Mr. Johnson; and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April 5, 2018, the Company granted 112,722 Time Options and 56,361 Performance Options with an exercise price of $5.23 to Mr. Attaway.</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Executive Option Agreement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76"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March 7, 2019,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138,861 Time Options and 68,393 Performance Options with an exercise price of $5.26 to Mr. Mullican;</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121,504 Time Options and 59,844 Performance Options with an exercise price of $5.26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Executive Option Agreement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76"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March 5, 2020,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156,736 Time Options with an exercise price of $5.49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217,689 Time Options with an exercise price of $5.49 to Mr. Lawrence;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156,736 Time Options with an exercise price of $5.49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Time Options, the 2020 Executive Option Agreement provides:</w:t>
      </w:r>
    </w:p>
    <w:p>
      <w:pPr>
        <w:spacing w:after="0" w:line="131" w:lineRule="exact"/>
        <w:rPr>
          <w:sz w:val="20"/>
          <w:szCs w:val="20"/>
          <w:color w:val="auto"/>
        </w:rPr>
      </w:pPr>
    </w:p>
    <w:p>
      <w:pPr>
        <w:ind w:left="1080" w:right="1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the grantee’s continued service through the applicable vesting date.</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ind w:left="1080" w:right="160" w:hanging="424"/>
        <w:spacing w:after="0" w:line="34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IPO), the Company recorded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Independent Non-Employee Director Restricted Unit Agreement</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9"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CEO Restricted Unit Agreement</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2018 CEO Restricted Unit Agreement provides:</w:t>
      </w:r>
    </w:p>
    <w:p>
      <w:pPr>
        <w:spacing w:after="0" w:line="131" w:lineRule="exact"/>
        <w:rPr>
          <w:sz w:val="20"/>
          <w:szCs w:val="20"/>
          <w:color w:val="auto"/>
        </w:rPr>
      </w:pPr>
    </w:p>
    <w:p>
      <w:pPr>
        <w:ind w:left="1080" w:right="180" w:hanging="424"/>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92"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earliest to occur of: (i) the consummation of the IPO, and (ii) the date of a Change of Control, any of the foregoing (i) and (ii) being an Initial Vesting Event, if Mr. Hicks is in continuous service on the date of the Initial Vesting Event.</w:t>
      </w:r>
    </w:p>
    <w:p>
      <w:pPr>
        <w:spacing w:after="0" w:line="89"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right="40" w:hanging="545"/>
        <w:spacing w:after="0" w:line="263" w:lineRule="auto"/>
        <w:tabs>
          <w:tab w:leader="none" w:pos="22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 If the Initial Vesting Event occurs prior to the 24</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vesting commencement date (June 22, 2018), the total number of Restricted Units that will vest on the Initial Vesting Event shall be increased by 1/24</w:t>
      </w:r>
      <w:r>
        <w:rPr>
          <w:rFonts w:ascii="Arial" w:cs="Arial" w:eastAsia="Arial" w:hAnsi="Arial"/>
          <w:sz w:val="15"/>
          <w:szCs w:val="15"/>
          <w:color w:val="auto"/>
        </w:rPr>
        <w:t>th</w:t>
      </w:r>
      <w:r>
        <w:rPr>
          <w:rFonts w:ascii="Arial" w:cs="Arial" w:eastAsia="Arial" w:hAnsi="Arial"/>
          <w:sz w:val="18"/>
          <w:szCs w:val="18"/>
          <w:color w:val="auto"/>
        </w:rPr>
        <w:t xml:space="preserve"> upon each monthly anniversary of the vesting commencement date, and</w:t>
      </w:r>
    </w:p>
    <w:p>
      <w:pPr>
        <w:spacing w:after="0" w:line="89" w:lineRule="exact"/>
        <w:rPr>
          <w:rFonts w:ascii="Arial" w:cs="Arial" w:eastAsia="Arial" w:hAnsi="Arial"/>
          <w:sz w:val="18"/>
          <w:szCs w:val="18"/>
          <w:color w:val="auto"/>
        </w:rPr>
      </w:pPr>
    </w:p>
    <w:p>
      <w:pPr>
        <w:ind w:left="2200" w:right="20" w:hanging="545"/>
        <w:spacing w:after="0" w:line="277" w:lineRule="auto"/>
        <w:tabs>
          <w:tab w:leader="none" w:pos="22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(ii) If the Initial Vesting Event occurs on or after the 24</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vesting commencement date, all of the Restricted Units will vest on the Initial Vesting Event;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provided, that, if Mr. Hicks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40" w:hanging="331"/>
        <w:spacing w:after="0" w:line="257"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the Restricted Units shall become vested as of the IPO based on the vesting schedule set forth in clause (2) above and any then-unvested Restricted Units shall be subject to continued vesting on the vesting schedule set forth below with regard to “Restricted Units Vested after IPO,” if applicable.</w:t>
      </w:r>
    </w:p>
    <w:p>
      <w:pPr>
        <w:spacing w:after="0" w:line="93" w:lineRule="exact"/>
        <w:rPr>
          <w:rFonts w:ascii="Arial" w:cs="Arial" w:eastAsia="Arial" w:hAnsi="Arial"/>
          <w:sz w:val="18"/>
          <w:szCs w:val="18"/>
          <w:color w:val="auto"/>
        </w:rPr>
      </w:pPr>
    </w:p>
    <w:p>
      <w:pPr>
        <w:ind w:left="1540" w:right="120" w:hanging="331"/>
        <w:spacing w:after="0" w:line="263"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Restricted Units Vested after IPO.</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Mr. Hicks was in continuous service on the date of the IPO, then with respect to any unvested Restricted Units as of such date, vesting will continue under the Time and Service Based Requirement as set forth in clause (2) above, each vesting date a Subsequent Vesting Event. If his service is terminated at any time, any then-unvested Restricted Units shall be forfeited as of the date of his termination of service.</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CEO Restricted Unit Agreement</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March 5, 2020, the Company granted 303,279 Restricted Units to Mr. Hicks pursuant to a Restricted Unit Agreement under the 2011 Equity Plan, or the 2020 CEO Restricted Unit Agreement.</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2020 CEO Restricted Unit Agreement provides that only “Earned Restricted Units” are eligible to become vested in accordance with the vesting schedule set forth therein. Restricted Units become “Earned 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Company’s actual consolidated Adjusted EBITDA for the RU Grant Year is: (i) equal to or greater than the “high performance target,” then</w:t>
      </w:r>
    </w:p>
    <w:p>
      <w:pPr>
        <w:spacing w:after="0" w:line="46" w:lineRule="exact"/>
        <w:rPr>
          <w:sz w:val="20"/>
          <w:szCs w:val="20"/>
          <w:color w:val="auto"/>
        </w:rPr>
      </w:pPr>
    </w:p>
    <w:p>
      <w:pPr>
        <w:ind w:left="120" w:right="380"/>
        <w:spacing w:after="0" w:line="277" w:lineRule="auto"/>
        <w:rPr>
          <w:sz w:val="20"/>
          <w:szCs w:val="20"/>
          <w:color w:val="auto"/>
        </w:rPr>
      </w:pPr>
      <w:r>
        <w:rPr>
          <w:rFonts w:ascii="Arial" w:cs="Arial" w:eastAsia="Arial" w:hAnsi="Arial"/>
          <w:sz w:val="17"/>
          <w:szCs w:val="17"/>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73"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311"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54" w:lineRule="exact"/>
        <w:rPr>
          <w:rFonts w:ascii="Arial" w:cs="Arial" w:eastAsia="Arial" w:hAnsi="Arial"/>
          <w:sz w:val="16"/>
          <w:szCs w:val="16"/>
          <w:color w:val="auto"/>
        </w:rPr>
      </w:pPr>
    </w:p>
    <w:p>
      <w:pPr>
        <w:jc w:val="both"/>
        <w:ind w:left="1540" w:right="60" w:hanging="331"/>
        <w:spacing w:after="0" w:line="263"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earlier to occur of: (i) the consummation of the IPO, and (ii) the date of a Change of Control, any of the foregoing (i) and (ii) being an Initial Vesting Event, if Mr. Hicks is in continuous service on the date of the Initial Vesting Event.</w:t>
      </w:r>
    </w:p>
    <w:p>
      <w:pPr>
        <w:spacing w:after="0" w:line="89"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75" w:lineRule="exact"/>
        <w:rPr>
          <w:rFonts w:ascii="Arial" w:cs="Arial" w:eastAsia="Arial" w:hAnsi="Arial"/>
          <w:sz w:val="18"/>
          <w:szCs w:val="18"/>
          <w:color w:val="auto"/>
        </w:rPr>
      </w:pPr>
    </w:p>
    <w:p>
      <w:pPr>
        <w:ind w:left="2200" w:hanging="545"/>
        <w:spacing w:after="0" w:line="296" w:lineRule="auto"/>
        <w:tabs>
          <w:tab w:leader="none" w:pos="220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(i) If the Initial Vesting Event occurs prior to the 48</w:t>
      </w:r>
      <w:r>
        <w:rPr>
          <w:rFonts w:ascii="Arial" w:cs="Arial" w:eastAsia="Arial" w:hAnsi="Arial"/>
          <w:sz w:val="13"/>
          <w:szCs w:val="13"/>
          <w:color w:val="auto"/>
        </w:rPr>
        <w:t>th</w:t>
      </w:r>
      <w:r>
        <w:rPr>
          <w:rFonts w:ascii="Arial" w:cs="Arial" w:eastAsia="Arial" w:hAnsi="Arial"/>
          <w:sz w:val="16"/>
          <w:szCs w:val="16"/>
          <w:color w:val="auto"/>
        </w:rPr>
        <w:t xml:space="preserve"> monthly anniversary of the grant date, the total number of Earned Restricted Units that will vest on the Initial Vesting Event shall be increased by 1/48</w:t>
      </w:r>
      <w:r>
        <w:rPr>
          <w:rFonts w:ascii="Arial" w:cs="Arial" w:eastAsia="Arial" w:hAnsi="Arial"/>
          <w:sz w:val="13"/>
          <w:szCs w:val="13"/>
          <w:color w:val="auto"/>
        </w:rPr>
        <w:t>th</w:t>
      </w:r>
      <w:r>
        <w:rPr>
          <w:rFonts w:ascii="Arial" w:cs="Arial" w:eastAsia="Arial" w:hAnsi="Arial"/>
          <w:sz w:val="16"/>
          <w:szCs w:val="16"/>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Arial" w:cs="Arial" w:eastAsia="Arial" w:hAnsi="Arial"/>
          <w:sz w:val="13"/>
          <w:szCs w:val="13"/>
          <w:color w:val="auto"/>
        </w:rPr>
        <w:t>th</w:t>
      </w:r>
      <w:r>
        <w:rPr>
          <w:rFonts w:ascii="Arial" w:cs="Arial" w:eastAsia="Arial" w:hAnsi="Arial"/>
          <w:sz w:val="16"/>
          <w:szCs w:val="16"/>
          <w:color w:val="auto"/>
        </w:rPr>
        <w:t xml:space="preserve"> of the Earned Restricted Units will vest on the Initial Vesting Event, and</w:t>
      </w:r>
    </w:p>
    <w:p>
      <w:pPr>
        <w:spacing w:after="0" w:line="66" w:lineRule="exact"/>
        <w:rPr>
          <w:rFonts w:ascii="Arial" w:cs="Arial" w:eastAsia="Arial" w:hAnsi="Arial"/>
          <w:sz w:val="16"/>
          <w:szCs w:val="16"/>
          <w:color w:val="auto"/>
        </w:rPr>
      </w:pPr>
    </w:p>
    <w:p>
      <w:pPr>
        <w:ind w:left="2200" w:right="20" w:hanging="545"/>
        <w:spacing w:after="0" w:line="277" w:lineRule="auto"/>
        <w:tabs>
          <w:tab w:leader="none" w:pos="22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(ii) If the Initial Vesting Event occurs on or after the 48</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grant date, all of the Earned Restricted Units will vest on the Initial Vesting Event;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Earned Restricted Units Vested at Initial Vesting Event.</w:t>
      </w:r>
    </w:p>
    <w:p>
      <w:pPr>
        <w:spacing w:after="0" w:line="130" w:lineRule="exact"/>
        <w:rPr>
          <w:rFonts w:ascii="Arial" w:cs="Arial" w:eastAsia="Arial" w:hAnsi="Arial"/>
          <w:sz w:val="18"/>
          <w:szCs w:val="18"/>
          <w:color w:val="auto"/>
        </w:rPr>
      </w:pPr>
    </w:p>
    <w:p>
      <w:pPr>
        <w:ind w:left="1540" w:right="120" w:hanging="331"/>
        <w:spacing w:after="0" w:line="257" w:lineRule="auto"/>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93"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Earned Restricted Units Vested after IPO.</w:t>
      </w:r>
    </w:p>
    <w:p>
      <w:pPr>
        <w:spacing w:after="0" w:line="130" w:lineRule="exact"/>
        <w:rPr>
          <w:rFonts w:ascii="Arial" w:cs="Arial" w:eastAsia="Arial" w:hAnsi="Arial"/>
          <w:sz w:val="18"/>
          <w:szCs w:val="18"/>
          <w:color w:val="auto"/>
        </w:rPr>
      </w:pPr>
    </w:p>
    <w:p>
      <w:pPr>
        <w:ind w:left="1540" w:right="100" w:hanging="331"/>
        <w:spacing w:after="0" w:line="259" w:lineRule="auto"/>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Mr. Hicks was in continuous service on the date of the IPO, then with respect to any unvested Earned Restricted Units as of such date, vesting will continue under the Time and Service Based Requirement schedule as set forth in clause (2) above, each vesting date, a Subsequent Vesting Event. If his service is terminated, any then-unvested Earned Restricted Units shall be forfeited as of the date of his termination of service.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2020 CEO Restricted Unit Agreement provides that within 30 days following the occurrence of the Initial Vesting Event or any Subsequent Vesting Event as set forth above, Earned Restricted Units that vest as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Initial Vesting Event or any Subsequent Vesting Event shall be settled; provided, that if the Initial Vesting Event is an IPO,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Executive Restricted Unit Agreement</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76"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June 22, 2018,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377,359 Restricted Units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235,850 Restricted Units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the 2018 Executive Restricted Unit Agreement provides:</w:t>
      </w:r>
    </w:p>
    <w:p>
      <w:pPr>
        <w:spacing w:after="0" w:line="131" w:lineRule="exact"/>
        <w:rPr>
          <w:sz w:val="20"/>
          <w:szCs w:val="20"/>
          <w:color w:val="auto"/>
        </w:rPr>
      </w:pPr>
    </w:p>
    <w:p>
      <w:pPr>
        <w:jc w:val="both"/>
        <w:ind w:left="1080" w:right="180" w:hanging="424"/>
        <w:spacing w:after="0" w:line="287"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 and (2) below:</w:t>
      </w:r>
    </w:p>
    <w:p>
      <w:pPr>
        <w:spacing w:after="0" w:line="116" w:lineRule="exact"/>
        <w:rPr>
          <w:sz w:val="20"/>
          <w:szCs w:val="20"/>
          <w:color w:val="auto"/>
        </w:rPr>
      </w:pPr>
    </w:p>
    <w:p>
      <w:pPr>
        <w:jc w:val="both"/>
        <w:ind w:left="1540" w:hanging="331"/>
        <w:spacing w:after="0" w:line="263" w:lineRule="auto"/>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earlier to occur of: (i) the consummation of the IPO, and (ii) the date of a Change of Control, any of the foregoing (i) and (ii) being an Initial Vesting Event, if the grantee is in continuous service on the date of the Initial Vesting Event.</w:t>
      </w:r>
    </w:p>
    <w:p>
      <w:pPr>
        <w:spacing w:after="0" w:line="89"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 25% on or after the first anniversary of the grant date but prior to the second anniversary of the grant date,</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(ii) 25% on or after the second anniversary of the grant date but prior to the third anniversary of the grant date,</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(iii) 25% on or after the third anniversary of the grant date but prior to the fourth anniversary of the grant date, and</w:t>
      </w:r>
    </w:p>
    <w:p>
      <w:pPr>
        <w:spacing w:after="0" w:line="142" w:lineRule="exact"/>
        <w:rPr>
          <w:rFonts w:ascii="Arial" w:cs="Arial" w:eastAsia="Arial" w:hAnsi="Arial"/>
          <w:sz w:val="17"/>
          <w:szCs w:val="17"/>
          <w:color w:val="auto"/>
        </w:rPr>
      </w:pPr>
    </w:p>
    <w:p>
      <w:pPr>
        <w:ind w:left="2200" w:hanging="545"/>
        <w:spacing w:after="0"/>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(iv) 25% on or after the fourth anniversary of the grant date;</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460" w:hanging="331"/>
        <w:spacing w:after="0" w:line="277" w:lineRule="auto"/>
        <w:tabs>
          <w:tab w:leader="none" w:pos="15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grantee is in continuous service on the date of the Initial Vesting Event, then (i) if the Initial Vesting Event is a Change of Control, all of the Restricted Units will become vested upon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86" w:lineRule="auto"/>
        <w:rPr>
          <w:sz w:val="20"/>
          <w:szCs w:val="20"/>
          <w:color w:val="auto"/>
        </w:rPr>
      </w:pPr>
      <w:r>
        <w:rPr>
          <w:rFonts w:ascii="Arial" w:cs="Arial" w:eastAsia="Arial" w:hAnsi="Arial"/>
          <w:sz w:val="17"/>
          <w:szCs w:val="17"/>
          <w:color w:val="auto"/>
        </w:rPr>
        <w:t>Change of Control, and (ii) if the Initial Vesting Event is an IPO, the Restricted Units shall become vested as of the IPO based on the vesting schedule set forth in clause (2) above and any then-unvested Restricted Units shall be subject to continued vesting on the vesting schedule set forth below with regard to “Restricted Units Vested after IPO,” if applicable.</w:t>
      </w:r>
    </w:p>
    <w:p>
      <w:pPr>
        <w:spacing w:after="0" w:line="71" w:lineRule="exact"/>
        <w:rPr>
          <w:sz w:val="20"/>
          <w:szCs w:val="20"/>
          <w:color w:val="auto"/>
        </w:rPr>
      </w:pPr>
    </w:p>
    <w:p>
      <w:pPr>
        <w:jc w:val="both"/>
        <w:ind w:left="1540" w:right="160" w:hanging="331"/>
        <w:spacing w:after="0" w:line="263" w:lineRule="auto"/>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Restricted Units Vested after IPO.</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any then-unvested Restricted Units shall be forfeited as of the date of the grantee’s termination of service.</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Executive Restricted Unit Agreement</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Executive Restricted Unit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granted the following awards of Restricted Units to each of Messrs. Mullican, Lawrence, Johnson, and Attaway pursuant to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Unit Agreement under the 2011 Equity Plan, or the 2020 Executive Restricted Unit Agreement:</w:t>
      </w:r>
    </w:p>
    <w:p>
      <w:pPr>
        <w:spacing w:after="0" w:line="116"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March 5, 2020,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54,591 Restricted Units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75,820 Restricted Units to Mr. Lawrence;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54,591 Restricted Units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39,427 Restricted Units to Mr. Attaway.</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76" w:lineRule="exact"/>
        <w:rPr>
          <w:sz w:val="20"/>
          <w:szCs w:val="20"/>
          <w:color w:val="auto"/>
        </w:rPr>
      </w:pPr>
    </w:p>
    <w:p>
      <w:pPr>
        <w:ind w:left="1080" w:right="86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75" w:lineRule="exact"/>
        <w:rPr>
          <w:rFonts w:ascii="Arial" w:cs="Arial" w:eastAsia="Arial" w:hAnsi="Arial"/>
          <w:sz w:val="18"/>
          <w:szCs w:val="18"/>
          <w:color w:val="auto"/>
        </w:rPr>
      </w:pPr>
    </w:p>
    <w:p>
      <w:pPr>
        <w:ind w:left="1540" w:right="520" w:hanging="331"/>
        <w:spacing w:after="0" w:line="342" w:lineRule="auto"/>
        <w:tabs>
          <w:tab w:leader="none" w:pos="15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540" w:hanging="331"/>
        <w:spacing w:after="0" w:line="277" w:lineRule="auto"/>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(ii) 50% on or after the second anniversary of the vesting commencement date but prior to the third anniversary of the vesting commencement date,</w:t>
      </w:r>
    </w:p>
    <w:p>
      <w:pPr>
        <w:spacing w:after="0" w:line="75" w:lineRule="exact"/>
        <w:rPr>
          <w:rFonts w:ascii="Arial" w:cs="Arial" w:eastAsia="Arial" w:hAnsi="Arial"/>
          <w:sz w:val="18"/>
          <w:szCs w:val="18"/>
          <w:color w:val="auto"/>
        </w:rPr>
      </w:pPr>
    </w:p>
    <w:p>
      <w:pPr>
        <w:ind w:left="1540" w:right="540" w:hanging="331"/>
        <w:spacing w:after="0" w:line="277" w:lineRule="auto"/>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(iii) 75% on or after the third anniversary of the vesting commencement date but prior to the fourth anniversary of the vesting commencement date,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(iv) 100% on or after the fourth anniversary of the vesting commencement date.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Restricted Unit Awards Granted in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August 26, 2020, the Company granted the following awards of Restricted Units to each of the Named Executive Officers pursuant to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Unit Agreement under the 2011 Equity Plan, or the August 2020 Restricted Unit Agreement:</w:t>
      </w:r>
    </w:p>
    <w:p>
      <w:pPr>
        <w:spacing w:after="0" w:line="116"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777,203 to Mr. Hicks;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345,424 to Mr. Mullican;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345,424 to Mr. Lawrence;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345,424 to Mr. Johnson;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86,356 to Mr. Attaway.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August 2020 Restricted Unit Agreement provides:</w:t>
      </w:r>
    </w:p>
    <w:p>
      <w:pPr>
        <w:spacing w:after="0" w:line="131" w:lineRule="exact"/>
        <w:rPr>
          <w:sz w:val="20"/>
          <w:szCs w:val="20"/>
          <w:color w:val="auto"/>
        </w:rPr>
      </w:pPr>
    </w:p>
    <w:p>
      <w:pPr>
        <w:ind w:left="1080" w:right="120" w:hanging="424"/>
        <w:spacing w:after="0" w:line="287"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Settlement of Restricted Units is conditioned on satisfaction of two vesting requirements before the tenth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 and (2) below:</w:t>
      </w:r>
    </w:p>
    <w:p>
      <w:pPr>
        <w:spacing w:after="0" w:line="116" w:lineRule="exact"/>
        <w:rPr>
          <w:sz w:val="20"/>
          <w:szCs w:val="20"/>
          <w:color w:val="auto"/>
        </w:rPr>
      </w:pPr>
    </w:p>
    <w:p>
      <w:pPr>
        <w:ind w:left="1540" w:right="60" w:hanging="331"/>
        <w:spacing w:after="0" w:line="257"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earliest to occur of: (i) the consummation of the IPO, (ii) the consummation of an acquisition of the Company or one of its affiliates by, or merger of the Company or one of its affiliates with, a publicly traded special purpose acquisition company, which consummation does not thereupon result in a Change of Control, or a SPAC Event, and (iii) the date of a Change of Control, any of the foregoing (i) to (iii) being an Initial Vesting Event, if the executive is in continuous service on the date of the Initial Vesting Event.</w:t>
      </w:r>
    </w:p>
    <w:p>
      <w:pPr>
        <w:spacing w:after="0" w:line="93"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 Provided that the executive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25% on or after the first anniversary of the grant date but prior to the second anniversary of the grant date, and</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75% on or after the second anniversary of the grant date;</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provided, that, if the executive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180" w:hanging="331"/>
        <w:spacing w:after="0" w:line="311" w:lineRule="auto"/>
        <w:tabs>
          <w:tab w:leader="none" w:pos="15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the executive is in continuous service on the date of the Initial Vesting Event, then (i) if the Initial Vesting Event is a Change of Control, all (100%) of the Restricted Units will become vested upon the Change of Control, and (ii) if the Initial Vesting Event is a SPAC Event or an IPO, the Restricted Units shall become vested as of the SPAC Event or IPO based on the vesting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00"/>
        <w:spacing w:after="0" w:line="308" w:lineRule="auto"/>
        <w:rPr>
          <w:sz w:val="20"/>
          <w:szCs w:val="20"/>
          <w:color w:val="auto"/>
        </w:rPr>
      </w:pPr>
      <w:r>
        <w:rPr>
          <w:rFonts w:ascii="Arial" w:cs="Arial" w:eastAsia="Arial" w:hAnsi="Arial"/>
          <w:sz w:val="17"/>
          <w:szCs w:val="17"/>
          <w:color w:val="auto"/>
        </w:rPr>
        <w:t>schedule set forth in clause (2) above and any then-unvested Restricted Units shall be subject to continued vesting on the vesting schedule set forth below with regard to “Restricted Units Vested after SPAC Event or IPO,” if applicable.</w:t>
      </w:r>
    </w:p>
    <w:p>
      <w:pPr>
        <w:spacing w:after="0" w:line="52" w:lineRule="exact"/>
        <w:rPr>
          <w:sz w:val="20"/>
          <w:szCs w:val="20"/>
          <w:color w:val="auto"/>
        </w:rPr>
      </w:pPr>
    </w:p>
    <w:p>
      <w:pPr>
        <w:ind w:left="1540" w:right="40" w:hanging="331"/>
        <w:spacing w:after="0" w:line="263"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executive’s continuous service terminates for any reason prior to the date of the Initial Vesting Event, then all Restricted Units, including those Restricted Units that met the Time and Service Based Requirement at the time of the termination of service, will be forfeited as of the date of termination of service.</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Restricted Units Vested after SPAC Event or IPO.</w:t>
      </w:r>
    </w:p>
    <w:p>
      <w:pPr>
        <w:spacing w:after="0" w:line="130" w:lineRule="exact"/>
        <w:rPr>
          <w:rFonts w:ascii="Arial" w:cs="Arial" w:eastAsia="Arial" w:hAnsi="Arial"/>
          <w:sz w:val="18"/>
          <w:szCs w:val="18"/>
          <w:color w:val="auto"/>
        </w:rPr>
      </w:pPr>
    </w:p>
    <w:p>
      <w:pPr>
        <w:ind w:left="2200" w:right="60" w:hanging="545"/>
        <w:spacing w:after="0" w:line="291" w:lineRule="auto"/>
        <w:tabs>
          <w:tab w:leader="none" w:pos="22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the executive is in continuous service on the date of the SPAC Event or the IPO, then with respect to any unvested Restricted Units as of such date, vesting will continue under the Time and Service Based Requirement as set forth in clause</w:t>
      </w:r>
    </w:p>
    <w:p>
      <w:pPr>
        <w:ind w:left="2200" w:right="140"/>
        <w:spacing w:after="0" w:line="323" w:lineRule="auto"/>
        <w:rPr>
          <w:rFonts w:ascii="Arial" w:cs="Arial" w:eastAsia="Arial" w:hAnsi="Arial"/>
          <w:sz w:val="16"/>
          <w:szCs w:val="16"/>
          <w:color w:val="auto"/>
        </w:rPr>
      </w:pPr>
      <w:r>
        <w:rPr>
          <w:rFonts w:ascii="Arial" w:cs="Arial" w:eastAsia="Arial" w:hAnsi="Arial"/>
          <w:sz w:val="16"/>
          <w:szCs w:val="16"/>
          <w:color w:val="auto"/>
        </w:rPr>
        <w:t>(2) above, each vesting date a Subsequent Vesting Event. If the executive’s service is terminated at any time following the SPAC Event or the IPO, any then-unvested Restricted Units shall be forfeited as of the date of termination of service.</w:t>
      </w:r>
    </w:p>
    <w:p>
      <w:pPr>
        <w:spacing w:after="0" w:line="13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August 2020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IPO Equity Awards under 2020 Equity Plan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Compensation Committee has adopted and our equityholders approved the 2020 Equity Plan. Equity awards under the 2020 Equity Plan are designed to reward our employees, including our Named Executive Officers, for long-term equityholder value creation. In determining equity awards for our Named Executive Officers, our Compensation Committee will take into account the Company’s overall financial performance as well as its performance versus competitor firms. The awards made under the 2020 Equity Plan concurrent with the IPO, as described below, were granted to ensure such individuals’ alignment with our equityholders’ interests and to provide a retention element to their compensation.</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the 2020 Equity Plan, concurrent with the pricing (in the case of options) and closing (in the case of restricted stock units) of the IPO, we granted 140,525 options in the aggregate and 12,772 restricted stock units in the aggregate to employees who are not Section 16 officers. The options have a per share exercise price equal to the initial public offering price.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 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Pension Benefits</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Nonqualified Deferred Compensation</w:t>
      </w:r>
    </w:p>
    <w:p>
      <w:pPr>
        <w:spacing w:after="0" w:line="11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Benefits</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benefits described below are provided to the Named Executive Officers to eliminate potential distractions from performing their regular job duties and to promote productivity, health and wellbeing. We 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Hicks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60" w:hanging="4"/>
        <w:spacing w:after="0" w:line="308" w:lineRule="auto"/>
        <w:tabs>
          <w:tab w:leader="none" w:pos="77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hanging="4"/>
        <w:spacing w:after="0" w:line="277" w:lineRule="auto"/>
        <w:tabs>
          <w:tab w:leader="none" w:pos="8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he shall have use of a company-owned vehicle when in Katy, Texas with satellite radio and all maintenance and insurance costs with respect to such vehicle; and</w:t>
      </w:r>
    </w:p>
    <w:p>
      <w:pPr>
        <w:spacing w:after="0" w:line="62" w:lineRule="exact"/>
        <w:rPr>
          <w:rFonts w:ascii="Arial" w:cs="Arial" w:eastAsia="Arial" w:hAnsi="Arial"/>
          <w:sz w:val="18"/>
          <w:szCs w:val="18"/>
          <w:color w:val="auto"/>
        </w:rPr>
      </w:pPr>
    </w:p>
    <w:p>
      <w:pPr>
        <w:ind w:left="560" w:right="160" w:hanging="4"/>
        <w:spacing w:after="0" w:line="263" w:lineRule="auto"/>
        <w:tabs>
          <w:tab w:leader="none" w:pos="8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Johnson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2019, pursuant to his employment agreement, the Company provided Mr. Johnson reimbursement for relocation expenses, with a tax gross-up.</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Attaway</w:t>
      </w:r>
    </w:p>
    <w:p>
      <w:pPr>
        <w:spacing w:after="0" w:line="117"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2019, Mr. Attaway received tax preparation reimbursement regarding his Allstar Managers unit subscription, which was offered to all employees who subscribed for units at that time. This benefit will cease to apply in 2020 by mutual agreement of the Company and Mr. Attaway.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Each Named Executive Officer is entitled to receive severance benefits under the terms of his employment agreement upon either termination by us without cause or a resignation by the Named Executive Officer for good 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5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and Accounting Implications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total compensation earned by our Named Executive Officers in the fiscal year ended February 1, 2020 (or</w:t>
      </w:r>
    </w:p>
    <w:p>
      <w:pPr>
        <w:spacing w:after="0" w:line="46"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 Equity</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Option Awards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40" w:type="dxa"/>
            <w:vAlign w:val="bottom"/>
            <w:vMerge w:val="restart"/>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Year</w:t>
            </w:r>
          </w:p>
        </w:tc>
        <w:tc>
          <w:tcPr>
            <w:tcW w:w="8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2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5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860" w:type="dxa"/>
            <w:vAlign w:val="bottom"/>
          </w:tcPr>
          <w:p>
            <w:pPr>
              <w:ind w:left="260"/>
              <w:spacing w:after="0" w:line="158" w:lineRule="exact"/>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5"/>
                <w:szCs w:val="15"/>
                <w:color w:val="auto"/>
              </w:rPr>
            </w:pPr>
          </w:p>
        </w:tc>
        <w:tc>
          <w:tcPr>
            <w:tcW w:w="9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($)(6)</w:t>
            </w:r>
          </w:p>
        </w:tc>
        <w:tc>
          <w:tcPr>
            <w:tcW w:w="2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3700" w:type="dxa"/>
            <w:vAlign w:val="bottom"/>
            <w:tcBorders>
              <w:top w:val="single" w:sz="8" w:color="CCEEFF"/>
            </w:tcBorders>
            <w:gridSpan w:val="2"/>
            <w:shd w:val="clear" w:color="auto" w:fill="CCEEFF"/>
          </w:tcPr>
          <w:p>
            <w:pPr>
              <w:spacing w:after="0" w:line="103" w:lineRule="exact"/>
              <w:rPr>
                <w:sz w:val="20"/>
                <w:szCs w:val="20"/>
                <w:color w:val="auto"/>
              </w:rPr>
            </w:pPr>
            <w:r>
              <w:rPr>
                <w:rFonts w:ascii="Arial" w:cs="Arial" w:eastAsia="Arial" w:hAnsi="Arial"/>
                <w:sz w:val="11"/>
                <w:szCs w:val="11"/>
                <w:color w:val="auto"/>
              </w:rPr>
              <w:t>Ken C. Hicks</w:t>
            </w: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Chairman, President, and Chief Executive Officer</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6"/>
              </w:rPr>
              <w:t>1,100,000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2,808,290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1,868,667</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1,089,042</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6,865,999</w:t>
            </w:r>
          </w:p>
        </w:tc>
        <w:tc>
          <w:tcPr>
            <w:tcW w:w="0" w:type="dxa"/>
            <w:vAlign w:val="bottom"/>
          </w:tcPr>
          <w:p>
            <w:pPr>
              <w:spacing w:after="0"/>
              <w:rPr>
                <w:sz w:val="1"/>
                <w:szCs w:val="1"/>
                <w:color w:val="auto"/>
              </w:rPr>
            </w:pPr>
          </w:p>
        </w:tc>
      </w:tr>
      <w:tr>
        <w:trPr>
          <w:trHeight w:val="130"/>
        </w:trPr>
        <w:tc>
          <w:tcPr>
            <w:tcW w:w="3700" w:type="dxa"/>
            <w:vAlign w:val="bottom"/>
            <w:gridSpan w:val="2"/>
          </w:tcPr>
          <w:p>
            <w:pPr>
              <w:spacing w:after="0" w:line="130" w:lineRule="exact"/>
              <w:rPr>
                <w:sz w:val="20"/>
                <w:szCs w:val="20"/>
                <w:color w:val="auto"/>
              </w:rPr>
            </w:pPr>
            <w:r>
              <w:rPr>
                <w:rFonts w:ascii="Arial" w:cs="Arial" w:eastAsia="Arial" w:hAnsi="Arial"/>
                <w:sz w:val="14"/>
                <w:szCs w:val="14"/>
                <w:color w:val="auto"/>
              </w:rPr>
              <w:t>Michael P. Mullican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spacing w:after="0"/>
              <w:rPr>
                <w:sz w:val="20"/>
                <w:szCs w:val="20"/>
                <w:color w:val="auto"/>
              </w:rPr>
            </w:pPr>
            <w:r>
              <w:rPr>
                <w:rFonts w:ascii="Arial" w:cs="Arial" w:eastAsia="Arial" w:hAnsi="Arial"/>
                <w:sz w:val="14"/>
                <w:szCs w:val="14"/>
                <w:color w:val="auto"/>
              </w:rPr>
              <w:t>EVP, Chief Financial Officer</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487,827</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571,336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505,353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23,667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1,588,183</w:t>
            </w:r>
          </w:p>
        </w:tc>
        <w:tc>
          <w:tcPr>
            <w:tcW w:w="0" w:type="dxa"/>
            <w:vAlign w:val="bottom"/>
          </w:tcPr>
          <w:p>
            <w:pPr>
              <w:spacing w:after="0"/>
              <w:rPr>
                <w:sz w:val="1"/>
                <w:szCs w:val="1"/>
                <w:color w:val="auto"/>
              </w:rPr>
            </w:pPr>
          </w:p>
        </w:tc>
      </w:tr>
      <w:tr>
        <w:trPr>
          <w:trHeight w:val="130"/>
        </w:trPr>
        <w:tc>
          <w:tcPr>
            <w:tcW w:w="3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Steven P. Lawrence</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EVP, Chief Merchandising Officer(7)</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677,596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200,000</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1,428,983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858,663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3,165,242</w:t>
            </w:r>
          </w:p>
        </w:tc>
        <w:tc>
          <w:tcPr>
            <w:tcW w:w="0" w:type="dxa"/>
            <w:vAlign w:val="bottom"/>
          </w:tcPr>
          <w:p>
            <w:pPr>
              <w:spacing w:after="0"/>
              <w:rPr>
                <w:sz w:val="1"/>
                <w:szCs w:val="1"/>
                <w:color w:val="auto"/>
              </w:rPr>
            </w:pPr>
          </w:p>
        </w:tc>
      </w:tr>
      <w:tr>
        <w:trPr>
          <w:trHeight w:val="130"/>
        </w:trPr>
        <w:tc>
          <w:tcPr>
            <w:tcW w:w="3700" w:type="dxa"/>
            <w:vAlign w:val="bottom"/>
            <w:gridSpan w:val="2"/>
          </w:tcPr>
          <w:p>
            <w:pPr>
              <w:spacing w:after="0" w:line="130" w:lineRule="exact"/>
              <w:rPr>
                <w:sz w:val="20"/>
                <w:szCs w:val="20"/>
                <w:color w:val="auto"/>
              </w:rPr>
            </w:pPr>
            <w:r>
              <w:rPr>
                <w:rFonts w:ascii="Arial" w:cs="Arial" w:eastAsia="Arial" w:hAnsi="Arial"/>
                <w:sz w:val="14"/>
                <w:szCs w:val="14"/>
                <w:color w:val="auto"/>
              </w:rPr>
              <w:t>Samuel J. Johnson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spacing w:after="0"/>
              <w:rPr>
                <w:sz w:val="20"/>
                <w:szCs w:val="20"/>
                <w:color w:val="auto"/>
              </w:rPr>
            </w:pPr>
            <w:r>
              <w:rPr>
                <w:rFonts w:ascii="Arial" w:cs="Arial" w:eastAsia="Arial" w:hAnsi="Arial"/>
                <w:sz w:val="14"/>
                <w:szCs w:val="14"/>
                <w:color w:val="auto"/>
              </w:rPr>
              <w:t>EVP, Retail Operations</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463,884</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499,922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480,509</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53,867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1,498,182</w:t>
            </w:r>
          </w:p>
        </w:tc>
        <w:tc>
          <w:tcPr>
            <w:tcW w:w="0" w:type="dxa"/>
            <w:vAlign w:val="bottom"/>
          </w:tcPr>
          <w:p>
            <w:pPr>
              <w:spacing w:after="0"/>
              <w:rPr>
                <w:sz w:val="1"/>
                <w:szCs w:val="1"/>
                <w:color w:val="auto"/>
              </w:rPr>
            </w:pPr>
          </w:p>
        </w:tc>
      </w:tr>
      <w:tr>
        <w:trPr>
          <w:trHeight w:val="130"/>
        </w:trPr>
        <w:tc>
          <w:tcPr>
            <w:tcW w:w="3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Kenneth D. Attaway</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EVP, Chief Operations Officer</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446,500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464,211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462,541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26,204</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1,399,456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Named Executive Officer’s base salary earned during 2019.</w:t>
      </w:r>
    </w:p>
    <w:p>
      <w:pPr>
        <w:spacing w:after="0" w:line="23"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w:t>
      </w:r>
    </w:p>
    <w:p>
      <w:pPr>
        <w:spacing w:after="0" w:line="1" w:lineRule="exact"/>
        <w:rPr>
          <w:rFonts w:ascii="Arial" w:cs="Arial" w:eastAsia="Arial" w:hAnsi="Arial"/>
          <w:sz w:val="16"/>
          <w:szCs w:val="16"/>
          <w:color w:val="auto"/>
        </w:rPr>
      </w:pPr>
    </w:p>
    <w:p>
      <w:pPr>
        <w:ind w:left="540" w:right="20"/>
        <w:spacing w:after="0" w:line="250" w:lineRule="auto"/>
        <w:rPr>
          <w:rFonts w:ascii="Arial" w:cs="Arial" w:eastAsia="Arial" w:hAnsi="Arial"/>
          <w:sz w:val="16"/>
          <w:szCs w:val="16"/>
          <w:color w:val="auto"/>
        </w:rPr>
      </w:pPr>
      <w:r>
        <w:rPr>
          <w:rFonts w:ascii="Arial" w:cs="Arial" w:eastAsia="Arial" w:hAnsi="Arial"/>
          <w:sz w:val="18"/>
          <w:szCs w:val="18"/>
          <w:color w:val="auto"/>
        </w:rPr>
        <w:t>In the period in which the Company’s liquidity event occurs (e.g., in connection with the IPO), the Company recorded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1"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Arial" w:cs="Arial" w:eastAsia="Arial" w:hAnsi="Arial"/>
          <w:sz w:val="16"/>
          <w:szCs w:val="16"/>
          <w:i w:val="1"/>
          <w:iCs w:val="1"/>
          <w:color w:val="auto"/>
        </w:rPr>
        <w:t>Equity and Unit-Based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to our audited consolidated financial statements included elsewhere in this prospectus. The grant date fair value of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3" w:lineRule="exact"/>
        <w:rPr>
          <w:rFonts w:ascii="Arial" w:cs="Arial" w:eastAsia="Arial" w:hAnsi="Arial"/>
          <w:sz w:val="16"/>
          <w:szCs w:val="16"/>
          <w:color w:val="auto"/>
        </w:rPr>
      </w:pPr>
    </w:p>
    <w:p>
      <w:pPr>
        <w:ind w:left="540" w:right="480" w:hanging="424"/>
        <w:spacing w:after="0" w:line="250"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 a description of our perquisites, see “Other Compensation—Perquisites and Other Benefits” in this Compensation Discussion and Analysis.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color w:val="auto"/>
        </w:rPr>
        <w:t>“All Other Compensation” for Mr. Hicks includes the following perquisites, pursuant to Mr. Hicks’ employment agreement and which were approved by the Compensation Committee:</w:t>
      </w:r>
    </w:p>
    <w:p>
      <w:pPr>
        <w:spacing w:after="0" w:line="62" w:lineRule="exact"/>
        <w:rPr>
          <w:sz w:val="20"/>
          <w:szCs w:val="20"/>
          <w:color w:val="auto"/>
        </w:rPr>
      </w:pPr>
    </w:p>
    <w:p>
      <w:pPr>
        <w:ind w:left="1100" w:right="80" w:firstLine="7"/>
        <w:spacing w:after="0" w:line="342" w:lineRule="auto"/>
        <w:tabs>
          <w:tab w:leader="none" w:pos="13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15" w:lineRule="exact"/>
        <w:rPr>
          <w:rFonts w:ascii="Arial" w:cs="Arial" w:eastAsia="Arial" w:hAnsi="Arial"/>
          <w:sz w:val="16"/>
          <w:szCs w:val="16"/>
          <w:color w:val="auto"/>
        </w:rPr>
      </w:pPr>
    </w:p>
    <w:p>
      <w:pPr>
        <w:ind w:left="1100" w:right="120" w:firstLine="7"/>
        <w:spacing w:after="0" w:line="263" w:lineRule="auto"/>
        <w:tabs>
          <w:tab w:leader="none" w:pos="13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75" w:lineRule="exact"/>
        <w:rPr>
          <w:rFonts w:ascii="Arial" w:cs="Arial" w:eastAsia="Arial" w:hAnsi="Arial"/>
          <w:sz w:val="18"/>
          <w:szCs w:val="18"/>
          <w:color w:val="auto"/>
        </w:rPr>
      </w:pPr>
    </w:p>
    <w:p>
      <w:pPr>
        <w:ind w:left="1100" w:right="180" w:firstLine="7"/>
        <w:spacing w:after="0" w:line="311" w:lineRule="auto"/>
        <w:tabs>
          <w:tab w:leader="none" w:pos="14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41" w:lineRule="exact"/>
        <w:rPr>
          <w:sz w:val="20"/>
          <w:szCs w:val="20"/>
          <w:color w:val="auto"/>
        </w:rPr>
      </w:pPr>
    </w:p>
    <w:p>
      <w:pPr>
        <w:jc w:val="both"/>
        <w:ind w:left="560" w:right="380"/>
        <w:spacing w:after="0" w:line="342" w:lineRule="auto"/>
        <w:rPr>
          <w:sz w:val="20"/>
          <w:szCs w:val="20"/>
          <w:color w:val="auto"/>
        </w:rPr>
      </w:pPr>
      <w:r>
        <w:rPr>
          <w:rFonts w:ascii="Arial" w:cs="Arial" w:eastAsia="Arial" w:hAnsi="Arial"/>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1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79"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62"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Other Compensation” for Mr. Attaway includes: (i) $16,859 for the employer matching contribution by the Company under our 401(k) plan;</w:t>
      </w:r>
    </w:p>
    <w:p>
      <w:pPr>
        <w:spacing w:after="0" w:line="46" w:lineRule="exact"/>
        <w:rPr>
          <w:sz w:val="20"/>
          <w:szCs w:val="20"/>
          <w:color w:val="auto"/>
        </w:rPr>
      </w:pPr>
    </w:p>
    <w:p>
      <w:pPr>
        <w:ind w:left="560" w:right="340" w:hanging="4"/>
        <w:spacing w:after="0" w:line="260" w:lineRule="auto"/>
        <w:tabs>
          <w:tab w:leader="none" w:pos="82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$1,800 in connection with an executive physical; (iii) $5,000 in connection with financial planning; and (iv) $2,545 in connection with tax preparation assistance.</w:t>
      </w:r>
    </w:p>
    <w:p>
      <w:pPr>
        <w:spacing w:after="0" w:line="77"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77" w:lineRule="exact"/>
        <w:rPr>
          <w:sz w:val="20"/>
          <w:szCs w:val="20"/>
          <w:color w:val="auto"/>
        </w:rPr>
      </w:pPr>
    </w:p>
    <w:p>
      <w:pPr>
        <w:ind w:left="540" w:right="360" w:hanging="424"/>
        <w:spacing w:after="0" w:line="277"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Mr. Lawrence commenced employment with us on February 11, 2019, after the beginning of the 2019 fiscal year. He did not participate in the 401(k) plan in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 WITH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Each of Messrs. Hicks, Mullican, Lawrence, and Johnson are subject to the following restrictive covenants under their applicable employment agreements: (i) confidentiality during employment and perpetually upon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termination, (ii) irrevocable assignment of all rights of any intellectual property created during employment to the Company, (iii) non-competition during employment and for 24 months following termination, and (iv) non-solicitation of employees, no hire, and non-solicitation of customers for 24 months following termination. Mr. Attaway is subject to the following restrictive covenants under his employment agreement: (i) confidentiality during employment and perpetually upon termination, (ii) 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to the below, each of the employment agreements also provides for certain severance payments that may be due following termination of employment under certain circumstances, subject to execution of a release of claims and compliance with certain restrictive covenants, described under the heading “Potential Payments upon Termination of Employment or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Hicks Employment Agreement</w:t>
      </w:r>
    </w:p>
    <w:p>
      <w:pPr>
        <w:spacing w:after="0" w:line="11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Hicks Employment Agreement has no specified employment term and may be terminated by either the Company or Mr. Hicks with a written notice of termination.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 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84"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During Mr. Hicks’ employment: (i) the Company shall pay directly or reimburse him for reasonable monthly rent and utilities costs (including electric, gas, water, alarm, cable, housekeeping and internet but excluding meals and laundry) for a furnished rental apartment in the Katy, Texas area,</w:t>
      </w:r>
    </w:p>
    <w:p>
      <w:pPr>
        <w:ind w:left="120" w:right="40" w:hanging="4"/>
        <w:spacing w:after="0" w:line="292" w:lineRule="auto"/>
        <w:tabs>
          <w:tab w:leader="none" w:pos="38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Mullican Employment Agreement</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Lawrence Employment Agreement</w:t>
      </w:r>
    </w:p>
    <w:p>
      <w:pPr>
        <w:spacing w:after="0" w:line="11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Lawrence Employment Agreement has no specified employment term and may be terminated by either the Company or Mr. Lawrence with a written notice of termination.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Johnson Employment Agreement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Johnson Employment Agreement provides that Mr. Johnson’s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Johnson.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Attaway Employment Agreement</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 BASED AWARDS IN 2019</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 information regarding equity incentive plan awards, please see “Long-Term Equity Incentive Compensation—Equity Awards under 2011 Equity Plan.”</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 Based Awards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Estimated Future Payouts</w:t>
            </w:r>
          </w:p>
        </w:tc>
        <w:tc>
          <w:tcPr>
            <w:tcW w:w="2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Estimated Future Payouts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224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Incentive Plan Awards(1)</w:t>
            </w:r>
          </w:p>
        </w:tc>
        <w:tc>
          <w:tcPr>
            <w:tcW w:w="2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Incentive Plan Awards(3)</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or Base</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of</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Award</w:t>
            </w: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Threshold</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Maximum</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Threshold</w:t>
            </w: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6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t>
            </w:r>
          </w:p>
        </w:tc>
        <w:tc>
          <w:tcPr>
            <w:tcW w:w="1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8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Type</w:t>
            </w:r>
          </w:p>
        </w:tc>
        <w:tc>
          <w:tcPr>
            <w:tcW w:w="7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Date(2)</w:t>
            </w: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4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1"/>
              </w:rPr>
              <w:t>Options (#)</w:t>
            </w:r>
          </w:p>
        </w:tc>
        <w:tc>
          <w:tcPr>
            <w:tcW w:w="6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share)</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Ken C. Hicks</w:t>
            </w:r>
          </w:p>
        </w:tc>
        <w:tc>
          <w:tcPr>
            <w:tcW w:w="74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Annual</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825,000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1,650,000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4,950,000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694,301</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1,881,555</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119,962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341,969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926,735</w:t>
            </w: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Michael P. Mullican</w:t>
            </w: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243,911</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487,822</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975,644</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138,861</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383,256</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23,992</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68,393</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188,080</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Steve P. Lawrence</w:t>
            </w: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414,438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828,876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1,657,752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411,270</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1,135,105</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37,488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106,865</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293,878</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5"/>
              </w:rPr>
              <w:t>Restricted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rPr>
              <w:t>Units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142,586</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Sam J. Johnson</w:t>
            </w: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231,920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463,840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927,680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121,504</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335,351</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20,993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59,844</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164,571</w:t>
            </w: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Ken D. Attaway</w:t>
            </w: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223,247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446,495</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892,990</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112,824</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311,394</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19,493</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55,570</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152,817</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2"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 Named Executive Officers are set forth in the “Summary Compensation Table” above and the calculation of the actual amounts paid is discussed more fully in “— Executive Team Bonus Plan” above.</w:t>
      </w:r>
    </w:p>
    <w:p>
      <w:pPr>
        <w:spacing w:after="0" w:line="5"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vesting schedule applicable to each Time Option, Performance Option, and Restricted Unit award is set forth in the “—Outstanding Equity Awards at Fiscal Year End Table” table.</w:t>
      </w:r>
    </w:p>
    <w:p>
      <w:pPr>
        <w:ind w:left="540" w:hanging="424"/>
        <w:spacing w:after="0"/>
        <w:tabs>
          <w:tab w:leader="none" w:pos="5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target level of achievement is the highest level of achievement possible under the equity incentive plan awards listed in this table.</w:t>
      </w:r>
    </w:p>
    <w:p>
      <w:pPr>
        <w:spacing w:after="0" w:line="20"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Arial" w:cs="Arial" w:eastAsia="Arial" w:hAnsi="Arial"/>
          <w:sz w:val="16"/>
          <w:szCs w:val="16"/>
          <w:i w:val="1"/>
          <w:iCs w:val="1"/>
          <w:color w:val="auto"/>
        </w:rPr>
        <w:t>Equity and Unit-Based Compensation</w:t>
      </w:r>
      <w:r>
        <w:rPr>
          <w:rFonts w:ascii="Arial" w:cs="Arial" w:eastAsia="Arial" w:hAnsi="Arial"/>
          <w:sz w:val="16"/>
          <w:szCs w:val="16"/>
          <w:color w:val="auto"/>
        </w:rPr>
        <w:t xml:space="preserve"> to our audited consolidated financial statements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4"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w:t>
      </w:r>
    </w:p>
    <w:p>
      <w:pPr>
        <w:spacing w:after="0" w:line="1" w:lineRule="exact"/>
        <w:rPr>
          <w:rFonts w:ascii="Arial" w:cs="Arial" w:eastAsia="Arial" w:hAnsi="Arial"/>
          <w:sz w:val="16"/>
          <w:szCs w:val="16"/>
          <w:color w:val="auto"/>
        </w:rPr>
      </w:pPr>
    </w:p>
    <w:p>
      <w:pPr>
        <w:ind w:left="540"/>
        <w:spacing w:after="0" w:line="253" w:lineRule="auto"/>
        <w:rPr>
          <w:rFonts w:ascii="Arial" w:cs="Arial" w:eastAsia="Arial" w:hAnsi="Arial"/>
          <w:sz w:val="16"/>
          <w:szCs w:val="16"/>
          <w:color w:val="auto"/>
        </w:rPr>
      </w:pPr>
      <w:r>
        <w:rPr>
          <w:rFonts w:ascii="Arial" w:cs="Arial" w:eastAsia="Arial" w:hAnsi="Arial"/>
          <w:sz w:val="18"/>
          <w:szCs w:val="18"/>
          <w:color w:val="auto"/>
        </w:rPr>
        <w:t>In the period in which the Company’s liquidity event occurs (e.g., in connection with the IPO), the Company recorded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with regard to each outstanding equity award held by the Named Executive Officers on February 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 End Table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Incentive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Units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Unearned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Shares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or Units</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Stock</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Units or</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Stock</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That</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that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Have</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Rights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Grant</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Unearned</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That Have</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04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Options</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98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Date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0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0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20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Date(4)</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2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Ken C. Hicks</w:t>
            </w:r>
          </w:p>
        </w:tc>
        <w:tc>
          <w:tcPr>
            <w:tcW w:w="8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9/16/2018</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ind w:left="66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center"/>
              <w:ind w:left="168"/>
              <w:spacing w:after="0" w:line="13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6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200"/>
              <w:spacing w:after="0" w:line="135" w:lineRule="exact"/>
              <w:rPr>
                <w:sz w:val="20"/>
                <w:szCs w:val="20"/>
                <w:color w:val="auto"/>
              </w:rPr>
            </w:pPr>
            <w:r>
              <w:rPr>
                <w:rFonts w:ascii="Arial" w:cs="Arial" w:eastAsia="Arial" w:hAnsi="Arial"/>
                <w:sz w:val="14"/>
                <w:szCs w:val="14"/>
                <w:color w:val="auto"/>
                <w:w w:val="86"/>
              </w:rPr>
              <w:t>735,295</w:t>
            </w: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4,036,769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9/16/2018(7)</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226,674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291,461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5.44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9/16/2028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9/16/2018(8)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259,068</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5.44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9/16/2028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3/7/2019(9)</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144,640</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549,661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341,969</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Michael P. Mullican</w:t>
            </w: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1"/>
              </w:rPr>
              <w:t>3/23/2017(11)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49,261</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49,262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3/23/2017(12)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13,916</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13,916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21,429</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4/5/2018(13)</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32,206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96,619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4/5/2018(14)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64,412</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2,071,700</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138,861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3/7/2019(16)</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68,393</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Steve P. Lawrence</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142,586</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782,797</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3/7/2019(17)</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411,270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106,865</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Sam J. Johnson</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6/6/2017(19)</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36,946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36,946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6/6/2017(20)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10,436</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10,438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16,072</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4/5/2018(21)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26,167</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78,503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4/5/2018(22)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52,335</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1,294,816</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3/7/2019(23)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121,504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3/7/2019(24)</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59,844</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 D. Attaway</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7/2/2015(25)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650,000</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1.66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8/30/2021</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7/2/2015(26)</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650,000</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1.66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8/30/2021</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3/27/2016(27)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88,752</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29,585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3/27/2026</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1"/>
              </w:rPr>
              <w:t>3/23/2017(28)</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61,576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61,578</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3/23/2017(29)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17,394</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17,396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26,786</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4/5/2018(30)</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28,180</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84,542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4/5/2018(31)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56,361</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141,510</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776,889</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3/7/2019(32)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112,824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3/7/2019(33)</w:t>
            </w:r>
          </w:p>
        </w:tc>
        <w:tc>
          <w:tcPr>
            <w:tcW w:w="16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55,570</w:t>
            </w:r>
          </w:p>
        </w:tc>
        <w:tc>
          <w:tcPr>
            <w:tcW w:w="740" w:type="dxa"/>
            <w:vAlign w:val="bottom"/>
            <w:gridSpan w:val="2"/>
          </w:tcPr>
          <w:p>
            <w:pPr>
              <w:jc w:val="center"/>
              <w:ind w:left="8"/>
              <w:spacing w:after="0"/>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480" w:right="2220" w:hanging="5364"/>
        <w:spacing w:after="0" w:line="449" w:lineRule="auto"/>
        <w:tabs>
          <w:tab w:leader="none" w:pos="53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numbers in this column represent vested Time Options and vested Performance Options as of February 1, 2020. 156</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hanging="424"/>
        <w:spacing w:after="0" w:line="258"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numbers in this column represent (i) unvested Time Options as of February 1, 2020, or (ii) Performance Options which became Earned and are subject to time vesting.</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numbers in this column represent unvested Performance Options that are not Earned as of February 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expiration date for each of the Options is the date that is ten years after the initial grant date.</w:t>
      </w:r>
    </w:p>
    <w:p>
      <w:pPr>
        <w:spacing w:after="0" w:line="9" w:lineRule="exact"/>
        <w:rPr>
          <w:rFonts w:ascii="Arial" w:cs="Arial" w:eastAsia="Arial" w:hAnsi="Arial"/>
          <w:sz w:val="18"/>
          <w:szCs w:val="18"/>
          <w:color w:val="auto"/>
        </w:rPr>
      </w:pPr>
    </w:p>
    <w:p>
      <w:pPr>
        <w:jc w:val="both"/>
        <w:ind w:left="540" w:hanging="424"/>
        <w:spacing w:after="0" w:line="281"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of the Restricted Units granted to each Named Executive Officer are reported in this column because they are subject to a liquidity event-based vesting condition, which were satisfied upon the closing of the IPO, in addition to any other vesting conditions that continue to 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spacing w:after="0" w:line="2"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Time Options granted to Mr. Hicks under the 2018 CEO Option Agreement vest as follows: 1/48</w:t>
      </w:r>
      <w:r>
        <w:rPr>
          <w:rFonts w:ascii="Arial" w:cs="Arial" w:eastAsia="Arial" w:hAnsi="Arial"/>
          <w:sz w:val="15"/>
          <w:szCs w:val="15"/>
          <w:color w:val="auto"/>
        </w:rPr>
        <w:t>th</w:t>
      </w:r>
      <w:r>
        <w:rPr>
          <w:rFonts w:ascii="Arial" w:cs="Arial" w:eastAsia="Arial" w:hAnsi="Arial"/>
          <w:sz w:val="18"/>
          <w:szCs w:val="18"/>
          <w:color w:val="auto"/>
        </w:rPr>
        <w:t xml:space="preserve"> of the Time Options become vested and exercisable on each monthly anniversary of the vesting commencement date (April 5, 2018), subject to continued employment through the applicable vesting date.</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Time Options granted to Mr. Hicks under the 2019 CEO Option Agreement vest as follows: 1/48</w:t>
      </w:r>
      <w:r>
        <w:rPr>
          <w:rFonts w:ascii="Arial" w:cs="Arial" w:eastAsia="Arial" w:hAnsi="Arial"/>
          <w:sz w:val="13"/>
          <w:szCs w:val="13"/>
          <w:color w:val="auto"/>
        </w:rPr>
        <w:t>th</w:t>
      </w:r>
      <w:r>
        <w:rPr>
          <w:rFonts w:ascii="Arial" w:cs="Arial" w:eastAsia="Arial" w:hAnsi="Arial"/>
          <w:sz w:val="16"/>
          <w:szCs w:val="16"/>
          <w:color w:val="auto"/>
        </w:rPr>
        <w:t xml:space="preserve"> of the Time Options become vested and exercisable on each monthly anniversary of the grant date, subject to continued employment through the applicable vesting date.</w:t>
      </w:r>
    </w:p>
    <w:p>
      <w:pPr>
        <w:spacing w:after="0" w:line="1"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ind w:left="540" w:right="8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8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8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hanging="424"/>
        <w:spacing w:after="0" w:line="281"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2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81"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4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14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81" w:lineRule="auto"/>
        <w:tabs>
          <w:tab w:leader="none" w:pos="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spacing w:after="0" w:line="1"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spacing w:after="0" w:line="1" w:lineRule="exact"/>
        <w:rPr>
          <w:rFonts w:ascii="Arial" w:cs="Arial" w:eastAsia="Arial" w:hAnsi="Arial"/>
          <w:sz w:val="18"/>
          <w:szCs w:val="18"/>
          <w:color w:val="auto"/>
        </w:rPr>
      </w:pPr>
    </w:p>
    <w:p>
      <w:pPr>
        <w:ind w:left="540" w:right="12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20" w:hanging="424"/>
        <w:spacing w:after="0" w:line="265"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120" w:hanging="424"/>
        <w:spacing w:after="0" w:line="265"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90" w:lineRule="auto"/>
        <w:tabs>
          <w:tab w:leader="none" w:pos="5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2019 Restricted Units Vested Table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4"/>
              </w:rPr>
              <w:t>Stock Awards</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rPr>
              <w:t>Number of Units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2"/>
              </w:rPr>
              <w:t>Vesting (#)(1)</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80" w:hanging="424"/>
        <w:spacing w:after="0" w:line="258"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spacing w:after="0" w:line="1" w:lineRule="exact"/>
        <w:rPr>
          <w:rFonts w:ascii="Arial" w:cs="Arial" w:eastAsia="Arial" w:hAnsi="Arial"/>
          <w:sz w:val="18"/>
          <w:szCs w:val="18"/>
          <w:color w:val="auto"/>
        </w:rPr>
      </w:pPr>
    </w:p>
    <w:p>
      <w:pPr>
        <w:ind w:left="540" w:right="160" w:hanging="424"/>
        <w:spacing w:after="0" w:line="323" w:lineRule="auto"/>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w:t>
      </w:r>
    </w:p>
    <w:p>
      <w:pPr>
        <w:ind w:left="120" w:right="520" w:hanging="4"/>
        <w:spacing w:after="0" w:line="281" w:lineRule="auto"/>
        <w:tabs>
          <w:tab w:leader="none" w:pos="33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exercise all of the powers granted to it under the 2011 Equity Plan, (ii) construe, interpret and implement the 2011 Equity Plan and any award agreement, (iii) prescribe, amend and rescind rules and regulations relating to the 2011 Equity Plan, including rules governing its own operations,</w:t>
      </w:r>
    </w:p>
    <w:p>
      <w:pPr>
        <w:spacing w:after="0" w:line="1" w:lineRule="exact"/>
        <w:rPr>
          <w:rFonts w:ascii="Arial" w:cs="Arial" w:eastAsia="Arial" w:hAnsi="Arial"/>
          <w:sz w:val="16"/>
          <w:szCs w:val="16"/>
          <w:color w:val="auto"/>
        </w:rPr>
      </w:pPr>
    </w:p>
    <w:p>
      <w:pPr>
        <w:ind w:left="120" w:right="40" w:hanging="4"/>
        <w:spacing w:after="0" w:line="288" w:lineRule="auto"/>
        <w:tabs>
          <w:tab w:leader="none" w:pos="42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 Subject to 2011 Equity Plan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Prior to the IPO,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Prior to the IPO,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and Distributions of Awards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Events on 2011 Equity Plan and Awards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 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Treatment of Awards upon Change of Control</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2011 Equity Plan, “Change of Control” is generally defined as (a) the sale of all or substantially all of the assets of the Company or Allstar LLC, or the Managing Member, to any “Person,” as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w:t>
      </w:r>
    </w:p>
    <w:p>
      <w:pPr>
        <w:spacing w:after="0" w:line="2" w:lineRule="exact"/>
        <w:rPr>
          <w:sz w:val="20"/>
          <w:szCs w:val="20"/>
          <w:color w:val="auto"/>
        </w:rPr>
      </w:pPr>
    </w:p>
    <w:p>
      <w:pPr>
        <w:ind w:left="120" w:right="20" w:hanging="4"/>
        <w:spacing w:after="0" w:line="286" w:lineRule="auto"/>
        <w:tabs>
          <w:tab w:leader="none" w:pos="40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 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Plan</w:t>
      </w:r>
    </w:p>
    <w:p>
      <w:pPr>
        <w:spacing w:after="0" w:line="11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Compensation Committee adopted and our equityholders approved the 2020 Equity Plan. Equity awards under the 2020 Equity Plan are designed to reward our Named Executive Officers for long-term equityholder value creation. The following summary is qualified in its entirety by reference to the 2020 Equity Plan that has been adopted by the Board.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2020 Equity Plan is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 Subject to 2020 Equity Plan</w:t>
      </w:r>
    </w:p>
    <w:p>
      <w:pPr>
        <w:spacing w:after="0" w:line="117"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The 2020 Equity Plan provides that the total number of shares of common stock that may be issued under the 2020 Equity Plan is 5,150,000, or the Absolute Share Limit. No more than the number of shares of common stock equal to the Absolute Share Limit may be issued in the aggregate pursuant to the exercise of incentive stock options. The maximum number of shares of common stock granted during a single fiscal year to</w:t>
      </w:r>
    </w:p>
    <w:p>
      <w:pPr>
        <w:spacing w:after="0" w:line="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Arial" w:cs="Arial" w:eastAsia="Arial" w:hAnsi="Arial"/>
          <w:sz w:val="13"/>
          <w:szCs w:val="13"/>
          <w:color w:val="auto"/>
        </w:rPr>
        <w:t>th</w:t>
      </w:r>
      <w:r>
        <w:rPr>
          <w:rFonts w:ascii="Arial" w:cs="Arial" w:eastAsia="Arial" w:hAnsi="Arial"/>
          <w:sz w:val="16"/>
          <w:szCs w:val="16"/>
          <w:color w:val="auto"/>
        </w:rPr>
        <w:t xml:space="preserve"> anniversary of the effective date (as defined therein), but awards granted before then may extend beyond that date.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The Compensation Committee may grant non-qualified stock options and incentive stock options, under the 2020 Equity Plan, with terms and conditions determined by the Compensation Committee that are not 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is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13"/>
          <w:szCs w:val="13"/>
          <w:color w:val="auto"/>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w:t>
      </w:r>
    </w:p>
    <w:p>
      <w:pPr>
        <w:spacing w:after="0" w:line="11" w:lineRule="exact"/>
        <w:rPr>
          <w:sz w:val="20"/>
          <w:szCs w:val="20"/>
          <w:color w:val="auto"/>
        </w:rPr>
      </w:pPr>
    </w:p>
    <w:p>
      <w:pPr>
        <w:ind w:left="120" w:right="180" w:hanging="4"/>
        <w:spacing w:after="0" w:line="260" w:lineRule="auto"/>
        <w:tabs>
          <w:tab w:leader="none" w:pos="4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through a “net exercise” procedure effected by withholding the minimum number of shares needed to pay the exercise price. Any fractional shares of common stock will be settled in cash.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left="120" w:right="200" w:firstLine="440"/>
        <w:spacing w:after="0" w:line="290" w:lineRule="auto"/>
        <w:rPr>
          <w:sz w:val="20"/>
          <w:szCs w:val="20"/>
          <w:color w:val="auto"/>
        </w:rPr>
      </w:pPr>
      <w:r>
        <w:rPr>
          <w:rFonts w:ascii="Arial" w:cs="Arial" w:eastAsia="Arial" w:hAnsi="Arial"/>
          <w:sz w:val="16"/>
          <w:szCs w:val="16"/>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 and Restricted Stock Units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Equity-Based Awards and Cash-Based Awards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Events on 2020 Equity Plan and Awards</w:t>
      </w:r>
    </w:p>
    <w:p>
      <w:pPr>
        <w:spacing w:after="0" w:line="117" w:lineRule="exact"/>
        <w:rPr>
          <w:sz w:val="20"/>
          <w:szCs w:val="20"/>
          <w:color w:val="auto"/>
        </w:rPr>
      </w:pPr>
    </w:p>
    <w:p>
      <w:pPr>
        <w:ind w:left="120" w:right="280" w:firstLine="440"/>
        <w:spacing w:after="0" w:line="258" w:lineRule="auto"/>
        <w:rPr>
          <w:sz w:val="20"/>
          <w:szCs w:val="20"/>
          <w:color w:val="auto"/>
        </w:rPr>
      </w:pPr>
      <w:r>
        <w:rPr>
          <w:rFonts w:ascii="Arial" w:cs="Arial" w:eastAsia="Arial" w:hAnsi="Arial"/>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spacing w:after="0" w:line="1"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any change of control, the Compensation Committee may, in its sole discretion, provide for any one or more of the following:</w:t>
      </w:r>
    </w:p>
    <w:p>
      <w:pPr>
        <w:spacing w:after="0" w:line="46" w:lineRule="exact"/>
        <w:rPr>
          <w:sz w:val="20"/>
          <w:szCs w:val="20"/>
          <w:color w:val="auto"/>
        </w:rPr>
      </w:pPr>
    </w:p>
    <w:p>
      <w:pPr>
        <w:ind w:left="120" w:right="80" w:hanging="4"/>
        <w:spacing w:after="0" w:line="286" w:lineRule="auto"/>
        <w:tabs>
          <w:tab w:leader="none" w:pos="33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Each award is not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 and Dividend Equivalents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Clawback/Repayment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Board adopted and our equityholders approved the ESPP. The following summary is qualified in its entirety by reference to the ESPP that has been adopted by the Board.</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ESPP is intended to give eligible employees an opportunity to acquire shares of our common stock and promote our best interests and enhance our long-term performance. We believe that allowing our employees to participate in the ESPP provides them with a further incentive towards ensuring our success and accomplishing our corporate goals. The ESPP is intended to qualify as an “employee stock purchase plan” under Section 423 of the Code. We may authorize offerings under the ESPP that are not intended to comply with Section 423 of the Code, which offerings will be made pursuant to any rules, procedures or sub-plans adopted by the committee for such purpose.</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aggregate number of shares of our common stock that may be issued under the ESPP may not exceed 1,000,000 shares, which number will be automatically increased on the first day of each fiscal year beginning in 2021 in an amount equal to the least of (i) 1,000,000 shares of our common 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The ESPP is administered by the Compensation Committee, or such other committee as may be designated by the Board, or the Board (such administering body, the “Administrator”). The Administrator has full authority to make, administer and interpret such terms, rules and regulations regarding administration of the ESPP as it may deem advisable, and such decisions are final and binding.</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ESPP has a term of ten years unless earlier terminated (i) on the date on which all the shares of common stock available for issuance under the ESPP have been issued or (ii) by the Administrator in accordance with the terms of the ESPP.</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Eligible Employees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Subject to the Administrator’s ability to exclude certain groups of employees on a uniform and nondiscriminatory basis, including Section 16 officers and/or non-U.S. employees, generally, all of our employees are eligible to participate if they are employed by us or any participating subsidiary or affiliate for more than 12 consecutive months, or any lesser number of hours per week and/or number of days established by the Administrator. In no event will an employee who is deemed to own 5% or more of the total combined voting power or value of all classes of our capital stock or the capital stock of any parent or subsidiary be eligible to participate in the ESPP, and no participant in the ESPP may purchase shares of our common stock under any employee stock purchase plans of our Company to the extent the option to purchase shares accrue at a rate that exceeds $25,000 of the fair market value of such shares of our common stock, determined as of the first day of the offering period, for each calendar year in which such option is outstanding.</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Offering periods under the ESPP are 6 months long. The first offering period under the ESPP shall commence on the date determined by the Administrator and shall end on the last trading day on or immediately preceding the earlier to occur of June 30 or December 31 of the year in which the first offering period commences. Unless the Administrator determines otherwise, following the completion of the first offering period, a new offering period shall commence on the first trading day on or following January 1 and July 1 of each calendar year and end on or following the last trading day on or immediately preceding June 30 and December 31, respectively, approximately six months later. The Administrator may choose to start a new offering period as it may determine from time to time as appropriate and offering periods may overlap or be consecutive. During each offering period, there will be one 6 month purchase period, which will have the same duration and coincide with the length of the offering period.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Eligible employees who participate will receive an option to purchase shares of our common stock at a purchase price equal to the lower of 85% of (i) the closing price per share of our common stock on the date of purchase or (ii) the closing price per share of our common stock on the first day of the applicable offering period (or, in the case of the first offering period, the price per share at which shares of our common stock are first sold to the public in connection with the IPO). Eligible employees participate by authorizing payroll deductions before the beginning of an offering period, which deduction may not exceed 15% of such employee’s cash compensation.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Contributions and Grants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Eligible employees participate by authorizing payroll deductions before the beginning of an offering period, which deduction may not exceed 15% of such employee’s cash compensation. In addition, the maximum number of shares of our common stock that may be purchased by any participant in any particular purchase period is limited to 1,500 shares (subject to adjustment as provided in the ESPP), and the maximum number of shares of our common stock that may be purchased by any participant during any one year period is limited to 3,000 shares. The Administrator may modify this limit from time to time by resolution or otherwise.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Cancellation of Election to Purchase</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 participant may cancel his or her participation entirely at any time prior to the last 30 days of the applicable offering period by withdrawing all, but not less than all, of his or her contributions credited to his or her account and not yet used to exercise his or her option under the ESPP. Participation will end automatically upon termination of employment with us.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a Change in Control</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the event of a change in control (as defined under the ESPP), the Administrator may in its discretion provide, without limitation, that each outstanding option be assumed, or an equivalent option be substituted by the successor corporation or a parent or subsidiary of the successor corporation and, if not so assumed or substituted, the offering period for that option be shortened by setting a new exercise date on which the offering period will end; terminate outstanding options and refund accumulated contributions to participants; or continue outstanding options unchanged.</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as Stockholder</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participant has no rights as a stockholder with respect to the shares of our common stock that the participant has an option to purchase in any offering until those shares have been issued to the participant.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 not Transferable</w:t>
      </w:r>
    </w:p>
    <w:p>
      <w:pPr>
        <w:spacing w:after="0" w:line="117" w:lineRule="exact"/>
        <w:rPr>
          <w:sz w:val="20"/>
          <w:szCs w:val="20"/>
          <w:color w:val="auto"/>
        </w:rPr>
      </w:pPr>
    </w:p>
    <w:p>
      <w:pPr>
        <w:jc w:val="both"/>
        <w:ind w:left="120" w:right="180" w:firstLine="440"/>
        <w:spacing w:after="0" w:line="277" w:lineRule="auto"/>
        <w:rPr>
          <w:sz w:val="20"/>
          <w:szCs w:val="20"/>
          <w:color w:val="auto"/>
        </w:rPr>
      </w:pPr>
      <w:r>
        <w:rPr>
          <w:rFonts w:ascii="Arial" w:cs="Arial" w:eastAsia="Arial" w:hAnsi="Arial"/>
          <w:sz w:val="18"/>
          <w:szCs w:val="18"/>
          <w:color w:val="auto"/>
        </w:rPr>
        <w:t>A participant’s option under the ESPP is exercisable only by the participant and may not be sold, transferred, pledged or assigned in any manner other than by will or the laws of descent and distribution.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or Termination</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Administrator, in its sole discretion, may amend, alter, suspend or terminate the ESPP, or any option subject thereto, at any time and for any reason as long as such amendment or termination of an option does not materially adversely affect the rights of a participant with respect to the option without the written consent of such participant.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Statements on Form S-8</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 automatically became effective upon filing. Accordingly, shares registered under such registration statements are available for sale in the open market. The initial registration statement on Form S-8 covered 15,983,311 shares of our common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calculated the acceleration value of Options and Restricted Units in the tables below using the Market Value Per Membership Unit.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Hicks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Hicks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2" w:lineRule="exact"/>
        <w:rPr>
          <w:sz w:val="20"/>
          <w:szCs w:val="20"/>
          <w:color w:val="auto"/>
        </w:rPr>
      </w:pPr>
    </w:p>
    <w:p>
      <w:pPr>
        <w:ind w:left="120" w:right="100" w:hanging="4"/>
        <w:spacing w:after="0" w:line="255" w:lineRule="auto"/>
        <w:tabs>
          <w:tab w:leader="none" w:pos="3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w:t>
      </w:r>
    </w:p>
    <w:p>
      <w:pPr>
        <w:spacing w:after="0" w:line="62" w:lineRule="exact"/>
        <w:rPr>
          <w:sz w:val="20"/>
          <w:szCs w:val="20"/>
          <w:color w:val="auto"/>
        </w:rPr>
      </w:pPr>
    </w:p>
    <w:p>
      <w:pPr>
        <w:ind w:left="560" w:hanging="4"/>
        <w:spacing w:after="0" w:line="269" w:lineRule="auto"/>
        <w:tabs>
          <w:tab w:leader="none" w:pos="77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hanging="4"/>
        <w:spacing w:after="0" w:line="269" w:lineRule="auto"/>
        <w:tabs>
          <w:tab w:leader="none" w:pos="82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73" w:lineRule="exact"/>
        <w:rPr>
          <w:rFonts w:ascii="Arial" w:cs="Arial" w:eastAsia="Arial" w:hAnsi="Arial"/>
          <w:sz w:val="17"/>
          <w:szCs w:val="17"/>
          <w:color w:val="auto"/>
        </w:rPr>
      </w:pPr>
    </w:p>
    <w:p>
      <w:pPr>
        <w:ind w:left="560" w:right="200" w:hanging="4"/>
        <w:spacing w:after="0" w:line="263" w:lineRule="auto"/>
        <w:tabs>
          <w:tab w:leader="none" w:pos="8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Under the Hicks Employment Agreement, the Company may terminate Mr. Hicks’ employment for “Cause” if he: (i) commits gross negligence or willful misconduct, an act of fraud, embezzlement, theft or other criminal 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 his employment agreement, Mr. Hicks will have 30 days after receiving notice of a termination for Cause to cure or remedy any breach pursuant to items (iii) or (iv) of the preceding sentence.</w:t>
      </w:r>
    </w:p>
    <w:p>
      <w:pPr>
        <w:spacing w:after="0" w:line="17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6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March 7, 2019, the Company granted 694,301 Time Options and 341,969 Performance Options with an exercise price of $5.26 to Mr. Hicks pursuant to the 2019 CEO Option Agreement. The Time Options vest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80" w:hanging="545"/>
        <w:spacing w:after="0" w:line="259" w:lineRule="auto"/>
        <w:tabs>
          <w:tab w:leader="none" w:pos="22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60" w:hanging="545"/>
        <w:spacing w:after="0" w:line="263" w:lineRule="auto"/>
        <w:tabs>
          <w:tab w:leader="none" w:pos="22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80" w:hanging="545"/>
        <w:spacing w:after="0" w:line="279" w:lineRule="auto"/>
        <w:tabs>
          <w:tab w:leader="none" w:pos="220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20" w:hanging="545"/>
        <w:spacing w:after="0" w:line="263" w:lineRule="auto"/>
        <w:tabs>
          <w:tab w:leader="none" w:pos="22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40" w:hanging="545"/>
        <w:spacing w:after="0" w:line="296" w:lineRule="auto"/>
        <w:tabs>
          <w:tab w:leader="none" w:pos="220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Hicks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Termination</w:t>
            </w:r>
          </w:p>
        </w:tc>
        <w:tc>
          <w:tcPr>
            <w:tcW w:w="300" w:type="dxa"/>
            <w:vAlign w:val="bottom"/>
          </w:tcPr>
          <w:p>
            <w:pPr>
              <w:spacing w:after="0"/>
              <w:rPr>
                <w:sz w:val="14"/>
                <w:szCs w:val="14"/>
                <w:color w:val="auto"/>
              </w:rPr>
            </w:pPr>
          </w:p>
        </w:tc>
        <w:tc>
          <w:tcPr>
            <w:tcW w:w="1520" w:type="dxa"/>
            <w:vAlign w:val="bottom"/>
            <w:gridSpan w:val="2"/>
          </w:tcPr>
          <w:p>
            <w:pPr>
              <w:jc w:val="center"/>
              <w:ind w:right="404"/>
              <w:spacing w:after="0"/>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40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2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300" w:type="dxa"/>
            <w:vAlign w:val="bottom"/>
          </w:tcPr>
          <w:p>
            <w:pPr>
              <w:spacing w:after="0"/>
              <w:rPr>
                <w:sz w:val="12"/>
                <w:szCs w:val="12"/>
                <w:color w:val="auto"/>
              </w:rPr>
            </w:pPr>
          </w:p>
        </w:tc>
        <w:tc>
          <w:tcPr>
            <w:tcW w:w="1520" w:type="dxa"/>
            <w:vAlign w:val="bottom"/>
            <w:gridSpan w:val="2"/>
          </w:tcPr>
          <w:p>
            <w:pPr>
              <w:jc w:val="center"/>
              <w:ind w:right="424"/>
              <w:spacing w:after="0" w:line="149" w:lineRule="exact"/>
              <w:rPr>
                <w:sz w:val="20"/>
                <w:szCs w:val="20"/>
                <w:color w:val="auto"/>
              </w:rPr>
            </w:pPr>
            <w:r>
              <w:rPr>
                <w:rFonts w:ascii="Arial" w:cs="Arial" w:eastAsia="Arial" w:hAnsi="Arial"/>
                <w:sz w:val="14"/>
                <w:szCs w:val="14"/>
                <w:b w:val="1"/>
                <w:bCs w:val="1"/>
                <w:color w:val="auto"/>
                <w:w w:val="91"/>
              </w:rPr>
              <w:t>or Resignation</w:t>
            </w: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35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or Disability</w:t>
            </w:r>
          </w:p>
        </w:tc>
        <w:tc>
          <w:tcPr>
            <w:tcW w:w="1820" w:type="dxa"/>
            <w:vAlign w:val="bottom"/>
            <w:gridSpan w:val="3"/>
          </w:tcPr>
          <w:p>
            <w:pPr>
              <w:jc w:val="center"/>
              <w:ind w:right="104"/>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3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1540" w:type="dxa"/>
            <w:vAlign w:val="bottom"/>
            <w:gridSpan w:val="2"/>
          </w:tcPr>
          <w:p>
            <w:pPr>
              <w:jc w:val="center"/>
              <w:ind w:left="635"/>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1340" w:type="dxa"/>
            <w:vAlign w:val="bottom"/>
            <w:gridSpan w:val="2"/>
          </w:tcPr>
          <w:p>
            <w:pPr>
              <w:jc w:val="center"/>
              <w:ind w:left="217"/>
              <w:spacing w:after="0" w:line="15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114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9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7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5,937,334</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(4)</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1,703,900</w:t>
            </w:r>
            <w:r>
              <w:rPr>
                <w:rFonts w:ascii="Arial" w:cs="Arial" w:eastAsia="Arial" w:hAnsi="Arial"/>
                <w:sz w:val="15"/>
                <w:szCs w:val="15"/>
                <w:color w:val="auto"/>
              </w:rPr>
              <w:t>(1)</w:t>
            </w:r>
          </w:p>
        </w:tc>
        <w:tc>
          <w:tcPr>
            <w:tcW w:w="1820" w:type="dxa"/>
            <w:vAlign w:val="bottom"/>
            <w:gridSpan w:val="3"/>
          </w:tcPr>
          <w:p>
            <w:pPr>
              <w:jc w:val="right"/>
              <w:ind w:right="224"/>
              <w:spacing w:after="0"/>
              <w:rPr>
                <w:sz w:val="20"/>
                <w:szCs w:val="20"/>
                <w:color w:val="auto"/>
              </w:rPr>
            </w:pPr>
            <w:r>
              <w:rPr>
                <w:rFonts w:ascii="Arial" w:cs="Arial" w:eastAsia="Arial" w:hAnsi="Arial"/>
                <w:sz w:val="18"/>
                <w:szCs w:val="18"/>
                <w:color w:val="auto"/>
              </w:rPr>
              <w:t>1,868,667</w:t>
            </w:r>
            <w:r>
              <w:rPr>
                <w:rFonts w:ascii="Arial" w:cs="Arial" w:eastAsia="Arial" w:hAnsi="Arial"/>
                <w:sz w:val="15"/>
                <w:szCs w:val="15"/>
                <w:color w:val="auto"/>
              </w:rPr>
              <w:t>(5)</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Life Insurance Payment</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224"/>
              <w:spacing w:after="0"/>
              <w:rPr>
                <w:sz w:val="20"/>
                <w:szCs w:val="20"/>
                <w:color w:val="auto"/>
              </w:rPr>
            </w:pPr>
            <w:r>
              <w:rPr>
                <w:rFonts w:ascii="Arial" w:cs="Arial" w:eastAsia="Arial" w:hAnsi="Arial"/>
                <w:sz w:val="18"/>
                <w:szCs w:val="18"/>
                <w:color w:val="auto"/>
              </w:rPr>
              <w:t>238</w:t>
            </w:r>
            <w:r>
              <w:rPr>
                <w:rFonts w:ascii="Arial" w:cs="Arial" w:eastAsia="Arial" w:hAnsi="Arial"/>
                <w:sz w:val="15"/>
                <w:szCs w:val="15"/>
                <w:color w:val="auto"/>
              </w:rPr>
              <w:t>(6)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Accelerated Vesting of Time Options</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3,865</w:t>
            </w:r>
            <w:r>
              <w:rPr>
                <w:rFonts w:ascii="Arial" w:cs="Arial" w:eastAsia="Arial" w:hAnsi="Arial"/>
                <w:sz w:val="15"/>
                <w:szCs w:val="15"/>
                <w:color w:val="auto"/>
              </w:rPr>
              <w:t>(2)</w:t>
            </w:r>
          </w:p>
        </w:tc>
        <w:tc>
          <w:tcPr>
            <w:tcW w:w="300" w:type="dxa"/>
            <w:vAlign w:val="bottom"/>
          </w:tcPr>
          <w:p>
            <w:pPr>
              <w:spacing w:after="0"/>
              <w:rPr>
                <w:sz w:val="18"/>
                <w:szCs w:val="18"/>
                <w:color w:val="auto"/>
              </w:rPr>
            </w:pPr>
          </w:p>
        </w:tc>
        <w:tc>
          <w:tcPr>
            <w:tcW w:w="152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140,995</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Performance Options</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78,652</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Accelerated Vesting of Restricted Units</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4,036,769</w:t>
            </w:r>
            <w:r>
              <w:rPr>
                <w:rFonts w:ascii="Arial" w:cs="Arial" w:eastAsia="Arial" w:hAnsi="Arial"/>
                <w:sz w:val="15"/>
                <w:szCs w:val="15"/>
                <w:color w:val="auto"/>
                <w:w w:val="99"/>
              </w:rPr>
              <w:t>(9)</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1,707,765</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7,806,239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4,256,416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20" w:hanging="424"/>
        <w:spacing w:after="0" w:line="267" w:lineRule="auto"/>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2"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 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3"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hanging="424"/>
        <w:spacing w:after="0" w:line="281"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4" w:lineRule="exact"/>
        <w:rPr>
          <w:rFonts w:ascii="Arial" w:cs="Arial" w:eastAsia="Arial" w:hAnsi="Arial"/>
          <w:sz w:val="16"/>
          <w:szCs w:val="16"/>
          <w:color w:val="auto"/>
        </w:rPr>
      </w:pPr>
    </w:p>
    <w:p>
      <w:pPr>
        <w:ind w:left="540" w:right="120" w:hanging="424"/>
        <w:spacing w:after="0" w:line="255"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3" w:lineRule="exact"/>
        <w:rPr>
          <w:sz w:val="20"/>
          <w:szCs w:val="20"/>
          <w:color w:val="auto"/>
        </w:rPr>
      </w:pPr>
    </w:p>
    <w:p>
      <w:pPr>
        <w:ind w:left="540" w:right="100" w:hanging="424"/>
        <w:spacing w:after="0" w:line="25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Arial" w:cs="Arial" w:eastAsia="Arial" w:hAnsi="Arial"/>
          <w:sz w:val="18"/>
          <w:szCs w:val="18"/>
          <w:color w:val="auto"/>
        </w:rPr>
      </w:pPr>
    </w:p>
    <w:p>
      <w:pPr>
        <w:jc w:val="both"/>
        <w:ind w:left="540" w:right="120" w:hanging="424"/>
        <w:spacing w:after="0" w:line="281" w:lineRule="auto"/>
        <w:tabs>
          <w:tab w:leader="none" w:pos="5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spacing w:after="0" w:line="1" w:lineRule="exact"/>
        <w:rPr>
          <w:sz w:val="20"/>
          <w:szCs w:val="20"/>
          <w:color w:val="auto"/>
        </w:rPr>
      </w:pPr>
    </w:p>
    <w:p>
      <w:pPr>
        <w:ind w:left="540" w:right="220"/>
        <w:spacing w:after="0" w:line="265" w:lineRule="auto"/>
        <w:rPr>
          <w:sz w:val="20"/>
          <w:szCs w:val="20"/>
          <w:color w:val="auto"/>
        </w:rPr>
      </w:pPr>
      <w:r>
        <w:rPr>
          <w:rFonts w:ascii="Arial" w:cs="Arial" w:eastAsia="Arial" w:hAnsi="Arial"/>
          <w:sz w:val="17"/>
          <w:szCs w:val="17"/>
          <w:color w:val="auto"/>
        </w:rPr>
        <w:t>(B) 291,461 Time Options (the unvested portion under the 2018 CEO Option Agreement immediately prior to February 1, 2020); and (ii) $126,422, which is the product of (A) the difference between the Market Value Per Membership Interest and the exercise price ($5.26), and (B) 549,661 Time Options (the unvested portion under the 2019 CEO Option Agreement immediately prior to February 1, 2020).</w:t>
      </w:r>
    </w:p>
    <w:p>
      <w:pPr>
        <w:ind w:left="540" w:right="6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 Options (the unvested portion under the 2019 CEO Option Agreement immediately prior to February 1, 2020, which is the entire grant because the Change of Control occurs during the Option Grant Year).</w:t>
      </w:r>
    </w:p>
    <w:p>
      <w:pPr>
        <w:spacing w:after="0" w:line="1" w:lineRule="exact"/>
        <w:rPr>
          <w:rFonts w:ascii="Arial" w:cs="Arial" w:eastAsia="Arial" w:hAnsi="Arial"/>
          <w:sz w:val="18"/>
          <w:szCs w:val="18"/>
          <w:color w:val="auto"/>
        </w:rPr>
      </w:pPr>
    </w:p>
    <w:p>
      <w:pPr>
        <w:ind w:left="540" w:right="100" w:hanging="424"/>
        <w:spacing w:after="0" w:line="253"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Mullican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Mullican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Mullican Employment Agreement, if his employment is terminated due to death or disability, the Company will pay to</w:t>
      </w:r>
    </w:p>
    <w:p>
      <w:pPr>
        <w:spacing w:after="0" w:line="2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Mullican’s employment without Cause or Mr. Mullican resigns for Good Reason, the Company shall pay:</w:t>
      </w:r>
    </w:p>
    <w:p>
      <w:pPr>
        <w:spacing w:after="0" w:line="129" w:lineRule="exact"/>
        <w:rPr>
          <w:sz w:val="20"/>
          <w:szCs w:val="20"/>
          <w:color w:val="auto"/>
        </w:rPr>
      </w:pPr>
    </w:p>
    <w:p>
      <w:pPr>
        <w:ind w:left="560" w:right="80" w:hanging="4"/>
        <w:spacing w:after="0" w:line="272" w:lineRule="auto"/>
        <w:tabs>
          <w:tab w:leader="none" w:pos="77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hanging="4"/>
        <w:spacing w:after="0" w:line="270" w:lineRule="auto"/>
        <w:tabs>
          <w:tab w:leader="none" w:pos="82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180" w:hanging="4"/>
        <w:spacing w:after="0" w:line="284" w:lineRule="auto"/>
        <w:tabs>
          <w:tab w:leader="none" w:pos="87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Mullican and his covered dependents medical insurance benefits, contingent on Mr. Mullican electing continuation 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4" w:lineRule="exact"/>
        <w:rPr>
          <w:rFonts w:ascii="Arial" w:cs="Arial" w:eastAsia="Arial" w:hAnsi="Arial"/>
          <w:sz w:val="16"/>
          <w:szCs w:val="16"/>
          <w:color w:val="auto"/>
        </w:rPr>
      </w:pPr>
    </w:p>
    <w:p>
      <w:pPr>
        <w:jc w:val="both"/>
        <w:ind w:left="560" w:right="100"/>
        <w:spacing w:after="0" w:line="253" w:lineRule="auto"/>
        <w:rPr>
          <w:rFonts w:ascii="Arial" w:cs="Arial" w:eastAsia="Arial" w:hAnsi="Arial"/>
          <w:sz w:val="16"/>
          <w:szCs w:val="16"/>
          <w:color w:val="auto"/>
        </w:rPr>
      </w:pPr>
      <w:r>
        <w:rPr>
          <w:rFonts w:ascii="Arial" w:cs="Arial" w:eastAsia="Arial" w:hAnsi="Arial"/>
          <w:sz w:val="18"/>
          <w:szCs w:val="18"/>
          <w:color w:val="auto"/>
        </w:rPr>
        <w:t>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4"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hanging="545"/>
        <w:spacing w:after="0" w:line="259" w:lineRule="auto"/>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311" w:lineRule="auto"/>
        <w:tabs>
          <w:tab w:leader="none" w:pos="220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right="340"/>
        <w:spacing w:after="0" w:line="308" w:lineRule="auto"/>
        <w:rPr>
          <w:sz w:val="20"/>
          <w:szCs w:val="20"/>
          <w:color w:val="auto"/>
        </w:rPr>
      </w:pPr>
      <w:r>
        <w:rPr>
          <w:rFonts w:ascii="Arial" w:cs="Arial" w:eastAsia="Arial" w:hAnsi="Arial"/>
          <w:sz w:val="17"/>
          <w:szCs w:val="17"/>
          <w:color w:val="auto"/>
        </w:rPr>
        <w:t>Change of Control, and any portion of the Performance Options that has not been Earned as of immediately prior to such Change of Control shall be automatically forfeited upon the consummation of such Change of Control.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Mullican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0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16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1,327,936</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456,570</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92,908</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21,037</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66,418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1,322</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18,374</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2,071,700</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38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$ 478,929</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1,443,092</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2,156,492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Pursuant to the Mullican Employment Agreement, if his employment is terminated due to death or disability, the Company will pay to</w:t>
      </w:r>
    </w:p>
    <w:p>
      <w:pPr>
        <w:spacing w:after="0" w:line="23" w:lineRule="exact"/>
        <w:rPr>
          <w:rFonts w:ascii="Arial" w:cs="Arial" w:eastAsia="Arial" w:hAnsi="Arial"/>
          <w:sz w:val="18"/>
          <w:szCs w:val="18"/>
          <w:color w:val="auto"/>
        </w:rPr>
      </w:pPr>
    </w:p>
    <w:p>
      <w:pPr>
        <w:ind w:left="540" w:right="20"/>
        <w:spacing w:after="0" w:line="250" w:lineRule="auto"/>
        <w:rPr>
          <w:rFonts w:ascii="Arial" w:cs="Arial" w:eastAsia="Arial" w:hAnsi="Arial"/>
          <w:sz w:val="18"/>
          <w:szCs w:val="18"/>
          <w:color w:val="auto"/>
        </w:rPr>
      </w:pPr>
      <w:r>
        <w:rPr>
          <w:rFonts w:ascii="Arial" w:cs="Arial" w:eastAsia="Arial" w:hAnsi="Arial"/>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rFonts w:ascii="Arial" w:cs="Arial" w:eastAsia="Arial" w:hAnsi="Arial"/>
          <w:sz w:val="18"/>
          <w:szCs w:val="18"/>
          <w:color w:val="auto"/>
        </w:rPr>
      </w:pPr>
    </w:p>
    <w:p>
      <w:pPr>
        <w:ind w:left="540" w:right="160" w:hanging="424"/>
        <w:spacing w:after="0" w:line="268" w:lineRule="auto"/>
        <w:tabs>
          <w:tab w:leader="none" w:pos="5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58" w:lineRule="auto"/>
        <w:rPr>
          <w:sz w:val="20"/>
          <w:szCs w:val="20"/>
          <w:color w:val="auto"/>
        </w:rPr>
      </w:pPr>
      <w:r>
        <w:rPr>
          <w:rFonts w:ascii="Arial" w:cs="Arial" w:eastAsia="Arial" w:hAnsi="Arial"/>
          <w:sz w:val="18"/>
          <w:szCs w:val="18"/>
          <w:color w:val="auto"/>
        </w:rPr>
        <w:t>portion under the 2019 Executive Option Agreement that would have become vested on the vesting date immediately following termination had Mr. Mullican remained employed).</w:t>
      </w:r>
    </w:p>
    <w:p>
      <w:pPr>
        <w:spacing w:after="0" w:line="1" w:lineRule="exact"/>
        <w:rPr>
          <w:sz w:val="20"/>
          <w:szCs w:val="20"/>
          <w:color w:val="auto"/>
        </w:rPr>
      </w:pPr>
    </w:p>
    <w:p>
      <w:pPr>
        <w:ind w:left="540" w:right="20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spacing w:after="0" w:line="1" w:lineRule="exact"/>
        <w:rPr>
          <w:rFonts w:ascii="Arial" w:cs="Arial" w:eastAsia="Arial" w:hAnsi="Arial"/>
          <w:sz w:val="16"/>
          <w:szCs w:val="16"/>
          <w:color w:val="auto"/>
        </w:rPr>
      </w:pPr>
    </w:p>
    <w:p>
      <w:pPr>
        <w:ind w:left="540" w:right="320" w:firstLine="8"/>
        <w:spacing w:after="0" w:line="250" w:lineRule="auto"/>
        <w:tabs>
          <w:tab w:leader="none" w:pos="83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his base salary ($489,500 for 2019) and (B) the average annual bonus paid to (or earned by, to the extent not yet paid as of the termination date) him under the Executive Team Bonus Plan for the two fiscal years of the Company immediately preceding the fiscal year in which the termination date occurs ($256,028 for 2017 and $92,908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2"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140"/>
        <w:spacing w:after="0" w:line="250" w:lineRule="auto"/>
        <w:rPr>
          <w:rFonts w:ascii="Arial" w:cs="Arial" w:eastAsia="Arial" w:hAnsi="Arial"/>
          <w:sz w:val="16"/>
          <w:szCs w:val="16"/>
          <w:color w:val="auto"/>
        </w:rPr>
      </w:pPr>
      <w:r>
        <w:rPr>
          <w:rFonts w:ascii="Arial" w:cs="Arial" w:eastAsia="Arial" w:hAnsi="Arial"/>
          <w:sz w:val="18"/>
          <w:szCs w:val="18"/>
          <w:color w:val="auto"/>
        </w:rPr>
        <w:t>Mr. Mullican’s portion of such premiums as if Mr. Mullican was an active employee, which payment shall be paid in advance on the first payroll day of each month during the such 24-month period ($912 per month).</w:t>
      </w:r>
    </w:p>
    <w:p>
      <w:pPr>
        <w:ind w:left="540" w:right="80" w:hanging="424"/>
        <w:spacing w:after="0" w:line="265"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right="200" w:hanging="424"/>
        <w:spacing w:after="0" w:line="28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ind w:left="540" w:firstLine="8"/>
        <w:spacing w:after="0" w:line="281" w:lineRule="auto"/>
        <w:tabs>
          <w:tab w:leader="none" w:pos="82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2" w:lineRule="exact"/>
        <w:rPr>
          <w:rFonts w:ascii="Arial" w:cs="Arial" w:eastAsia="Arial" w:hAnsi="Arial"/>
          <w:sz w:val="16"/>
          <w:szCs w:val="16"/>
          <w:color w:val="auto"/>
        </w:rPr>
      </w:pPr>
    </w:p>
    <w:p>
      <w:pPr>
        <w:ind w:left="540" w:hanging="424"/>
        <w:spacing w:after="0" w:line="277" w:lineRule="auto"/>
        <w:tabs>
          <w:tab w:leader="none" w:pos="5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40"/>
        <w:spacing w:after="0" w:line="287" w:lineRule="auto"/>
        <w:rPr>
          <w:sz w:val="20"/>
          <w:szCs w:val="20"/>
          <w:color w:val="auto"/>
        </w:rPr>
      </w:pPr>
      <w:r>
        <w:rPr>
          <w:rFonts w:ascii="Arial" w:cs="Arial" w:eastAsia="Arial" w:hAnsi="Arial"/>
          <w:sz w:val="16"/>
          <w:szCs w:val="16"/>
          <w:color w:val="auto"/>
        </w:rPr>
        <w:t>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sz w:val="20"/>
          <w:szCs w:val="20"/>
          <w:color w:val="auto"/>
        </w:rPr>
      </w:pPr>
    </w:p>
    <w:p>
      <w:pPr>
        <w:ind w:left="540" w:right="240" w:hanging="424"/>
        <w:spacing w:after="0" w:line="273" w:lineRule="auto"/>
        <w:tabs>
          <w:tab w:leader="none" w:pos="5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Lawrence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Lawrence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the Lawrence Employment Agreement, if his employment is terminated due to death or disability, the Company will pay to</w:t>
      </w:r>
    </w:p>
    <w:p>
      <w:pPr>
        <w:spacing w:after="0" w:line="3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 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Lawrence’s employment without Cause or Mr. Lawrence resigns for Good Reason, the Company shall pay:</w:t>
      </w:r>
    </w:p>
    <w:p>
      <w:pPr>
        <w:spacing w:after="0" w:line="129" w:lineRule="exact"/>
        <w:rPr>
          <w:sz w:val="20"/>
          <w:szCs w:val="20"/>
          <w:color w:val="auto"/>
        </w:rPr>
      </w:pPr>
    </w:p>
    <w:p>
      <w:pPr>
        <w:ind w:left="560" w:right="100" w:hanging="4"/>
        <w:spacing w:after="0" w:line="272" w:lineRule="auto"/>
        <w:tabs>
          <w:tab w:leader="none" w:pos="77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right="720" w:hanging="4"/>
        <w:spacing w:after="0" w:line="277" w:lineRule="auto"/>
        <w:tabs>
          <w:tab w:leader="none" w:pos="82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amount equal to the product of (x) the annual bonus he has earned under the Executive Team Bonus Plan for the fiscal year of the Company immediately preceding the fiscal year of the Company in which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58" w:lineRule="exact"/>
        <w:rPr>
          <w:sz w:val="20"/>
          <w:szCs w:val="20"/>
          <w:color w:val="auto"/>
        </w:rPr>
      </w:pPr>
    </w:p>
    <w:p>
      <w:pPr>
        <w:ind w:left="560" w:hanging="4"/>
        <w:spacing w:after="0" w:line="289" w:lineRule="auto"/>
        <w:tabs>
          <w:tab w:leader="none" w:pos="87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58" w:lineRule="exact"/>
        <w:rPr>
          <w:rFonts w:ascii="Arial" w:cs="Arial" w:eastAsia="Arial" w:hAnsi="Arial"/>
          <w:sz w:val="16"/>
          <w:szCs w:val="16"/>
          <w:color w:val="auto"/>
        </w:rPr>
      </w:pPr>
    </w:p>
    <w:p>
      <w:pPr>
        <w:ind w:left="560" w:right="160" w:hanging="4"/>
        <w:spacing w:after="0" w:line="263" w:lineRule="auto"/>
        <w:tabs>
          <w:tab w:leader="none" w:pos="8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Lawrence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March 7, 2019, the Company granted 411,270 Time Options and 106,865 Performance Options with an exercise price of $5.26 to</w:t>
      </w:r>
    </w:p>
    <w:p>
      <w:pPr>
        <w:spacing w:after="0" w:line="35"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59" w:lineRule="auto"/>
        <w:tabs>
          <w:tab w:leader="none" w:pos="22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296" w:lineRule="auto"/>
        <w:tabs>
          <w:tab w:leader="none" w:pos="2200" w:val="left"/>
        </w:tabs>
        <w:numPr>
          <w:ilvl w:val="2"/>
          <w:numId w:val="154"/>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Lawrence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6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02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1,410,000</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756,646</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23,647</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94,592</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24,578</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782,797</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52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$ 780,293</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1,432,248</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901,967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Pursuant to the Lawrence Employment Agreement, if his employment is terminated due to death or disability, the Company will pay to</w:t>
      </w:r>
    </w:p>
    <w:p>
      <w:pPr>
        <w:spacing w:after="0" w:line="34" w:lineRule="exact"/>
        <w:rPr>
          <w:rFonts w:ascii="Arial" w:cs="Arial" w:eastAsia="Arial" w:hAnsi="Arial"/>
          <w:sz w:val="17"/>
          <w:szCs w:val="17"/>
          <w:color w:val="auto"/>
        </w:rPr>
      </w:pPr>
    </w:p>
    <w:p>
      <w:pPr>
        <w:ind w:left="540"/>
        <w:spacing w:after="0" w:line="281" w:lineRule="auto"/>
        <w:rPr>
          <w:rFonts w:ascii="Arial" w:cs="Arial" w:eastAsia="Arial" w:hAnsi="Arial"/>
          <w:sz w:val="17"/>
          <w:szCs w:val="17"/>
          <w:color w:val="auto"/>
        </w:rPr>
      </w:pPr>
      <w:r>
        <w:rPr>
          <w:rFonts w:ascii="Arial" w:cs="Arial" w:eastAsia="Arial" w:hAnsi="Arial"/>
          <w:sz w:val="16"/>
          <w:szCs w:val="16"/>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 (y) a fraction, the numerator of which is equal to the number of days between and including his commencement date of February 11, 2019 and the termination date (356 days), and the denominator of which is equal to 365.</w:t>
      </w:r>
    </w:p>
    <w:p>
      <w:pPr>
        <w:spacing w:after="0" w:line="3" w:lineRule="exact"/>
        <w:rPr>
          <w:rFonts w:ascii="Arial" w:cs="Arial" w:eastAsia="Arial" w:hAnsi="Arial"/>
          <w:sz w:val="17"/>
          <w:szCs w:val="17"/>
          <w:color w:val="auto"/>
        </w:rPr>
      </w:pPr>
    </w:p>
    <w:p>
      <w:pPr>
        <w:ind w:left="540" w:right="100" w:hanging="424"/>
        <w:spacing w:after="0" w:line="250"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hanging="424"/>
        <w:spacing w:after="0" w:line="250"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 date) him under the Executive Team Bonus Plan for the two fiscal years of the Company immediately preceding the fiscal year in which the termination date occurs ($0 for 2017 and $0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2" w:lineRule="exact"/>
        <w:rPr>
          <w:rFonts w:ascii="Arial" w:cs="Arial" w:eastAsia="Arial" w:hAnsi="Arial"/>
          <w:sz w:val="16"/>
          <w:szCs w:val="16"/>
          <w:color w:val="auto"/>
        </w:rPr>
      </w:pPr>
    </w:p>
    <w:p>
      <w:pPr>
        <w:jc w:val="both"/>
        <w:ind w:left="540" w:right="420" w:hanging="424"/>
        <w:spacing w:after="0" w:line="302"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53" w:lineRule="auto"/>
        <w:rPr>
          <w:sz w:val="20"/>
          <w:szCs w:val="20"/>
          <w:color w:val="auto"/>
        </w:rPr>
      </w:pPr>
      <w:r>
        <w:rPr>
          <w:rFonts w:ascii="Arial" w:cs="Arial" w:eastAsia="Arial" w:hAnsi="Arial"/>
          <w:sz w:val="18"/>
          <w:szCs w:val="18"/>
          <w:color w:val="auto"/>
        </w:rPr>
        <w:t>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sz w:val="20"/>
          <w:szCs w:val="20"/>
          <w:color w:val="auto"/>
        </w:rPr>
      </w:pPr>
    </w:p>
    <w:p>
      <w:pPr>
        <w:ind w:left="540" w:right="60" w:hanging="424"/>
        <w:spacing w:after="0" w:line="265" w:lineRule="auto"/>
        <w:tabs>
          <w:tab w:leader="none" w:pos="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hanging="424"/>
        <w:spacing w:after="0" w:line="281" w:lineRule="auto"/>
        <w:tabs>
          <w:tab w:leader="none" w:pos="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 Options (the unvested portion under the 2019 Executive Option Agreement immediately prior to February 1, 2020, which is the entire grant).</w:t>
      </w:r>
    </w:p>
    <w:p>
      <w:pPr>
        <w:spacing w:after="0" w:line="1" w:lineRule="exact"/>
        <w:rPr>
          <w:rFonts w:ascii="Arial" w:cs="Arial" w:eastAsia="Arial" w:hAnsi="Arial"/>
          <w:sz w:val="18"/>
          <w:szCs w:val="18"/>
          <w:color w:val="auto"/>
        </w:rPr>
      </w:pPr>
    </w:p>
    <w:p>
      <w:pPr>
        <w:ind w:left="540" w:right="240" w:hanging="424"/>
        <w:spacing w:after="0" w:line="273" w:lineRule="auto"/>
        <w:tabs>
          <w:tab w:leader="none" w:pos="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Johnson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Johnson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2" w:lineRule="exact"/>
        <w:rPr>
          <w:sz w:val="20"/>
          <w:szCs w:val="20"/>
          <w:color w:val="auto"/>
        </w:rPr>
      </w:pPr>
    </w:p>
    <w:p>
      <w:pPr>
        <w:ind w:left="120" w:right="100" w:hanging="4"/>
        <w:spacing w:after="0" w:line="255" w:lineRule="auto"/>
        <w:tabs>
          <w:tab w:leader="none" w:pos="3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Johnson’s employment without Cause or Mr. Johnson resigns for Good Reason, the Company shall pay:</w:t>
      </w:r>
    </w:p>
    <w:p>
      <w:pPr>
        <w:spacing w:after="0" w:line="129" w:lineRule="exact"/>
        <w:rPr>
          <w:sz w:val="20"/>
          <w:szCs w:val="20"/>
          <w:color w:val="auto"/>
        </w:rPr>
      </w:pPr>
    </w:p>
    <w:p>
      <w:pPr>
        <w:ind w:left="560" w:right="80" w:hanging="4"/>
        <w:spacing w:after="0" w:line="272" w:lineRule="auto"/>
        <w:tabs>
          <w:tab w:leader="none" w:pos="77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hanging="4"/>
        <w:spacing w:after="0" w:line="270" w:lineRule="auto"/>
        <w:tabs>
          <w:tab w:leader="none" w:pos="82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40" w:hanging="4"/>
        <w:spacing w:after="0" w:line="284" w:lineRule="auto"/>
        <w:tabs>
          <w:tab w:leader="none" w:pos="87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Arial" w:cs="Arial" w:eastAsia="Arial" w:hAnsi="Arial"/>
          <w:sz w:val="16"/>
          <w:szCs w:val="16"/>
          <w:color w:val="auto"/>
        </w:rPr>
      </w:pPr>
      <w:r>
        <w:rPr>
          <w:rFonts w:ascii="Arial" w:cs="Arial" w:eastAsia="Arial" w:hAnsi="Arial"/>
          <w:sz w:val="18"/>
          <w:szCs w:val="18"/>
          <w:color w:val="auto"/>
        </w:rPr>
        <w:t>Mr. Johnson during the 24 month period following the termination date; and</w:t>
      </w:r>
    </w:p>
    <w:p>
      <w:pPr>
        <w:spacing w:after="0" w:line="102"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61"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 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60" w:hanging="545"/>
        <w:spacing w:after="0" w:line="259" w:lineRule="auto"/>
        <w:tabs>
          <w:tab w:leader="none" w:pos="220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59"/>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296" w:lineRule="auto"/>
        <w:tabs>
          <w:tab w:leader="none" w:pos="22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Johnson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0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16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1,316,378</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434,125</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87,284</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17,299</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55,376</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rPr>
              <w:t>991</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15,747</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1,294,816</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38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$ 452,415</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1,425,910</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1,365,939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3"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67" w:lineRule="auto"/>
        <w:tabs>
          <w:tab w:leader="none" w:pos="5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260"/>
        <w:spacing w:after="0" w:line="250" w:lineRule="auto"/>
        <w:rPr>
          <w:rFonts w:ascii="Arial" w:cs="Arial" w:eastAsia="Arial" w:hAnsi="Arial"/>
          <w:sz w:val="16"/>
          <w:szCs w:val="16"/>
          <w:color w:val="auto"/>
        </w:rPr>
      </w:pPr>
      <w:r>
        <w:rPr>
          <w:rFonts w:ascii="Arial" w:cs="Arial" w:eastAsia="Arial" w:hAnsi="Arial"/>
          <w:sz w:val="18"/>
          <w:szCs w:val="18"/>
          <w:color w:val="auto"/>
        </w:rPr>
        <w:t>Mr. Johnson’s portion of such premiums as if Mr. Johnson was an active employee, which payment shall be paid in advance on the first payroll day of each month during the such 24-month period ($912 per month).</w:t>
      </w:r>
    </w:p>
    <w:p>
      <w:pPr>
        <w:ind w:left="540" w:hanging="424"/>
        <w:spacing w:after="0" w:line="250"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Pursuant to the Johnson Employment Agreement, if the Company terminates Mr. Johnson’s employment without Cause or Mr. Johnson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Arial" w:cs="Arial" w:eastAsia="Arial" w:hAnsi="Arial"/>
          <w:sz w:val="18"/>
          <w:szCs w:val="18"/>
          <w:color w:val="auto"/>
        </w:rPr>
      </w:pPr>
    </w:p>
    <w:p>
      <w:pPr>
        <w:jc w:val="both"/>
        <w:ind w:left="540" w:right="200" w:hanging="424"/>
        <w:spacing w:after="0" w:line="28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(B) 36,946 Time Options (the unvested portion under the 2017 Executive Option Agreement immediately prior to February 1,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3" w:lineRule="exact"/>
        <w:rPr>
          <w:sz w:val="20"/>
          <w:szCs w:val="20"/>
          <w:color w:val="auto"/>
        </w:rPr>
      </w:pPr>
    </w:p>
    <w:p>
      <w:pPr>
        <w:ind w:left="540" w:hanging="424"/>
        <w:spacing w:after="0" w:line="281" w:lineRule="auto"/>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3" w:lineRule="exact"/>
        <w:rPr>
          <w:rFonts w:ascii="Arial" w:cs="Arial" w:eastAsia="Arial" w:hAnsi="Arial"/>
          <w:sz w:val="16"/>
          <w:szCs w:val="16"/>
          <w:color w:val="auto"/>
        </w:rPr>
      </w:pPr>
    </w:p>
    <w:p>
      <w:pPr>
        <w:ind w:left="540" w:right="240" w:hanging="424"/>
        <w:spacing w:after="0" w:line="273" w:lineRule="auto"/>
        <w:tabs>
          <w:tab w:leader="none" w:pos="5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Attaway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Attaway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62" w:lineRule="exact"/>
        <w:rPr>
          <w:sz w:val="20"/>
          <w:szCs w:val="20"/>
          <w:color w:val="auto"/>
        </w:rPr>
      </w:pPr>
    </w:p>
    <w:p>
      <w:pPr>
        <w:ind w:left="560" w:right="20" w:hanging="4"/>
        <w:spacing w:after="0" w:line="259" w:lineRule="auto"/>
        <w:tabs>
          <w:tab w:leader="none" w:pos="77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amount equal to one times his base salary as in effect on the termination date,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8" w:lineRule="exact"/>
        <w:rPr>
          <w:rFonts w:ascii="Arial" w:cs="Arial" w:eastAsia="Arial" w:hAnsi="Arial"/>
          <w:sz w:val="18"/>
          <w:szCs w:val="18"/>
          <w:color w:val="auto"/>
        </w:rPr>
      </w:pPr>
    </w:p>
    <w:p>
      <w:pPr>
        <w:ind w:left="560" w:hanging="4"/>
        <w:spacing w:after="0" w:line="273" w:lineRule="auto"/>
        <w:tabs>
          <w:tab w:leader="none" w:pos="82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 amount equal to the bonus earned by him under the Executive Team Bonus Plan for the fiscal year of the Company immediately preceding the fiscal year of the Company in which the termination date occurs,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Such payment is in lieu of the bonus that would have otherwise been due to him under the Executive Team Bonus Plan for the performance period in which the termination date occurs.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Attaway’s employment without Cause or Mr. Attaway resigns for Good Reason, the Company shall pay:</w:t>
      </w:r>
    </w:p>
    <w:p>
      <w:pPr>
        <w:spacing w:after="0" w:line="129" w:lineRule="exact"/>
        <w:rPr>
          <w:sz w:val="20"/>
          <w:szCs w:val="20"/>
          <w:color w:val="auto"/>
        </w:rPr>
      </w:pPr>
    </w:p>
    <w:p>
      <w:pPr>
        <w:ind w:left="560" w:right="40" w:hanging="4"/>
        <w:spacing w:after="0" w:line="291" w:lineRule="auto"/>
        <w:tabs>
          <w:tab w:leader="none" w:pos="77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58" w:lineRule="exact"/>
        <w:rPr>
          <w:rFonts w:ascii="Arial" w:cs="Arial" w:eastAsia="Arial" w:hAnsi="Arial"/>
          <w:sz w:val="16"/>
          <w:szCs w:val="16"/>
          <w:color w:val="auto"/>
        </w:rPr>
      </w:pPr>
    </w:p>
    <w:p>
      <w:pPr>
        <w:ind w:left="560" w:hanging="4"/>
        <w:spacing w:after="0" w:line="270" w:lineRule="auto"/>
        <w:tabs>
          <w:tab w:leader="none" w:pos="82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40" w:hanging="4"/>
        <w:spacing w:after="0" w:line="284" w:lineRule="auto"/>
        <w:tabs>
          <w:tab w:leader="none" w:pos="87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Attaway and his covered dependents medical insurance benefits, contingent on Mr. Attaway electing continuation 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w:t>
      </w:r>
    </w:p>
    <w:p>
      <w:pPr>
        <w:ind w:left="560"/>
        <w:spacing w:after="0"/>
        <w:rPr>
          <w:rFonts w:ascii="Arial" w:cs="Arial" w:eastAsia="Arial" w:hAnsi="Arial"/>
          <w:sz w:val="16"/>
          <w:szCs w:val="16"/>
          <w:color w:val="auto"/>
        </w:rPr>
      </w:pPr>
      <w:r>
        <w:rPr>
          <w:rFonts w:ascii="Arial" w:cs="Arial" w:eastAsia="Arial" w:hAnsi="Arial"/>
          <w:sz w:val="18"/>
          <w:szCs w:val="18"/>
          <w:color w:val="auto"/>
        </w:rPr>
        <w:t>Mr. Attaway during the 24 month period following the termination date; and</w:t>
      </w:r>
    </w:p>
    <w:p>
      <w:pPr>
        <w:spacing w:after="0" w:line="102"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Attaway Employment Agreement contains the same definition of “Cause” provided in the Hicks Employment Agreement.</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20" w:hanging="545"/>
        <w:spacing w:after="0" w:line="259" w:lineRule="auto"/>
        <w:tabs>
          <w:tab w:leader="none" w:pos="22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80" w:hanging="545"/>
        <w:spacing w:after="0" w:line="263" w:lineRule="auto"/>
        <w:tabs>
          <w:tab w:leader="none" w:pos="22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00" w:hanging="545"/>
        <w:spacing w:after="0" w:line="279" w:lineRule="auto"/>
        <w:tabs>
          <w:tab w:leader="none" w:pos="220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640" w:hanging="545"/>
        <w:spacing w:after="0" w:line="277" w:lineRule="auto"/>
        <w:tabs>
          <w:tab w:leader="none" w:pos="22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of the Membership Units that are subject to such unvested portion, immediately prior to such Change of Control.</w:t>
      </w:r>
    </w:p>
    <w:p>
      <w:pPr>
        <w:spacing w:after="0" w:line="131" w:lineRule="exact"/>
        <w:rPr>
          <w:sz w:val="20"/>
          <w:szCs w:val="20"/>
          <w:color w:val="auto"/>
        </w:rPr>
      </w:pPr>
    </w:p>
    <w:p>
      <w:pPr>
        <w:ind w:left="2200" w:right="180" w:hanging="545"/>
        <w:spacing w:after="0" w:line="296" w:lineRule="auto"/>
        <w:tabs>
          <w:tab w:leader="none" w:pos="22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Attaway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4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gridSpan w:val="3"/>
          </w:tcPr>
          <w:p>
            <w:pPr>
              <w:jc w:val="center"/>
              <w:ind w:right="444"/>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6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02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531,677</w:t>
            </w:r>
          </w:p>
        </w:tc>
        <w:tc>
          <w:tcPr>
            <w:tcW w:w="50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76"/>
              </w:rPr>
              <w:t>(1)</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1,244,520</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20" w:type="dxa"/>
            <w:vAlign w:val="bottom"/>
          </w:tcPr>
          <w:p>
            <w:pPr>
              <w:spacing w:after="0"/>
              <w:rPr>
                <w:sz w:val="18"/>
                <w:szCs w:val="18"/>
                <w:color w:val="auto"/>
              </w:rPr>
            </w:pPr>
          </w:p>
        </w:tc>
        <w:tc>
          <w:tcPr>
            <w:tcW w:w="128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83,677</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20,856</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25,285</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65,251</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264"/>
              <w:spacing w:after="0"/>
              <w:rPr>
                <w:sz w:val="20"/>
                <w:szCs w:val="20"/>
                <w:color w:val="auto"/>
              </w:rPr>
            </w:pPr>
            <w:r>
              <w:rPr>
                <w:rFonts w:ascii="Arial" w:cs="Arial" w:eastAsia="Arial" w:hAnsi="Arial"/>
                <w:sz w:val="18"/>
                <w:szCs w:val="18"/>
                <w:color w:val="auto"/>
              </w:rPr>
              <w:t>1,652</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16,086</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776,889</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52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$ 558,614</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1,349,413</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858,226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84"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twelve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twelve months following the termination date in accordance with the Company’s normal payroll cycle and procedures ($83,677 for 2018).</w:t>
      </w:r>
    </w:p>
    <w:p>
      <w:pPr>
        <w:spacing w:after="0" w:line="4" w:lineRule="exact"/>
        <w:rPr>
          <w:rFonts w:ascii="Arial" w:cs="Arial" w:eastAsia="Arial" w:hAnsi="Arial"/>
          <w:sz w:val="16"/>
          <w:szCs w:val="16"/>
          <w:color w:val="auto"/>
        </w:rPr>
      </w:pPr>
    </w:p>
    <w:p>
      <w:pPr>
        <w:ind w:left="540" w:right="280" w:hanging="424"/>
        <w:spacing w:after="0" w:line="290"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 the exercise price ($5.30), and (B) 30,789 Time Options (the portion under the 2017 Executive Option Agreement that would have become vested on the vesting date immediately following termination had</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1" w:lineRule="exact"/>
        <w:rPr>
          <w:sz w:val="20"/>
          <w:szCs w:val="20"/>
          <w:color w:val="auto"/>
        </w:rPr>
      </w:pPr>
    </w:p>
    <w:p>
      <w:pPr>
        <w:ind w:left="540" w:right="240" w:hanging="424"/>
        <w:spacing w:after="0" w:line="250"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spacing w:after="0" w:line="1" w:lineRule="exact"/>
        <w:rPr>
          <w:rFonts w:ascii="Arial" w:cs="Arial" w:eastAsia="Arial" w:hAnsi="Arial"/>
          <w:sz w:val="16"/>
          <w:szCs w:val="16"/>
          <w:color w:val="auto"/>
        </w:rPr>
      </w:pPr>
    </w:p>
    <w:p>
      <w:pPr>
        <w:ind w:left="540" w:firstLine="8"/>
        <w:spacing w:after="0" w:line="250" w:lineRule="auto"/>
        <w:tabs>
          <w:tab w:leader="none" w:pos="83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his base salary at the rate in effect as of the last day of the year immediately preceding the termination date ($448,000 as of the last day of 2018) and (B) the average annual bonus paid to (or earned by, to the extent not yet paid as of the termination date) him under the Executive Team Bonus Plan for the two fiscal years of the Company immediately preceding the fiscal year in which the termination date occurs ($264,844 for 2017 and $83,677 for 2018).</w:t>
      </w:r>
    </w:p>
    <w:p>
      <w:pPr>
        <w:spacing w:after="0" w:line="1"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2" w:lineRule="exact"/>
        <w:rPr>
          <w:rFonts w:ascii="Arial" w:cs="Arial" w:eastAsia="Arial" w:hAnsi="Arial"/>
          <w:sz w:val="16"/>
          <w:szCs w:val="16"/>
          <w:color w:val="auto"/>
        </w:rPr>
      </w:pPr>
    </w:p>
    <w:p>
      <w:pPr>
        <w:ind w:left="540" w:right="100" w:hanging="424"/>
        <w:spacing w:after="0" w:line="281"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280"/>
        <w:spacing w:after="0" w:line="250" w:lineRule="auto"/>
        <w:rPr>
          <w:rFonts w:ascii="Arial" w:cs="Arial" w:eastAsia="Arial" w:hAnsi="Arial"/>
          <w:sz w:val="16"/>
          <w:szCs w:val="16"/>
          <w:color w:val="auto"/>
        </w:rPr>
      </w:pPr>
      <w:r>
        <w:rPr>
          <w:rFonts w:ascii="Arial" w:cs="Arial" w:eastAsia="Arial" w:hAnsi="Arial"/>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20" w:hanging="424"/>
        <w:spacing w:after="0" w:line="265" w:lineRule="auto"/>
        <w:tabs>
          <w:tab w:leader="none" w:pos="5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right="240" w:hanging="424"/>
        <w:spacing w:after="0" w:line="281"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jc w:val="both"/>
        <w:ind w:left="540" w:right="80" w:firstLine="8"/>
        <w:spacing w:after="0" w:line="255" w:lineRule="auto"/>
        <w:tabs>
          <w:tab w:leader="none" w:pos="82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29,585 Time Options (the unvested portion under the 2016 Executive Option Agreement immediately prior to February 1, 2020); (ii) $11,699, which is the product of (A) the difference between the Market Value Per Membership Interest and the exercise price ($5.30), and (B) 61,578 Time Options (the unvested portion under the 2017 Executive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 (A) the difference between the Market Value Per Membership Interest and the exercise price ($5.26), and (B) 112,824 Time Options (the unvested portion under the 2019 Executive Option Agreement immediately prior to February 1, 2020, which is the entire grant).</w:t>
      </w:r>
    </w:p>
    <w:p>
      <w:pPr>
        <w:spacing w:after="0" w:line="3" w:lineRule="exact"/>
        <w:rPr>
          <w:sz w:val="20"/>
          <w:szCs w:val="20"/>
          <w:color w:val="auto"/>
        </w:rPr>
      </w:pPr>
    </w:p>
    <w:p>
      <w:pPr>
        <w:ind w:left="540" w:hanging="424"/>
        <w:spacing w:after="0" w:line="281"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3" w:lineRule="exact"/>
        <w:rPr>
          <w:rFonts w:ascii="Arial" w:cs="Arial" w:eastAsia="Arial" w:hAnsi="Arial"/>
          <w:sz w:val="16"/>
          <w:szCs w:val="16"/>
          <w:color w:val="auto"/>
        </w:rPr>
      </w:pPr>
    </w:p>
    <w:p>
      <w:pPr>
        <w:ind w:left="540" w:right="240" w:hanging="424"/>
        <w:spacing w:after="0" w:line="273" w:lineRule="auto"/>
        <w:tabs>
          <w:tab w:leader="none" w:pos="5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 Table for 2019</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Fees Earned or</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420" w:type="dxa"/>
            <w:vAlign w:val="bottom"/>
          </w:tcPr>
          <w:p>
            <w:pPr>
              <w:spacing w:after="0"/>
              <w:rPr>
                <w:sz w:val="15"/>
                <w:szCs w:val="15"/>
                <w:color w:val="auto"/>
              </w:rPr>
            </w:pPr>
          </w:p>
        </w:tc>
        <w:tc>
          <w:tcPr>
            <w:tcW w:w="68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6"/>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Brian T. Marley</w:t>
            </w: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w w:val="8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Amounts reflect the aggregate amount of cash retainers paid during 2019.</w:t>
      </w:r>
    </w:p>
    <w:p>
      <w:pPr>
        <w:spacing w:after="0" w:line="23"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Arial" w:cs="Arial" w:eastAsia="Arial" w:hAnsi="Arial"/>
          <w:sz w:val="18"/>
          <w:szCs w:val="18"/>
          <w:i w:val="1"/>
          <w:iCs w:val="1"/>
          <w:color w:val="auto"/>
        </w:rPr>
        <w:t>Equity and Unit-Based Compensation</w:t>
      </w:r>
      <w:r>
        <w:rPr>
          <w:rFonts w:ascii="Arial" w:cs="Arial" w:eastAsia="Arial" w:hAnsi="Arial"/>
          <w:sz w:val="18"/>
          <w:szCs w:val="18"/>
          <w:color w:val="auto"/>
        </w:rPr>
        <w:t xml:space="preserve"> to our consolidated financial statements included in this prospectus for the assumptions used in calculating these values.</w:t>
      </w:r>
    </w:p>
    <w:p>
      <w:pPr>
        <w:spacing w:after="0" w:line="1" w:lineRule="exact"/>
        <w:rPr>
          <w:rFonts w:ascii="Arial" w:cs="Arial" w:eastAsia="Arial" w:hAnsi="Arial"/>
          <w:sz w:val="18"/>
          <w:szCs w:val="18"/>
          <w:color w:val="auto"/>
        </w:rPr>
      </w:pPr>
    </w:p>
    <w:p>
      <w:pPr>
        <w:ind w:left="540" w:right="180" w:hanging="424"/>
        <w:spacing w:after="0" w:line="281"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Each non-employee director has been granted Restricted Units pursuant to a Restricted Unit Agreement under the 2011 Equity Plan, which contains the following vesting terms: subject to the grantee’s continued service on such date, 100% of the Restricted Units vest on the earliest of</w:t>
      </w:r>
    </w:p>
    <w:p>
      <w:pPr>
        <w:spacing w:after="0" w:line="1" w:lineRule="exact"/>
        <w:rPr>
          <w:rFonts w:ascii="Arial" w:cs="Arial" w:eastAsia="Arial" w:hAnsi="Arial"/>
          <w:sz w:val="16"/>
          <w:szCs w:val="16"/>
          <w:color w:val="auto"/>
        </w:rPr>
      </w:pPr>
    </w:p>
    <w:p>
      <w:pPr>
        <w:ind w:left="540" w:right="100"/>
        <w:spacing w:after="0" w:line="255" w:lineRule="auto"/>
        <w:rPr>
          <w:rFonts w:ascii="Arial" w:cs="Arial" w:eastAsia="Arial" w:hAnsi="Arial"/>
          <w:sz w:val="16"/>
          <w:szCs w:val="16"/>
          <w:color w:val="auto"/>
        </w:rPr>
      </w:pPr>
      <w:r>
        <w:rPr>
          <w:rFonts w:ascii="Arial" w:cs="Arial" w:eastAsia="Arial" w:hAnsi="Arial"/>
          <w:sz w:val="18"/>
          <w:szCs w:val="18"/>
          <w:color w:val="auto"/>
        </w:rPr>
        <w:t>(i)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00"/>
        <w:spacing w:after="0" w:line="277" w:lineRule="auto"/>
        <w:rPr>
          <w:sz w:val="20"/>
          <w:szCs w:val="20"/>
          <w:color w:val="auto"/>
        </w:rPr>
      </w:pPr>
      <w:r>
        <w:rPr>
          <w:rFonts w:ascii="Arial" w:cs="Arial" w:eastAsia="Arial" w:hAnsi="Arial"/>
          <w:sz w:val="18"/>
          <w:szCs w:val="18"/>
          <w:color w:val="auto"/>
        </w:rPr>
        <w:t>Marley and Simon was granted 18,215 Restricted Units, all of which vest on the earliest of (i) the first anniversary of the grant date, (ii) the grantee’s death or disability or (iii) a Change of Control.</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December 2020, we adopted the following annual compensation policy pursuant to which each of our non-employee directors who are not employed by KKR or any of its affiliates will be entitled to the following compensation:</w:t>
      </w:r>
    </w:p>
    <w:p>
      <w:pPr>
        <w:spacing w:after="0" w:line="76" w:lineRule="exact"/>
        <w:rPr>
          <w:sz w:val="20"/>
          <w:szCs w:val="20"/>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annual cash retainer of $100,000, payable quarterly in arrears;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annual cash retainer of $30,000 for our lead director, payable quarterly in arrears;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non-employee director serving as chair of the following committees of our Board will receive the following additional annual retainers, each of which is also payable quarterly in arrears: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Audit Committee Chair: $25,000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Compensation Committee Chair: $25,000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Nominating and Governance Chair: $15,000; and</w:t>
      </w:r>
    </w:p>
    <w:p>
      <w:pPr>
        <w:spacing w:after="0" w:line="130"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 annual grant of restricted stock units having a grant date fair market value equal to $130,000 to be granted on the first business day following our annual meeting of stockholders and which will be converted into the number of restricted stock units to be granted based on the prior 30 calendar days’ average closing price of our common stock on the grant date and vest 100% on the earliest of (i) the first anniversary of the date of grant, or, if earlier, the date which is the business day immediately preceding the date of the next annual meeting of stockholders, (ii) the director’s termination due to death or disability or (iii) a Change in Control (as defined in the 2020 Equity Plan).</w:t>
      </w:r>
    </w:p>
    <w:p>
      <w:pPr>
        <w:spacing w:after="0" w:line="16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Non-employee directors (other than the directors employed by KKR and its affiliates) who commence, or terminate, service during the fiscal quarter will receive pro-rated cash retainers.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 restricted stock unit award having the terms described above will be granted to each new nonemployee director (other than the directors employed by KKR or its affiliates) on the date the new director is appointed to the Board having a grant date fair market value equal to $130,000 pro-rated based on the number of calendar days remaining before (a) the next annual stockholders meeting, if scheduled, or (b) the date of the first anniversary of the last annual stockholders meeting, if the next annual stockholders meeting is not scheduled. If the director is appointed 60 days or less prior to the annual stockholders meeting, no equity award grant will be made prior to such meeting to the new director.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will also be reimbursed for travel and lodging expenses associated with attendance at Board or committee meetings.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In connection with the IPO, we entered into a stockholders’ agreement with the KKR Stockholders. The stockholders’ agreement grants the KKR Stockholders the right to nominate to our board of directors a number of designees equal to: (i) at least a majority of the total number of directors comprising our board of directors at such time as long as the KKR Stockholders and their affiliates collectively beneficially own at least 50% of the outstanding shares of our common stock; (ii) at least 40% of the total number of directors comprising our board of directors at such time as long as the KKR Stockholders and their affiliates collectively beneficially own at least 40% but less than 50% of the outstanding shares of our common stock;</w:t>
      </w:r>
    </w:p>
    <w:p>
      <w:pPr>
        <w:spacing w:after="0" w:line="2" w:lineRule="exact"/>
        <w:rPr>
          <w:sz w:val="20"/>
          <w:szCs w:val="20"/>
          <w:color w:val="auto"/>
        </w:rPr>
      </w:pPr>
    </w:p>
    <w:p>
      <w:pPr>
        <w:ind w:left="120" w:right="20" w:hanging="4"/>
        <w:spacing w:after="0" w:line="286" w:lineRule="auto"/>
        <w:tabs>
          <w:tab w:leader="none" w:pos="43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at least 30% of the total number of directors comprising our board of directors at such time as long as the KKR Stockholders and their affiliates collectively beneficially own at least 30% but less than 40% of the outstanding shares of our common stock; (iv) at least 20% of the total number of directors comprising our board of directors at such time as long as the KKR Stockholders and their affiliates collectively beneficially own at least 20% but less 30% of the outstanding shares of our common stock; and (v) at least 10% of the total number of directors comprising our board of directors at such time as long as the KKR Stockholders and their affiliates collectively beneficially own at least 5% but less than 20% of the outstanding shares of our common stock. For purposes of calculating the number of directors that the KKR Stockholders are entitled to nominate pursuant to the formula outlined above, any fractional amounts are rounded up to the nearest whole number and the calculation is made on a pro forma basis, taking into account any increase in the size of our board of directors (e.g., one and one quarter (1</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KKR Stockholders director designee, the KKR Stockholders shall, to the fullest extent permitted by law, have the right to have the vacancy filled by a new KKR Stockholders director-designee.</w:t>
      </w:r>
    </w:p>
    <w:p>
      <w:pPr>
        <w:spacing w:after="0" w:line="16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the stockholders’ agreement grants the KKR Stockholders with special governance rights, for as long as the KKR Stockholders and their affiliates collectively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connection with the IPO, we amended and restated the registration rights agreement among New Academy Holding Company, LLC, Allstar LLC, Allstar Managers and the Gochman Investors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 Subject to certain conditions, the registration rights agreement provides KKR Stockholders with an unlimited number of “demand” registrations, and provides the Gochman Investors with three “demand” registrations following the IPO. Under the registration rights agreement, all holders of registrable securities party thereto are provided with customary “piggyback” registration rights following the IPO,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Monitoring Agreement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August 3, 2011, or the Effective Date, we entered into a monitoring agreement, or the Monitoring Agreement, with Kohlberg Kravis Roberts &amp; Co. L.P., or the Adviser, pursuant to which the Adviser provided advisory, consulting and financial services to us. In accordance with the terms of the Monitoring Agreement,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paid an aggregate annual advisory fee which increased by 5.0% annually on each anniversary of the Effective Date. The Adviser could also charge us a customary fee for services rendered in connection with securing, structuring and negotiating equity and debt financings by us. Additionally, we were required to reimburse the Adviser for any out-of-pocket expenses in connection with these services.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the completion of the IPO in the third quarter 2020, the Monitoring Agreement terminated automatically and we paid the final termination fee of $12.3 million. The termination fee was equal to the net present value of the advisory fees that would have been paid from the termination date through the twelfth anniversary of the Effective Date of the Monitoring Agreement. Pursuant to a separate agreement, the Adviser shared $1.6 million of such termination fee with the Gochman Investors. We recognized advisory fees related to the Monitoring Agreement, including reimbursement of expenses, of approximately $3.6 million, $3.5 million and $3.4 million in 2019, 2018, and 2017, respectively. We recognized advisory fees related to the Monitoring Agreement, including reimbursement of expenses and the termination fee, of approximately $14.8 million in the thirty-nine weeks ended October 31, 2020, and $2.7 million in the thirty-nine weeks ended November 2, 2019. These expenses are included in selling, general and administrative expenses in the statements of income.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Purchases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During 2019, Allstar Managers repurchased at fair market value approximately $0.5 million of Redeemable Membership Units from a director and an executive of the Company for cash. New Academy Holding Company, LLC concurrently repurchased from Allstar Managers for cash, at fair market value, a number of its membership units equal to the number for Redeemable Membership Units repurchased from the director and executive. In connection with the Reorganization Transactions, Allstar Managers, LLC contributed the membership units of New Academy Holding Company, LLC it held to Academy Sports and Outdoors, Inc. in exchange for shares of our common stock at a contribution ratio of 3.15 units of New Academy Holding Company, LLC for 1 share of Academy Sports and Outdoors, Inc.’s common stock and the outstanding Redeemable Membership Units in Allstar Managers, LLC were similarly adjusted on a one-for-one basis.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KKR Capital Markets</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KKR Capital Markets LLC acted as an underwriter for the IPO and received approximately $3.0 million in underwriting discounts and commissions (including in connection with the IPO Option Exercise). KKR Capital Markets LLC also acted as a book-running manager and an initial purchaser and as a joint lead arranger in connection with the Refinancing Transactions and received approximately $2.5 million in initial purchaser discounts and commissions and fees in connection with the Refinancing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KKR Capstone</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Receivable from Member</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April 10, 2019, the Company loaned $4.0 million with a note receivable issued to one of the Gochman Investors. The note receivable bore semi-annual compounding interest at 2.5% per annum with outstanding principal and interest due on April 10, 2022. On April 5, 2018, the Company loaned $4.1 million with a note receivable issued to one of the Gochman Investors. The note receivable bore semi-annual compounding interest at 2.1% per annum, with outstanding principal and interest due on April 5, 2021. These notes receivable have been recorded in other non-current assets in the consolidated balance sheets. All of the outstanding notes receivables owed by the Gochman Investors were offset against the special distribution on August 28, 2020 and are no longer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certain agreements with our officers which are described in the section entitled “Executive Compensation.”</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and executive officers, we have been informed that in the opinion of the SEC such indemnification is against public policy and is therefore unenforceable.</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or executive officers for which indemnification is sought.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Unitholders Agreement</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Managers,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Additionally, following the IPO, the directors and executive officers party to the Management Unitholders Agreement have limited “piggyback” registration rights with respect to their shares of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Distribution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board of directors recognizes the fact that transactions with related persons present a heightened risk of conflicts of interests and/or improper valuation (or the perception thereof). Our board of directors adopted a written statement of policy regarding transactions with related persons, which we refer to as our “related person policy,” that is in conformity with the requirements upon issuers having publicly-held common stock that is listed on Nasdaq.</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related person policy requires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(1) the selling stockholders, (2) each person known to us to beneficially own more than 5% of our voting securities, (3) each of our directors and named executive officers, and (4) all directors and executive officers as a group.</w:t>
      </w:r>
    </w:p>
    <w:p>
      <w:pPr>
        <w:spacing w:after="0" w:line="184"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number of shares of common stock outstanding and percentages of beneficial ownership provided in the table below are based on the beneficial ownership as of January 2, 2021 and are based on 90,936,907 shares of our common stock, par value $0.01 per share, outstanding as of January 2, 2021. As of January 2, 2021, we had 33 holders of record of our common stock.</w:t>
      </w:r>
    </w:p>
    <w:p>
      <w:pPr>
        <w:spacing w:after="0" w:line="18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Name of Beneficial Owner</w:t>
      </w:r>
      <w:r>
        <w:rPr>
          <w:rFonts w:ascii="Arial" w:cs="Arial" w:eastAsia="Arial" w:hAnsi="Arial"/>
          <w:sz w:val="10"/>
          <w:szCs w:val="10"/>
          <w:b w:val="1"/>
          <w:bCs w:val="1"/>
          <w:u w:val="single" w:color="auto"/>
          <w:color w:val="auto"/>
        </w:rPr>
        <w:t>(1)</w:t>
      </w:r>
    </w:p>
    <w:p>
      <w:pPr>
        <w:ind w:left="120"/>
        <w:spacing w:after="0" w:line="237" w:lineRule="auto"/>
        <w:rPr>
          <w:sz w:val="20"/>
          <w:szCs w:val="20"/>
          <w:color w:val="auto"/>
        </w:rPr>
      </w:pPr>
      <w:r>
        <w:rPr>
          <w:rFonts w:ascii="Arial" w:cs="Arial" w:eastAsia="Arial" w:hAnsi="Arial"/>
          <w:sz w:val="14"/>
          <w:szCs w:val="14"/>
          <w:b w:val="1"/>
          <w:bCs w:val="1"/>
          <w:color w:val="auto"/>
        </w:rPr>
        <w:t>Selling Stockholders:</w:t>
      </w:r>
    </w:p>
    <w:p>
      <w:pPr>
        <w:ind w:left="400"/>
        <w:spacing w:after="0" w:line="221" w:lineRule="auto"/>
        <w:rPr>
          <w:sz w:val="20"/>
          <w:szCs w:val="20"/>
          <w:color w:val="auto"/>
        </w:rPr>
      </w:pPr>
      <w:r>
        <w:rPr>
          <w:rFonts w:ascii="Arial" w:cs="Arial" w:eastAsia="Arial" w:hAnsi="Arial"/>
          <w:sz w:val="14"/>
          <w:szCs w:val="14"/>
          <w:color w:val="auto"/>
        </w:rPr>
        <w:t>KKR Stockholders</w:t>
      </w:r>
      <w:r>
        <w:rPr>
          <w:rFonts w:ascii="Arial" w:cs="Arial" w:eastAsia="Arial" w:hAnsi="Arial"/>
          <w:sz w:val="12"/>
          <w:szCs w:val="12"/>
          <w:color w:val="auto"/>
        </w:rPr>
        <w:t>(2)</w:t>
      </w:r>
    </w:p>
    <w:p>
      <w:pPr>
        <w:ind w:left="400"/>
        <w:spacing w:after="0" w:line="221" w:lineRule="auto"/>
        <w:rPr>
          <w:sz w:val="20"/>
          <w:szCs w:val="20"/>
          <w:color w:val="auto"/>
        </w:rPr>
      </w:pPr>
      <w:r>
        <w:rPr>
          <w:rFonts w:ascii="Arial" w:cs="Arial" w:eastAsia="Arial" w:hAnsi="Arial"/>
          <w:sz w:val="14"/>
          <w:szCs w:val="14"/>
          <w:color w:val="auto"/>
        </w:rPr>
        <w:t>MSI 2011 LLC (a Gochman Investor)</w:t>
      </w:r>
      <w:r>
        <w:rPr>
          <w:rFonts w:ascii="Arial" w:cs="Arial" w:eastAsia="Arial" w:hAnsi="Arial"/>
          <w:sz w:val="12"/>
          <w:szCs w:val="12"/>
          <w:color w:val="auto"/>
        </w:rPr>
        <w:t>(3)</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MG Family Limited Partnersip (a Gochman Investor)</w:t>
      </w:r>
    </w:p>
    <w:p>
      <w:pPr>
        <w:ind w:left="540"/>
        <w:spacing w:after="0" w:line="233" w:lineRule="auto"/>
        <w:rPr>
          <w:sz w:val="20"/>
          <w:szCs w:val="20"/>
          <w:color w:val="auto"/>
        </w:rPr>
      </w:pPr>
      <w:r>
        <w:rPr>
          <w:rFonts w:ascii="Arial" w:cs="Arial" w:eastAsia="Arial" w:hAnsi="Arial"/>
          <w:sz w:val="12"/>
          <w:szCs w:val="12"/>
          <w:color w:val="auto"/>
        </w:rPr>
        <w:t>(4)</w:t>
      </w:r>
    </w:p>
    <w:p>
      <w:pPr>
        <w:ind w:left="400"/>
        <w:spacing w:after="0"/>
        <w:rPr>
          <w:sz w:val="20"/>
          <w:szCs w:val="20"/>
          <w:color w:val="auto"/>
        </w:rPr>
      </w:pPr>
      <w:r>
        <w:rPr>
          <w:rFonts w:ascii="Arial" w:cs="Arial" w:eastAsia="Arial" w:hAnsi="Arial"/>
          <w:sz w:val="14"/>
          <w:szCs w:val="14"/>
          <w:color w:val="auto"/>
        </w:rPr>
        <w:t>Michelle Gloeckler</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Named Executive Officers</w:t>
      </w:r>
      <w:r>
        <w:rPr>
          <w:rFonts w:ascii="Arial" w:cs="Arial" w:eastAsia="Arial" w:hAnsi="Arial"/>
          <w:sz w:val="12"/>
          <w:szCs w:val="12"/>
          <w:b w:val="1"/>
          <w:bCs w:val="1"/>
          <w:color w:val="auto"/>
        </w:rPr>
        <w:t>(5)</w:t>
      </w:r>
      <w:r>
        <w:rPr>
          <w:rFonts w:ascii="Arial" w:cs="Arial" w:eastAsia="Arial" w:hAnsi="Arial"/>
          <w:sz w:val="14"/>
          <w:szCs w:val="14"/>
          <w:b w:val="1"/>
          <w:bCs w:val="1"/>
          <w:color w:val="auto"/>
        </w:rPr>
        <w: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Ken C. Hicks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Michael P. Mullican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Steven P. Lawrence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Samuel J. Johnson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Kenneth D. Attaway</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Directors</w:t>
      </w:r>
      <w:r>
        <w:rPr>
          <w:rFonts w:ascii="Arial" w:cs="Arial" w:eastAsia="Arial" w:hAnsi="Arial"/>
          <w:sz w:val="12"/>
          <w:szCs w:val="12"/>
          <w:b w:val="1"/>
          <w:bCs w:val="1"/>
          <w:color w:val="auto"/>
        </w:rPr>
        <w:t>(5)</w:t>
      </w:r>
      <w:r>
        <w:rPr>
          <w:rFonts w:ascii="Arial" w:cs="Arial" w:eastAsia="Arial" w:hAnsi="Arial"/>
          <w:sz w:val="14"/>
          <w:szCs w:val="14"/>
          <w:b w:val="1"/>
          <w:bCs w:val="1"/>
          <w:color w:val="auto"/>
        </w:rPr>
        <w:t>:</w:t>
      </w:r>
    </w:p>
    <w:p>
      <w:pPr>
        <w:ind w:left="120"/>
        <w:spacing w:after="0" w:line="226" w:lineRule="auto"/>
        <w:rPr>
          <w:sz w:val="20"/>
          <w:szCs w:val="20"/>
          <w:color w:val="auto"/>
        </w:rPr>
      </w:pPr>
      <w:r>
        <w:rPr>
          <w:rFonts w:ascii="Arial" w:cs="Arial" w:eastAsia="Arial" w:hAnsi="Arial"/>
          <w:sz w:val="14"/>
          <w:szCs w:val="14"/>
          <w:color w:val="auto"/>
        </w:rPr>
        <w:t>Wendy A. Beck</w:t>
      </w:r>
    </w:p>
    <w:p>
      <w:pPr>
        <w:ind w:left="120"/>
        <w:spacing w:after="0"/>
        <w:rPr>
          <w:sz w:val="20"/>
          <w:szCs w:val="20"/>
          <w:color w:val="auto"/>
        </w:rPr>
      </w:pPr>
      <w:r>
        <w:rPr>
          <w:rFonts w:ascii="Arial" w:cs="Arial" w:eastAsia="Arial" w:hAnsi="Arial"/>
          <w:sz w:val="14"/>
          <w:szCs w:val="14"/>
          <w:color w:val="auto"/>
        </w:rPr>
        <w:t>Brian T. Marley</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Vishal V. Patel</w:t>
      </w:r>
    </w:p>
    <w:p>
      <w:pPr>
        <w:ind w:left="120"/>
        <w:spacing w:after="0" w:line="221" w:lineRule="auto"/>
        <w:rPr>
          <w:sz w:val="20"/>
          <w:szCs w:val="20"/>
          <w:color w:val="auto"/>
        </w:rPr>
      </w:pPr>
      <w:r>
        <w:rPr>
          <w:rFonts w:ascii="Arial" w:cs="Arial" w:eastAsia="Arial" w:hAnsi="Arial"/>
          <w:sz w:val="14"/>
          <w:szCs w:val="14"/>
          <w:color w:val="auto"/>
        </w:rPr>
        <w:t>Allen I. Questrom</w:t>
      </w:r>
    </w:p>
    <w:p>
      <w:pPr>
        <w:ind w:left="120"/>
        <w:spacing w:after="0"/>
        <w:rPr>
          <w:sz w:val="20"/>
          <w:szCs w:val="20"/>
          <w:color w:val="auto"/>
        </w:rPr>
      </w:pPr>
      <w:r>
        <w:rPr>
          <w:rFonts w:ascii="Arial" w:cs="Arial" w:eastAsia="Arial" w:hAnsi="Arial"/>
          <w:sz w:val="14"/>
          <w:szCs w:val="14"/>
          <w:color w:val="auto"/>
        </w:rPr>
        <w:t>William S. Simon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Nathaniel H. Taylor</w:t>
      </w:r>
    </w:p>
    <w:p>
      <w:pPr>
        <w:ind w:left="120"/>
        <w:spacing w:after="0" w:line="221" w:lineRule="auto"/>
        <w:rPr>
          <w:sz w:val="20"/>
          <w:szCs w:val="20"/>
          <w:color w:val="auto"/>
        </w:rPr>
      </w:pPr>
      <w:r>
        <w:rPr>
          <w:rFonts w:ascii="Arial" w:cs="Arial" w:eastAsia="Arial" w:hAnsi="Arial"/>
          <w:sz w:val="14"/>
          <w:szCs w:val="14"/>
          <w:color w:val="auto"/>
        </w:rPr>
        <w:t>Jeffrey C. Tweedy</w:t>
      </w:r>
    </w:p>
    <w:p>
      <w:pPr>
        <w:ind w:left="120"/>
        <w:spacing w:after="0" w:line="221" w:lineRule="auto"/>
        <w:rPr>
          <w:sz w:val="20"/>
          <w:szCs w:val="20"/>
          <w:color w:val="auto"/>
        </w:rPr>
      </w:pPr>
      <w:r>
        <w:rPr>
          <w:rFonts w:ascii="Arial" w:cs="Arial" w:eastAsia="Arial" w:hAnsi="Arial"/>
          <w:sz w:val="14"/>
          <w:szCs w:val="14"/>
          <w:color w:val="auto"/>
        </w:rPr>
        <w:t>Aileen X. Yan</w:t>
      </w:r>
    </w:p>
    <w:p>
      <w:pPr>
        <w:spacing w:after="0" w:line="1" w:lineRule="exact"/>
        <w:rPr>
          <w:sz w:val="20"/>
          <w:szCs w:val="20"/>
          <w:color w:val="auto"/>
        </w:rPr>
      </w:pPr>
    </w:p>
    <w:p>
      <w:pPr>
        <w:ind w:left="260" w:right="100" w:hanging="143"/>
        <w:spacing w:after="0" w:line="237" w:lineRule="auto"/>
        <w:rPr>
          <w:sz w:val="20"/>
          <w:szCs w:val="20"/>
          <w:color w:val="auto"/>
        </w:rPr>
      </w:pPr>
      <w:r>
        <w:rPr>
          <w:rFonts w:ascii="Arial" w:cs="Arial" w:eastAsia="Arial" w:hAnsi="Arial"/>
          <w:sz w:val="14"/>
          <w:szCs w:val="14"/>
          <w:color w:val="auto"/>
        </w:rPr>
        <w:t>Directors and executive officers as a group</w:t>
      </w:r>
      <w:r>
        <w:rPr>
          <w:rFonts w:ascii="Arial" w:cs="Arial" w:eastAsia="Arial" w:hAnsi="Arial"/>
          <w:sz w:val="12"/>
          <w:szCs w:val="12"/>
          <w:color w:val="auto"/>
        </w:rPr>
        <w:t>(5)</w:t>
      </w:r>
      <w:r>
        <w:rPr>
          <w:rFonts w:ascii="Arial" w:cs="Arial" w:eastAsia="Arial" w:hAnsi="Arial"/>
          <w:sz w:val="14"/>
          <w:szCs w:val="14"/>
          <w:color w:val="auto"/>
        </w:rPr>
        <w:t xml:space="preserve"> (seventeen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4"/>
          </w:tcPr>
          <w:p>
            <w:pPr>
              <w:ind w:left="380"/>
              <w:spacing w:after="0"/>
              <w:rPr>
                <w:sz w:val="20"/>
                <w:szCs w:val="20"/>
                <w:color w:val="auto"/>
              </w:rPr>
            </w:pPr>
            <w:r>
              <w:rPr>
                <w:rFonts w:ascii="Arial" w:cs="Arial" w:eastAsia="Arial" w:hAnsi="Arial"/>
                <w:sz w:val="13"/>
                <w:szCs w:val="13"/>
                <w:b w:val="1"/>
                <w:bCs w:val="1"/>
                <w:color w:val="auto"/>
              </w:rPr>
              <w:t>Shares to be Sold in</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w w:val="87"/>
              </w:rPr>
              <w:t>Shares Beneficially Owned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4"/>
          </w:tcPr>
          <w:p>
            <w:pPr>
              <w:ind w:left="560"/>
              <w:spacing w:after="0"/>
              <w:rPr>
                <w:sz w:val="20"/>
                <w:szCs w:val="20"/>
                <w:color w:val="auto"/>
              </w:rPr>
            </w:pPr>
            <w:r>
              <w:rPr>
                <w:rFonts w:ascii="Arial" w:cs="Arial" w:eastAsia="Arial" w:hAnsi="Arial"/>
                <w:sz w:val="13"/>
                <w:szCs w:val="13"/>
                <w:b w:val="1"/>
                <w:bCs w:val="1"/>
                <w:color w:val="auto"/>
              </w:rPr>
              <w:t>this Offering</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After the Offering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top w:val="single" w:sz="8" w:color="auto"/>
            </w:tcBorders>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Assuming No</w:t>
            </w:r>
          </w:p>
        </w:tc>
        <w:tc>
          <w:tcPr>
            <w:tcW w:w="8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Assuming Full</w:t>
            </w:r>
          </w:p>
        </w:tc>
        <w:tc>
          <w:tcPr>
            <w:tcW w:w="240" w:type="dxa"/>
            <w:vAlign w:val="bottom"/>
          </w:tcPr>
          <w:p>
            <w:pPr>
              <w:spacing w:after="0"/>
              <w:rPr>
                <w:sz w:val="9"/>
                <w:szCs w:val="9"/>
                <w:color w:val="auto"/>
              </w:rPr>
            </w:pPr>
          </w:p>
        </w:tc>
        <w:tc>
          <w:tcPr>
            <w:tcW w:w="1860" w:type="dxa"/>
            <w:vAlign w:val="bottom"/>
            <w:tcBorders>
              <w:top w:val="single" w:sz="8" w:color="auto"/>
            </w:tcBorders>
            <w:gridSpan w:val="4"/>
          </w:tcPr>
          <w:p>
            <w:pPr>
              <w:jc w:val="center"/>
              <w:ind w:right="360"/>
              <w:spacing w:after="0" w:line="110" w:lineRule="exact"/>
              <w:rPr>
                <w:sz w:val="20"/>
                <w:szCs w:val="20"/>
                <w:color w:val="auto"/>
              </w:rPr>
            </w:pPr>
            <w:r>
              <w:rPr>
                <w:rFonts w:ascii="Arial" w:cs="Arial" w:eastAsia="Arial" w:hAnsi="Arial"/>
                <w:sz w:val="12"/>
                <w:szCs w:val="12"/>
                <w:b w:val="1"/>
                <w:bCs w:val="1"/>
                <w:color w:val="auto"/>
                <w:w w:val="90"/>
              </w:rPr>
              <w:t>Assuming No</w:t>
            </w:r>
          </w:p>
        </w:tc>
        <w:tc>
          <w:tcPr>
            <w:tcW w:w="150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w w:val="94"/>
              </w:rPr>
              <w:t>Assuming Full</w:t>
            </w:r>
          </w:p>
        </w:tc>
        <w:tc>
          <w:tcPr>
            <w:tcW w:w="120" w:type="dxa"/>
            <w:vAlign w:val="bottom"/>
          </w:tcPr>
          <w:p>
            <w:pPr>
              <w:spacing w:after="0"/>
              <w:rPr>
                <w:sz w:val="9"/>
                <w:szCs w:val="9"/>
                <w:color w:val="auto"/>
              </w:rPr>
            </w:pPr>
          </w:p>
        </w:tc>
      </w:tr>
      <w:tr>
        <w:trPr>
          <w:trHeight w:val="135"/>
        </w:trPr>
        <w:tc>
          <w:tcPr>
            <w:tcW w:w="186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Shares Beneficially</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Exercise of the</w:t>
            </w: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Exercise of the</w:t>
            </w:r>
          </w:p>
        </w:tc>
        <w:tc>
          <w:tcPr>
            <w:tcW w:w="186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Exercise of the</w:t>
            </w:r>
          </w:p>
        </w:tc>
        <w:tc>
          <w:tcPr>
            <w:tcW w:w="162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Exercise of the</w:t>
            </w:r>
          </w:p>
        </w:tc>
      </w:tr>
      <w:tr>
        <w:trPr>
          <w:trHeight w:val="135"/>
        </w:trPr>
        <w:tc>
          <w:tcPr>
            <w:tcW w:w="1860" w:type="dxa"/>
            <w:vAlign w:val="bottom"/>
            <w:gridSpan w:val="4"/>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Owned Prior to the</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Underwriters’</w:t>
            </w: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Underwriters’</w:t>
            </w:r>
          </w:p>
        </w:tc>
        <w:tc>
          <w:tcPr>
            <w:tcW w:w="186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Underwriters’</w:t>
            </w:r>
          </w:p>
        </w:tc>
        <w:tc>
          <w:tcPr>
            <w:tcW w:w="162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Underwriters’</w:t>
            </w:r>
          </w:p>
        </w:tc>
      </w:tr>
      <w:tr>
        <w:trPr>
          <w:trHeight w:val="153"/>
        </w:trPr>
        <w:tc>
          <w:tcPr>
            <w:tcW w:w="186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90"/>
              </w:rPr>
              <w:t>Offering</w:t>
            </w: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Option</w:t>
            </w: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Option</w:t>
            </w:r>
          </w:p>
        </w:tc>
        <w:tc>
          <w:tcPr>
            <w:tcW w:w="186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90"/>
              </w:rPr>
              <w:t>Option</w:t>
            </w:r>
          </w:p>
        </w:tc>
        <w:tc>
          <w:tcPr>
            <w:tcW w:w="16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0"/>
              </w:rPr>
              <w:t>Option</w:t>
            </w:r>
          </w:p>
        </w:tc>
      </w:tr>
      <w:tr>
        <w:trPr>
          <w:trHeight w:val="110"/>
        </w:trPr>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Percentage</w:t>
            </w:r>
          </w:p>
        </w:tc>
        <w:tc>
          <w:tcPr>
            <w:tcW w:w="3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9"/>
              </w:rPr>
              <w:t>Percentage</w:t>
            </w:r>
          </w:p>
        </w:tc>
        <w:tc>
          <w:tcPr>
            <w:tcW w:w="3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9"/>
                <w:szCs w:val="9"/>
                <w:color w:val="auto"/>
              </w:rPr>
            </w:pPr>
          </w:p>
        </w:tc>
      </w:tr>
      <w:tr>
        <w:trPr>
          <w:trHeight w:val="135"/>
        </w:trPr>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of Total</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of Total</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of Total</w:t>
            </w:r>
          </w:p>
        </w:tc>
      </w:tr>
      <w:tr>
        <w:trPr>
          <w:trHeight w:val="135"/>
        </w:trPr>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Common</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Common</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r>
      <w:tr>
        <w:trPr>
          <w:trHeight w:val="153"/>
        </w:trPr>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13"/>
                <w:szCs w:val="13"/>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3"/>
                <w:szCs w:val="13"/>
                <w:color w:val="auto"/>
              </w:rPr>
            </w:pPr>
          </w:p>
        </w:tc>
      </w:tr>
      <w:tr>
        <w:trPr>
          <w:trHeight w:val="258"/>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61,587,301</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67.73%</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10,388,747</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11,947,059</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51,198,554</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56.30%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49,640,242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54.59%</w:t>
            </w:r>
          </w:p>
        </w:tc>
      </w:tr>
      <w:tr>
        <w:trPr>
          <w:trHeight w:val="182"/>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5,929,249</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6.52%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1,000,165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1,150,190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4,929,084</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5.42%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4,779,059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5.26%</w:t>
            </w:r>
          </w:p>
        </w:tc>
      </w:tr>
      <w:tr>
        <w:trPr>
          <w:trHeight w:val="284"/>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3,594,593</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3.95%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606,348</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697,300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2,988,245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3.29%</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2,897,293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3.19%</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56,202</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4,740</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5,451</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51,462</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50,751</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43"/>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583,987</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583,987</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583,987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153,980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153,980</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153,980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123,885</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123,885</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123,885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121,449</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121,449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121,449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5"/>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655,728</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655,728</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655,728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8"/>
        </w:trPr>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2"/>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32,607</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32,607</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32,607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48"/>
        </w:trPr>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53"/>
        </w:trPr>
        <w:tc>
          <w:tcPr>
            <w:tcW w:w="92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53"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line="153"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5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w:t>
            </w:r>
          </w:p>
        </w:tc>
      </w:tr>
      <w:tr>
        <w:trPr>
          <w:trHeight w:val="212"/>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36,789</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36,789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36,789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49"/>
        </w:trPr>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82"/>
        </w:trPr>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97"/>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2,497,769</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2.75%</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2,497,769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2.75%</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2,497,769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-2580640</wp:posOffset>
            </wp:positionV>
            <wp:extent cx="6995160" cy="939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-2392045</wp:posOffset>
            </wp:positionV>
            <wp:extent cx="6995160" cy="946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-2117725</wp:posOffset>
            </wp:positionV>
            <wp:extent cx="699516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-1818005</wp:posOffset>
            </wp:positionV>
            <wp:extent cx="699516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-1543685</wp:posOffset>
            </wp:positionV>
            <wp:extent cx="699516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-1269365</wp:posOffset>
            </wp:positionV>
            <wp:extent cx="69951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-1037590</wp:posOffset>
            </wp:positionV>
            <wp:extent cx="6995160" cy="939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-806450</wp:posOffset>
            </wp:positionV>
            <wp:extent cx="6995160" cy="946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-617855</wp:posOffset>
            </wp:positionV>
            <wp:extent cx="699516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-386080</wp:posOffset>
            </wp:positionV>
            <wp:extent cx="6995160" cy="939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-197485</wp:posOffset>
            </wp:positionV>
            <wp:extent cx="6995160"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3480" w:space="200"/>
            <w:col w:w="7440"/>
          </w:cols>
          <w:pgMar w:left="320" w:top="459" w:right="459" w:bottom="1440" w:gutter="0" w:footer="0" w:header="0"/>
          <w:type w:val="continuous"/>
        </w:sectPr>
      </w:pPr>
    </w:p>
    <w:p>
      <w:pPr>
        <w:ind w:left="540" w:hanging="424"/>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120"/>
          </w:cols>
          <w:pgMar w:left="320" w:top="459" w:right="45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40" w:hanging="424"/>
        <w:spacing w:after="0" w:line="258"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Unless otherwise indicated in the below, the address of each of the individuals named above is: c/o Academy Sports + Outdoors, Attention: General Counsel, 1800 North Mason Road, Katy, Texas 77449.</w:t>
      </w:r>
    </w:p>
    <w:p>
      <w:pPr>
        <w:spacing w:after="0" w:line="1"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KKR 2006 Allstar Blocker L.P. holds 11,102,476 shares of our common stock; (ii) Allstar Co-Invest Blocker L.P. holds 22,031,746 shares of our common stock; and (iii) Allstar LLC holds 28,453,079 shares of our common stock.</w:t>
      </w:r>
    </w:p>
    <w:p>
      <w:pPr>
        <w:spacing w:after="0" w:line="77" w:lineRule="exact"/>
        <w:rPr>
          <w:rFonts w:ascii="Arial" w:cs="Arial" w:eastAsia="Arial" w:hAnsi="Arial"/>
          <w:sz w:val="18"/>
          <w:szCs w:val="18"/>
          <w:color w:val="auto"/>
        </w:rPr>
      </w:pPr>
    </w:p>
    <w:p>
      <w:pPr>
        <w:ind w:left="560" w:right="160"/>
        <w:spacing w:after="0" w:line="293" w:lineRule="auto"/>
        <w:rPr>
          <w:rFonts w:ascii="Arial" w:cs="Arial" w:eastAsia="Arial" w:hAnsi="Arial"/>
          <w:sz w:val="18"/>
          <w:szCs w:val="18"/>
          <w:color w:val="auto"/>
        </w:rPr>
      </w:pPr>
      <w:r>
        <w:rPr>
          <w:rFonts w:ascii="Arial" w:cs="Arial" w:eastAsia="Arial" w:hAnsi="Arial"/>
          <w:sz w:val="16"/>
          <w:szCs w:val="16"/>
          <w:color w:val="auto"/>
        </w:rPr>
        <w:t>Of the shares being offered by the KKR Stockholders: (i) 1,872,802 shares are being sold in this offering by KKR 2006 Allstar Blocker L.P., assuming the underwriters’ option is not exercised, and 2,153,722 shares are being sold in this offering by KKR 2006 Allstar Blocker L.P., assuming the underwriters’ option is exercised in full; (ii) 3,716,387 shares are being sold in this offering by Allstar Co-Invest Blocker L.P., assuming the underwriters’ option is not exercised, 4,273,845 shares are being sold in this offering by Allstar Co-Invest Blocker L.P., assuming the underwriters’ option is exercised in full; and (iii) 4,799,558 shares are being sold in this offering by Allstar LLC, assuming the underwriters’ option is not exercised, 5,519,492 shares are being sold in this offering by Allstar LLC, assuming the underwriters’ option is exercised in full.</w:t>
      </w:r>
    </w:p>
    <w:p>
      <w:pPr>
        <w:spacing w:after="0" w:line="56" w:lineRule="exact"/>
        <w:rPr>
          <w:rFonts w:ascii="Arial" w:cs="Arial" w:eastAsia="Arial" w:hAnsi="Arial"/>
          <w:sz w:val="18"/>
          <w:szCs w:val="18"/>
          <w:color w:val="auto"/>
        </w:rPr>
      </w:pPr>
    </w:p>
    <w:p>
      <w:pPr>
        <w:ind w:left="560"/>
        <w:spacing w:after="0" w:line="266" w:lineRule="auto"/>
        <w:rPr>
          <w:rFonts w:ascii="Arial" w:cs="Arial" w:eastAsia="Arial" w:hAnsi="Arial"/>
          <w:sz w:val="18"/>
          <w:szCs w:val="18"/>
          <w:color w:val="auto"/>
        </w:rPr>
      </w:pPr>
      <w:r>
        <w:rPr>
          <w:rFonts w:ascii="Arial" w:cs="Arial" w:eastAsia="Arial" w:hAnsi="Arial"/>
          <w:sz w:val="17"/>
          <w:szCs w:val="17"/>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30 Hudson Yards, New York, New York 10001. The principal business address for Mr. Roberts is c/o Kohlberg Kravis Roberts &amp; Co. L.P., 2800 Sand Hill Road, Suite 200, Menlo Park, CA 94025.</w:t>
      </w:r>
    </w:p>
    <w:p>
      <w:pPr>
        <w:spacing w:after="0" w:line="7"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MSI 2011 LLC is an entity of which David Gochman is the sole investment manager. The economics of the entity are owned 100% by David Gochman and trusts for the benefit of his immediate family. The principal business address of MSI 2011 LLC and Mr. Gochman is c/o Inclenberg Investments Florida LLC, 350 Royal Palm Way, Suite 501, Palm Beach, Florida 33480.</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MG Family Limited Partnership is an entity of which MG Family GP, LLC is the general partner. Molly Gochman is the sole member of MG Family GP, LLC with sole power to make investment decisions. The principal business address of MG Family Limited Partnership is 2437 North Blvd, Houston, TX 77098.</w:t>
      </w:r>
    </w:p>
    <w:p>
      <w:pPr>
        <w:spacing w:after="0" w:line="1" w:lineRule="exact"/>
        <w:rPr>
          <w:rFonts w:ascii="Arial" w:cs="Arial" w:eastAsia="Arial" w:hAnsi="Arial"/>
          <w:sz w:val="18"/>
          <w:szCs w:val="18"/>
          <w:color w:val="auto"/>
        </w:rPr>
      </w:pPr>
    </w:p>
    <w:p>
      <w:pPr>
        <w:ind w:left="540" w:right="140" w:hanging="424"/>
        <w:spacing w:after="0" w:line="255"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number of shares reported includes shares covered by (i) options that are or will become exercisable and (ii) restricted stock unit awards that vest or will vest, in each case within 60 days as follows: Mr. Hicks, 74,191; Mr. Mullican, 50,051; Mr. Lawrence, 75,730; Mr. Johnson, 37,922; Mr. Attaway, 46,514; and all directors and executive officers as a group 405,841.</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w:t>
      </w:r>
    </w:p>
    <w:p>
      <w:pPr>
        <w:spacing w:after="0" w:line="184"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Our purpose is to engage in any lawful act or activity for which corporations may now or hereafter be organized under the DGCL. Our authorized capital stock consists of 300 million shares of common stock, par value $0.01 per share, and 50 million shares of preferred stock.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vote of the then outstanding shares of our common stock is required, the affirmative vote of a majority in voting power of shares present at a meeting of the holders of our common stock is required.</w:t>
      </w:r>
    </w:p>
    <w:p>
      <w:pPr>
        <w:spacing w:after="0" w:line="15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w:t>
      </w:r>
    </w:p>
    <w:p>
      <w:pPr>
        <w:spacing w:after="0" w:line="92" w:lineRule="exact"/>
        <w:rPr>
          <w:sz w:val="20"/>
          <w:szCs w:val="20"/>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7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91"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9" w:lineRule="exact"/>
        <w:rPr>
          <w:sz w:val="20"/>
          <w:szCs w:val="20"/>
          <w:color w:val="auto"/>
        </w:rPr>
      </w:pPr>
    </w:p>
    <w:p>
      <w:pPr>
        <w:ind w:left="1080" w:right="32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460" w:hanging="424"/>
        <w:spacing w:after="0" w:line="342" w:lineRule="auto"/>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9" w:lineRule="exact"/>
        <w:rPr>
          <w:rFonts w:ascii="Arial" w:cs="Arial" w:eastAsia="Arial" w:hAnsi="Arial"/>
          <w:sz w:val="16"/>
          <w:szCs w:val="16"/>
          <w:color w:val="auto"/>
        </w:rPr>
      </w:pPr>
    </w:p>
    <w:p>
      <w:pPr>
        <w:ind w:left="1080" w:right="220" w:hanging="424"/>
        <w:spacing w:after="0" w:line="299"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3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KKR Stockholders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at any time when KKR Stockholders and their affiliates beneficially own, in the aggregate, less than 40% of the voting power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KKR Stockholders and their affiliates beneficially own, in the aggregate, less than 40% of the voting power of all outstanding shares of stock entitled to vote generally in the election of directors.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182"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4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Our amended and restated certificate of incorporation provides that once KKR Stockholders and their affiliates beneficially own, in the aggregate, less than 40% of the voting power of all outstanding shares of stock entitled to vote generally in the election of directors, the following provisions in our amended and restated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certificate of incorporation may be amended, altered, repealed or rescinded only by the affirmative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52" w:lineRule="exact"/>
        <w:rPr>
          <w:sz w:val="20"/>
          <w:szCs w:val="20"/>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supermajority vote for stockholders to amend our amended and restated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supermajority vote.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w:t>
      </w:r>
    </w:p>
    <w:p>
      <w:pPr>
        <w:ind w:left="120" w:hanging="4"/>
        <w:spacing w:after="0" w:line="267" w:lineRule="auto"/>
        <w:tabs>
          <w:tab w:leader="none" w:pos="33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ABL Facility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to increase the commitments under the facility from $650 million to $1 billion. On November 6, 2020, as part of the Refinancing Transactions, Academy, Ltd. entered into an amendment to the 2015 ABL Facility, or as amended, the ABL Facility, which, among other things, extended the maturity of the ABL Facility to November 6, 2025. Academy, Ltd. has the option to increase the commitments under the ABL Facility by $250 million, subject to the satisfaction of certain conditions under the credit agreement governing the ABL Facility.</w:t>
      </w:r>
    </w:p>
    <w:p>
      <w:pPr>
        <w:spacing w:after="0" w:line="17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Arial" w:cs="Arial" w:eastAsia="Arial" w:hAnsi="Arial"/>
          <w:sz w:val="18"/>
          <w:szCs w:val="18"/>
          <w:i w:val="1"/>
          <w:iCs w:val="1"/>
          <w:color w:val="auto"/>
        </w:rPr>
        <w:t>plus</w:t>
      </w:r>
      <w:r>
        <w:rPr>
          <w:rFonts w:ascii="Arial" w:cs="Arial" w:eastAsia="Arial" w:hAnsi="Arial"/>
          <w:sz w:val="18"/>
          <w:szCs w:val="18"/>
          <w:color w:val="auto"/>
        </w:rPr>
        <w:t xml:space="preserve"> 90% of the net orderly liquidation value percentage of our eligible inventory on a consolidated basis,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then applicable amount of all reserves.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October 31, 2020, we had outstanding letters of credit of approximately $30.8 million, of which $21.1 million were issued under the ABL Facility, and no borrowings outstanding under the ABL Facility, leaving the available borrowing capacity under the ABL Facility of $844.7 million (which is subject to customary borrowing conditions, including a borrowing base).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October 31, 2020, no future prepayments of outstanding loans have been triggered under the terms and conditions of the ABL Facility.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 Loan Facility</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July 2, 2015, Academy, Ltd. entered into a seven-year $1.8 billion senior secured term loan facility, or the 2015 Term Loan Facility, with Morgan Stanley Senior Funding, Inc., as the administrative and collateral agent, and other lenders. On November 6, 2020, as part of the Refinancing Transactions, Academy, Ltd. entered into an amendment and restatement of the 2015 Term Loan Facility, providing for a new $400.0 million first lien term loan facility, or the Term Loan Facility, with Credit Suisse AG, Cayman Island Branch, as the administrative agent and collateral agent, the several lenders from time to time parties thereto and the several other parties named therein. The Company used the net proceeds from the 2027 Notes and the net proceeds from the Term Loan Facility, together with cash on hand, to repay in full $1,431.4 million outstanding borrowings under the 2015 Term Loan Facility.</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Term Loan Facility will mature on November 6, 2027. The Term Loan Facility bears interest, at our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are required through September 30, 2027, with the balance due in full on the maturity date of November 6, 2027. The terms and conditions of the Term Loan Facility also require that outstanding loans under the Term Loan Facility are prepaid under certain circumstances.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60"/>
          </w:cols>
          <w:pgMar w:left="320" w:top="459"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2027 Notes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On November 6, 2020, Academy, Ltd. issued $400.0 million of 6.00% Senior Secured Notes due 2027 pursuant to the indenture, or the Indenture, by and among Academy, Ltd., the guarantors party thereto and The Bank of New York Mellon Trust Company, N.A., as trustee and collateral agent. The 2027 Notes will mature on November 15, 2027. The 2027 Notes will pay interest semi-annually in arrears in cash on May 15 and November 15 of each year at a rate of 6.00% per year, commencing on May 15, 2021.</w:t>
      </w:r>
    </w:p>
    <w:p>
      <w:pPr>
        <w:spacing w:after="0" w:line="18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2027 Notes at the redemption prices set forth in the Indenture, plus accrued and unpaid interest, if any, to, but excluding, the applicable redemption date. At any time prior to November 15, 2023, Academy, Ltd. may, at its option and on one or more occasions, redeem all or part of the 2027 Notes at a redemption price equal to 100% of the principal amount of the 2027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2027 Notes at a redemption price equal to 106.000%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9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2027 Notes at a price equal to 101% of the principal amount thereof, plus accrued and unpaid interest, if any, to, but excluding, the repurchase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Liens and Guarantees</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and the 2027 Notes. All obligations under the Term Loan Facility and the 2027 Notes and the guarantees of those obligations are secured by:</w:t>
      </w:r>
    </w:p>
    <w:p>
      <w:pPr>
        <w:spacing w:after="0" w:line="54"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4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ABL Facility, the Term Loan Facility and the 2027 Notes are each guaranteed on a senior secured basis by New Academy Holding Company, LLC and all of its subsidiaries, except for Academy, Ltd. and Academy International Limited, a Hong Kong limited liability company and subsidiary of Academy, Ltd.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credit agreements governing the ABL Facility and the Term Loan Facility and the Indenture contain covenants, including, among other things, covenants that restrict Academy, Ltd.’s and its restricted subsidiaries’ ability to incur or guarantee certain additional indebtedness, create or permit liens on assets, engage in mergers or consolidations, pay dividends, make other restricted payments, make loans or advances, engage in transactions with affiliates or, in the case of the credit agreements, amend material documents. Additionally, at certain times, the ABL Facility is subject to a certain minimum adjusted fixed charge coverage ratio. These covenants are subject to certain qualifications and limitations. We were in compliance with these covenants as of October 31, 2020.</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credit agreements governing the ABL Facility and the Term Loan Facility and the Indenture contain customary events of default including, but not limited to, as applicable,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0880"/>
          </w:cols>
          <w:pgMar w:left="320" w:top="459" w:right="6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w:t>
      </w:r>
    </w:p>
    <w:p>
      <w:pPr>
        <w:spacing w:after="0" w:line="19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Upon the completion of this offering, we will have a total of 90,936,907 shares of our common stock outstanding. Of the outstanding shares, the 29,432,495 shares sold in the IPO and this offering (or 31,232,495 shares if the underwriters exercise in full their option to purchase additional shares) will be 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remaining outstanding 61,504,412 shares of common stock held by our existing stockholders after this offering (or approximately 59,704,412 shares if the underwriters exercise in full their option to purchase additional shares), representing approximately 68% of the total outstanding shares of our common stock following this offering (or approximately 66% if the underwriters exercise in full their option to purchase additional shares),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connection with this offering, we, our executive officers, directors and the selling stockholders will agree, subject to certain exceptions, not to sell, dispose of or hedge any shares of our common stock or securities convertible into or exchangeable for shares of our common stock, without, in each case, the prior written consent of Credit Suisse Securities (USA) LLC and J.P. Morgan Securities LLC, for a period of 90 days (or in the case of the executive officers other than our chief executive officer and our chief financial officer, 60 days) after the date of this prospectus. See “Underwriting (Conflicts of Interest).” In addition, holders of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 certain of such IPO lock-up agreements to permit the filing of this registration statement and are expected to waive certain of the IPO lock-up agreements to permit the sale of our common stock in this offering by the selling stockholders.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a number of shares that does not exceed the greater of:</w:t>
      </w:r>
    </w:p>
    <w:p>
      <w:pPr>
        <w:spacing w:after="0" w:line="71" w:lineRule="exact"/>
        <w:rPr>
          <w:sz w:val="20"/>
          <w:szCs w:val="20"/>
          <w:color w:val="auto"/>
        </w:rPr>
      </w:pPr>
    </w:p>
    <w:p>
      <w:pPr>
        <w:ind w:left="1080" w:right="8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909,369 shares immediately after this offering;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Statements on Form S-8</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For a description of rights some holders of common stock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67% of our outstanding common stock (or approximately 65%, if the underwriters exercise in full their option to purchase additional shares). These shares of common stock also may be sold under Rule 144, depending on their holding period and subject to restrictions in the case of shares held by persons deemed to be our affiliates.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AND ESTATE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CONSEQUENCES TO NON-U.S. HOLDERS</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76" w:lineRule="exact"/>
        <w:rPr>
          <w:sz w:val="20"/>
          <w:szCs w:val="20"/>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72"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7" w:lineRule="exact"/>
        <w:rPr>
          <w:sz w:val="20"/>
          <w:szCs w:val="20"/>
          <w:color w:val="auto"/>
        </w:rPr>
      </w:pPr>
    </w:p>
    <w:p>
      <w:pPr>
        <w:jc w:val="both"/>
        <w:ind w:left="120" w:right="60" w:firstLine="44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92"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76" w:lineRule="exact"/>
        <w:rPr>
          <w:sz w:val="20"/>
          <w:szCs w:val="20"/>
          <w:color w:val="auto"/>
        </w:rPr>
      </w:pPr>
    </w:p>
    <w:p>
      <w:pPr>
        <w:ind w:left="1080" w:right="42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and certain other conditions are met.</w:t>
      </w:r>
    </w:p>
    <w:p>
      <w:pPr>
        <w:spacing w:after="0" w:line="24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we are not and do not anticipate becoming a “U.S. real property holding corporation” for U.S. federal income tax purposes.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7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Under the terms and subject to the conditions contained in an underwriting agreement, dated January , 2021, the selling stockholders have agreed to sell to the underwriters named below, for whom Credit Suisse Securities (USA) LLC and J.P. Morgan Securities LLC are acting as representatives, the following respective numbers of shares of common stock:</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642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Number of Shares</w:t>
            </w:r>
          </w:p>
        </w:tc>
      </w:tr>
      <w:tr>
        <w:trPr>
          <w:trHeight w:val="203"/>
        </w:trPr>
        <w:tc>
          <w:tcPr>
            <w:tcW w:w="7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KKR Capital Markets LLC</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12,000,000</w:t>
            </w:r>
          </w:p>
        </w:tc>
      </w:tr>
    </w:tbl>
    <w:p>
      <w:pPr>
        <w:spacing w:after="0" w:line="20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underwriters’ option to purchase additional shares described below. The underwriting agreement also provides that if an underwriter defaults the purchase commitments of non-defaulting underwriters may be increased or the offering may be terminated.</w:t>
      </w:r>
    </w:p>
    <w:p>
      <w:pPr>
        <w:spacing w:after="0" w:line="149"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underwriters have a 30-day option to purchase on a pro rata basis up to 1,800,000 additional shares at the public offering price less the underwriting discounts and commissions from the selling stockholders.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underwriters propose to offer the shares of common stock initially at the public offering price on the cover page of this prospectus and to</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selling group members at that price less a selling concession of up to $ per share. After the public offering, the representatives may change the public offering price and concession.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public offering price, underwriting discounts and commissions and proceeds to the selling stockholders.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Underwriting</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Discounts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0"/>
              </w:rPr>
              <w:t>Price to Public</w:t>
            </w:r>
          </w:p>
        </w:tc>
        <w:tc>
          <w:tcPr>
            <w:tcW w:w="58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and</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the Selling</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Commissions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$910,000 and are payable by us. We have also agreed to reimburse the underwriters for up to $35,000.</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J.P. Morgan Securities LLC for a period of 90 days after the date of this prospectus.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executive officers, directors and the selling stockholders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such offer, sale, pledge or disposition, or to enter into any such transaction, swap, hedge or other arrangement, without, in each case, the prior written consent of Credit Suisse Securities (USA) LLC and J.P. Morgan Securities LLC for a period of 90 days (or in the case of the executive officers other than our chief executive officer and our chief financial officer, 60 days) after the date of this prospectus, subject to certain exceptions.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80" w:hanging="424"/>
        <w:spacing w:after="0"/>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right="140" w:hanging="424"/>
        <w:spacing w:after="0" w:line="273"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their option to purchase additional shares. In a naked short position, the number of shares involved is greater than the number of shares in their option to purchase additional shares. The underwriters may close out any covered short position by either exercising their option to purchase additional shares and/or purchasing shares in the open market.</w:t>
      </w:r>
    </w:p>
    <w:p>
      <w:pPr>
        <w:spacing w:after="0" w:line="83" w:lineRule="exact"/>
        <w:rPr>
          <w:rFonts w:ascii="Arial" w:cs="Arial" w:eastAsia="Arial" w:hAnsi="Arial"/>
          <w:sz w:val="17"/>
          <w:szCs w:val="17"/>
          <w:color w:val="auto"/>
        </w:rPr>
      </w:pPr>
    </w:p>
    <w:p>
      <w:pPr>
        <w:ind w:left="1080" w:right="100" w:hanging="424"/>
        <w:spacing w:after="0" w:line="272"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their option. If the underwriters sell more shares than could be covered by their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2" w:lineRule="exact"/>
        <w:rPr>
          <w:rFonts w:ascii="Arial" w:cs="Arial" w:eastAsia="Arial" w:hAnsi="Arial"/>
          <w:sz w:val="17"/>
          <w:szCs w:val="17"/>
          <w:color w:val="auto"/>
        </w:rPr>
      </w:pPr>
    </w:p>
    <w:p>
      <w:pPr>
        <w:ind w:left="1080" w:hanging="424"/>
        <w:spacing w:after="0" w:line="342" w:lineRule="auto"/>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29" w:lineRule="exact"/>
        <w:rPr>
          <w:rFonts w:ascii="Arial" w:cs="Arial" w:eastAsia="Arial" w:hAnsi="Arial"/>
          <w:sz w:val="16"/>
          <w:szCs w:val="16"/>
          <w:color w:val="auto"/>
        </w:rPr>
      </w:pPr>
    </w:p>
    <w:p>
      <w:pPr>
        <w:ind w:left="1080" w:right="740" w:hanging="424"/>
        <w:spacing w:after="0" w:line="342" w:lineRule="auto"/>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Affiliates of KKR beneficially own in excess of 10% of our issued and outstanding common stock. Because KKR Capital Markets LLC, an affiliate of KKR, is an underwriter in this offering and its affiliates own in excess of 10% of our issued and outstanding common stock,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Rule 5121. KKR Capital Markets LLC will not confirm any sales to any account over which it exercises discretionary authority without the specific written approval of the account holder.</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6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080" w:hanging="532"/>
        <w:spacing w:after="0" w:line="259"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92"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80"/>
          </w:cols>
          <w:pgMar w:left="320" w:top="459"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52" w:lineRule="exact"/>
        <w:rPr>
          <w:sz w:val="20"/>
          <w:szCs w:val="20"/>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SFA,</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532"/>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9" w:lineRule="exact"/>
        <w:rPr>
          <w:sz w:val="20"/>
          <w:szCs w:val="20"/>
          <w:color w:val="auto"/>
        </w:rPr>
      </w:pPr>
    </w:p>
    <w:p>
      <w:pPr>
        <w:ind w:left="1080" w:right="20" w:hanging="532"/>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7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0980"/>
          </w:cols>
          <w:pgMar w:left="320" w:top="459" w:right="5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95"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34"/>
        </w:trPr>
        <w:tc>
          <w:tcPr>
            <w:tcW w:w="10620" w:type="dxa"/>
            <w:vAlign w:val="bottom"/>
            <w:gridSpan w:val="7"/>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rPr>
              <w:t>INDEX TO FINANCIAL STATEMENTS</w:t>
            </w:r>
          </w:p>
        </w:tc>
        <w:tc>
          <w:tcPr>
            <w:tcW w:w="460" w:type="dxa"/>
            <w:vAlign w:val="bottom"/>
          </w:tcPr>
          <w:p>
            <w:pPr>
              <w:spacing w:after="0"/>
              <w:rPr>
                <w:sz w:val="24"/>
                <w:szCs w:val="24"/>
                <w:color w:val="auto"/>
              </w:rPr>
            </w:pPr>
          </w:p>
        </w:tc>
      </w:tr>
      <w:tr>
        <w:trPr>
          <w:trHeight w:val="459"/>
        </w:trPr>
        <w:tc>
          <w:tcPr>
            <w:tcW w:w="10620" w:type="dxa"/>
            <w:vAlign w:val="bottom"/>
            <w:gridSpan w:val="7"/>
          </w:tcPr>
          <w:p>
            <w:pPr>
              <w:ind w:left="120"/>
              <w:spacing w:after="0"/>
              <w:rPr>
                <w:sz w:val="20"/>
                <w:szCs w:val="20"/>
                <w:color w:val="auto"/>
              </w:rPr>
            </w:pPr>
            <w:r>
              <w:rPr>
                <w:rFonts w:ascii="Arial" w:cs="Arial" w:eastAsia="Arial" w:hAnsi="Arial"/>
                <w:sz w:val="18"/>
                <w:szCs w:val="18"/>
                <w:b w:val="1"/>
                <w:bCs w:val="1"/>
                <w:color w:val="auto"/>
              </w:rPr>
              <w:t>New Academy Holding Company, LLC:</w:t>
            </w:r>
          </w:p>
        </w:tc>
        <w:tc>
          <w:tcPr>
            <w:tcW w:w="460" w:type="dxa"/>
            <w:vAlign w:val="bottom"/>
          </w:tcPr>
          <w:p>
            <w:pPr>
              <w:spacing w:after="0"/>
              <w:rPr>
                <w:sz w:val="24"/>
                <w:szCs w:val="24"/>
                <w:color w:val="auto"/>
              </w:rPr>
            </w:pP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Audited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Consolidated Balance Sheets as of February 1, 2020 and February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Consolidated Statements of Income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190"/>
        </w:trPr>
        <w:tc>
          <w:tcPr>
            <w:tcW w:w="10620" w:type="dxa"/>
            <w:vAlign w:val="bottom"/>
            <w:gridSpan w:val="7"/>
          </w:tcPr>
          <w:p>
            <w:pPr>
              <w:ind w:left="480"/>
              <w:spacing w:after="0" w:line="190" w:lineRule="exact"/>
              <w:rPr>
                <w:rFonts w:ascii="Arial" w:cs="Arial" w:eastAsia="Arial" w:hAnsi="Arial"/>
                <w:sz w:val="18"/>
                <w:szCs w:val="18"/>
                <w:color w:val="0000EE"/>
                <w:w w:val="92"/>
              </w:rPr>
            </w:pPr>
            <w:hyperlink w:anchor="page237">
              <w:r>
                <w:rPr>
                  <w:rFonts w:ascii="Arial" w:cs="Arial" w:eastAsia="Arial" w:hAnsi="Arial"/>
                  <w:sz w:val="18"/>
                  <w:szCs w:val="18"/>
                  <w:color w:val="0000EE"/>
                  <w:w w:val="92"/>
                </w:rPr>
                <w:t>Consolidated Statements of Comprehensive Income (Loss) for the fiscal year ended February 1, 2020, February 2, 2019 and February 3,</w:t>
              </w:r>
            </w:hyperlink>
          </w:p>
        </w:tc>
        <w:tc>
          <w:tcPr>
            <w:tcW w:w="460" w:type="dxa"/>
            <w:vAlign w:val="bottom"/>
          </w:tcPr>
          <w:p>
            <w:pPr>
              <w:spacing w:after="0"/>
              <w:rPr>
                <w:sz w:val="16"/>
                <w:szCs w:val="16"/>
                <w:color w:val="auto"/>
              </w:rPr>
            </w:pP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237">
              <w:r>
                <w:rPr>
                  <w:rFonts w:ascii="Arial" w:cs="Arial" w:eastAsia="Arial" w:hAnsi="Arial"/>
                  <w:sz w:val="18"/>
                  <w:szCs w:val="18"/>
                  <w:color w:val="0000EE"/>
                  <w:w w:val="84"/>
                </w:rPr>
                <w:t>2018</w:t>
              </w:r>
            </w:hyperlink>
          </w:p>
        </w:tc>
        <w:tc>
          <w:tcPr>
            <w:tcW w:w="168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10620" w:type="dxa"/>
            <w:vAlign w:val="bottom"/>
            <w:gridSpan w:val="7"/>
          </w:tcPr>
          <w:p>
            <w:pPr>
              <w:ind w:left="480"/>
              <w:spacing w:after="0"/>
              <w:rPr>
                <w:rFonts w:ascii="Arial" w:cs="Arial" w:eastAsia="Arial" w:hAnsi="Arial"/>
                <w:sz w:val="18"/>
                <w:szCs w:val="18"/>
                <w:u w:val="single" w:color="auto"/>
                <w:color w:val="0000EE"/>
                <w:w w:val="99"/>
              </w:rPr>
            </w:pPr>
            <w:hyperlink w:anchor="page238">
              <w:r>
                <w:rPr>
                  <w:rFonts w:ascii="Arial" w:cs="Arial" w:eastAsia="Arial" w:hAnsi="Arial"/>
                  <w:sz w:val="18"/>
                  <w:szCs w:val="18"/>
                  <w:u w:val="single" w:color="auto"/>
                  <w:color w:val="0000EE"/>
                  <w:w w:val="99"/>
                </w:rPr>
                <w:t>Consolidated Statements of Partners’ Equity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Consolidated Statements of Cash Flows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30"/>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24"/>
        </w:trPr>
        <w:tc>
          <w:tcPr>
            <w:tcW w:w="10620" w:type="dxa"/>
            <w:vAlign w:val="bottom"/>
            <w:gridSpan w:val="7"/>
          </w:tcPr>
          <w:p>
            <w:pPr>
              <w:ind w:left="120"/>
              <w:spacing w:after="0"/>
              <w:rPr>
                <w:sz w:val="20"/>
                <w:szCs w:val="20"/>
                <w:color w:val="auto"/>
              </w:rPr>
            </w:pPr>
            <w:r>
              <w:rPr>
                <w:rFonts w:ascii="Arial" w:cs="Arial" w:eastAsia="Arial" w:hAnsi="Arial"/>
                <w:sz w:val="18"/>
                <w:szCs w:val="18"/>
                <w:b w:val="1"/>
                <w:bCs w:val="1"/>
                <w:color w:val="auto"/>
              </w:rPr>
              <w:t>Academy Sports and Outdoors, Inc.:</w:t>
            </w:r>
          </w:p>
        </w:tc>
        <w:tc>
          <w:tcPr>
            <w:tcW w:w="460" w:type="dxa"/>
            <w:vAlign w:val="bottom"/>
          </w:tcPr>
          <w:p>
            <w:pPr>
              <w:spacing w:after="0"/>
              <w:rPr>
                <w:sz w:val="24"/>
                <w:szCs w:val="24"/>
                <w:color w:val="auto"/>
              </w:rPr>
            </w:pP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Audited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Balance Sheet as of June 30, 2020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Notes to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0"/>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Unaudited Condensed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2">
              <w:r>
                <w:rPr>
                  <w:rFonts w:ascii="Arial" w:cs="Arial" w:eastAsia="Arial" w:hAnsi="Arial"/>
                  <w:sz w:val="18"/>
                  <w:szCs w:val="18"/>
                  <w:u w:val="single" w:color="auto"/>
                  <w:color w:val="0000EE"/>
                </w:rPr>
                <w:t>Unaudited Consolidated Balance Sheets as of October 31, 2020, February 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w w:val="98"/>
              </w:rPr>
            </w:pPr>
            <w:hyperlink w:anchor="page273">
              <w:r>
                <w:rPr>
                  <w:rFonts w:ascii="Arial" w:cs="Arial" w:eastAsia="Arial" w:hAnsi="Arial"/>
                  <w:sz w:val="18"/>
                  <w:szCs w:val="18"/>
                  <w:u w:val="single" w:color="auto"/>
                  <w:color w:val="0000EE"/>
                  <w:w w:val="98"/>
                </w:rPr>
                <w:t>Unaudited Consolidated Statements of Income for thirteen and thirty-nine weeks ended October 31,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0"/>
        </w:trPr>
        <w:tc>
          <w:tcPr>
            <w:tcW w:w="10620" w:type="dxa"/>
            <w:vAlign w:val="bottom"/>
            <w:gridSpan w:val="7"/>
          </w:tcPr>
          <w:p>
            <w:pPr>
              <w:ind w:left="480"/>
              <w:spacing w:after="0" w:line="190" w:lineRule="exact"/>
              <w:rPr>
                <w:rFonts w:ascii="Arial" w:cs="Arial" w:eastAsia="Arial" w:hAnsi="Arial"/>
                <w:sz w:val="18"/>
                <w:szCs w:val="18"/>
                <w:color w:val="0000EE"/>
                <w:w w:val="92"/>
              </w:rPr>
            </w:pPr>
            <w:hyperlink w:anchor="page275">
              <w:r>
                <w:rPr>
                  <w:rFonts w:ascii="Arial" w:cs="Arial" w:eastAsia="Arial" w:hAnsi="Arial"/>
                  <w:sz w:val="18"/>
                  <w:szCs w:val="18"/>
                  <w:color w:val="0000EE"/>
                  <w:w w:val="92"/>
                </w:rPr>
                <w:t>Unaudited Consolidated Statements of Partners’ Equity / of Stockholders’ Equity for the thirteen and thirty-nine weeks ended October 31,</w:t>
              </w:r>
            </w:hyperlink>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196"/>
        </w:trPr>
        <w:tc>
          <w:tcPr>
            <w:tcW w:w="4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5">
              <w:r>
                <w:rPr>
                  <w:rFonts w:ascii="Arial" w:cs="Arial" w:eastAsia="Arial" w:hAnsi="Arial"/>
                  <w:sz w:val="18"/>
                  <w:szCs w:val="18"/>
                  <w:color w:val="0000EE"/>
                </w:rPr>
                <w:t>2020 and November 2, 2019</w:t>
              </w:r>
            </w:hyperlink>
          </w:p>
        </w:tc>
        <w:tc>
          <w:tcPr>
            <w:tcW w:w="2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60" w:type="dxa"/>
            <w:vAlign w:val="bottom"/>
            <w:gridSpan w:val="2"/>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10620" w:type="dxa"/>
            <w:vAlign w:val="bottom"/>
            <w:gridSpan w:val="7"/>
          </w:tcPr>
          <w:p>
            <w:pPr>
              <w:ind w:left="480"/>
              <w:spacing w:after="0"/>
              <w:rPr>
                <w:rFonts w:ascii="Arial" w:cs="Arial" w:eastAsia="Arial" w:hAnsi="Arial"/>
                <w:sz w:val="18"/>
                <w:szCs w:val="18"/>
                <w:u w:val="single" w:color="auto"/>
                <w:color w:val="0000EE"/>
                <w:w w:val="92"/>
              </w:rPr>
            </w:pPr>
            <w:hyperlink w:anchor="page277">
              <w:r>
                <w:rPr>
                  <w:rFonts w:ascii="Arial" w:cs="Arial" w:eastAsia="Arial" w:hAnsi="Arial"/>
                  <w:sz w:val="18"/>
                  <w:szCs w:val="18"/>
                  <w:u w:val="single" w:color="auto"/>
                  <w:color w:val="0000EE"/>
                  <w:w w:val="92"/>
                </w:rPr>
                <w:t>Unaudited Consolidated Statements of Cash Flows for the thirteen and thirty-nine weeks ended October 31,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Condensed 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0"/>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20" w:type="dxa"/>
            <w:vAlign w:val="bottom"/>
            <w:gridSpan w:val="3"/>
          </w:tcPr>
          <w:p>
            <w:pPr>
              <w:jc w:val="center"/>
              <w:ind w:right="2080"/>
              <w:spacing w:after="0"/>
              <w:rPr>
                <w:sz w:val="20"/>
                <w:szCs w:val="20"/>
                <w:color w:val="auto"/>
              </w:rPr>
            </w:pPr>
            <w:r>
              <w:rPr>
                <w:rFonts w:ascii="Arial" w:cs="Arial" w:eastAsia="Arial" w:hAnsi="Arial"/>
                <w:sz w:val="18"/>
                <w:szCs w:val="18"/>
                <w:color w:val="auto"/>
                <w:w w:val="88"/>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 xml:space="preserve">As discussed in Notes 2 and 14 to the financial statements, the Company adopted Financial Accounting Standards Board (FASB)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using the modified retrospective approach.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10,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February 1, 2020</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149,385</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b w:val="1"/>
                <w:bCs w:val="1"/>
                <w:color w:val="auto"/>
                <w:w w:val="94"/>
              </w:rPr>
              <w:t>4,331,321</w:t>
            </w:r>
          </w:p>
        </w:tc>
        <w:tc>
          <w:tcPr>
            <w:tcW w:w="1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96"/>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428,823</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122,795</w:t>
            </w:r>
          </w:p>
        </w:tc>
        <w:tc>
          <w:tcPr>
            <w:tcW w:w="0" w:type="dxa"/>
            <w:vAlign w:val="bottom"/>
          </w:tcPr>
          <w:p>
            <w:pPr>
              <w:spacing w:after="0"/>
              <w:rPr>
                <w:sz w:val="1"/>
                <w:szCs w:val="1"/>
                <w:color w:val="auto"/>
              </w:rPr>
            </w:pPr>
          </w:p>
        </w:tc>
      </w:tr>
      <w:tr>
        <w:trPr>
          <w:trHeight w:val="228"/>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3,340,284</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ind w:left="360"/>
              <w:spacing w:after="0" w:line="201" w:lineRule="exact"/>
              <w:rPr>
                <w:sz w:val="20"/>
                <w:szCs w:val="20"/>
                <w:color w:val="auto"/>
              </w:rPr>
            </w:pPr>
            <w:r>
              <w:rPr>
                <w:rFonts w:ascii="Arial" w:cs="Arial" w:eastAsia="Arial" w:hAnsi="Arial"/>
                <w:sz w:val="18"/>
                <w:szCs w:val="18"/>
                <w:color w:val="auto"/>
                <w:w w:val="97"/>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earnings per unit)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b w:val="1"/>
                <w:bCs w:val="1"/>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3,398,743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3,415,941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3,436,618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1,431,154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1,367,952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1,398,964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1,251,733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1,239,002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1,241,643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179,421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157,321</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104,857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61,282</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w w:val="8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b w:val="1"/>
                <w:bCs w:val="1"/>
                <w:color w:val="auto"/>
              </w:rPr>
              <w:t>120,043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w w:val="8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21,442</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58,501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0.51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236,804,721</w:t>
            </w: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Unaudited Pro Forma Financial Information (Note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Pro forma income tax expense</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Pro forma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83,012,535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85,331,699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ind w:left="800"/>
              <w:spacing w:after="0"/>
              <w:rPr>
                <w:sz w:val="20"/>
                <w:szCs w:val="20"/>
                <w:color w:val="auto"/>
              </w:rPr>
            </w:pPr>
            <w:r>
              <w:rPr>
                <w:rFonts w:ascii="Arial" w:cs="Arial" w:eastAsia="Arial" w:hAnsi="Arial"/>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20"/>
                <w:szCs w:val="20"/>
                <w:b w:val="1"/>
                <w:bCs w:val="1"/>
                <w:color w:val="auto"/>
              </w:rPr>
              <w:t>120,043</w:t>
            </w:r>
          </w:p>
        </w:tc>
        <w:tc>
          <w:tcPr>
            <w:tcW w:w="68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20"/>
                <w:szCs w:val="20"/>
                <w:color w:val="auto"/>
              </w:rPr>
              <w:t>21,442</w:t>
            </w:r>
          </w:p>
        </w:tc>
        <w:tc>
          <w:tcPr>
            <w:tcW w:w="66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Arial" w:cs="Arial" w:eastAsia="Arial" w:hAnsi="Arial"/>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Membership</w:t>
            </w: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Arial" w:cs="Arial" w:eastAsia="Arial" w:hAnsi="Arial"/>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10" w:lineRule="exact"/>
              <w:rPr>
                <w:sz w:val="20"/>
                <w:szCs w:val="20"/>
                <w:color w:val="auto"/>
              </w:rPr>
            </w:pPr>
            <w:r>
              <w:rPr>
                <w:rFonts w:ascii="Arial" w:cs="Arial" w:eastAsia="Arial" w:hAnsi="Arial"/>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w w:val="93"/>
              </w:rPr>
              <w:t>Amount</w:t>
            </w:r>
          </w:p>
        </w:tc>
        <w:tc>
          <w:tcPr>
            <w:tcW w:w="172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w w:val="8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200,648</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(1,200)</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8,238</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$822,720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228,022,835</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231,624</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34,704</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(1,454)</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34,704</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8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130"/>
        </w:trPr>
        <w:tc>
          <w:tcPr>
            <w:tcW w:w="5020" w:type="dxa"/>
            <w:vAlign w:val="bottom"/>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57,363</w:t>
            </w:r>
          </w:p>
        </w:tc>
        <w:tc>
          <w:tcPr>
            <w:tcW w:w="8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400</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(400)</w:t>
            </w: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57,363</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Adjustment to Redeemable Membership Units for repurchase of units from</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Managers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(91,008)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91,008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(91,008)</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7"/>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$996,285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228,274,749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Fiscal Year Ended</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21,442</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58,501</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133,203</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4,580</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4,577</w:t>
            </w:r>
          </w:p>
        </w:tc>
      </w:tr>
      <w:tr>
        <w:trPr>
          <w:trHeight w:val="149"/>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(6,294)</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(559)</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2,477</w:t>
            </w:r>
          </w:p>
        </w:tc>
      </w:tr>
      <w:tr>
        <w:trPr>
          <w:trHeight w:val="149"/>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2,934</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(132,687)</w:t>
            </w: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1,590</w:t>
            </w: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6,976</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w:t>
            </w: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2,297</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(132,126)</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w:t>
            </w: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15,992</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Arial" w:cs="Arial" w:eastAsia="Arial" w:hAnsi="Arial"/>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(115,901)</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851,400</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(816,400)</w:t>
            </w: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(37,989)</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10,353</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1,150</w:t>
            </w:r>
          </w:p>
        </w:tc>
      </w:tr>
      <w:tr>
        <w:trPr>
          <w:trHeight w:val="149"/>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54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8,514</w:t>
            </w:r>
          </w:p>
        </w:tc>
      </w:tr>
      <w:tr>
        <w:trPr>
          <w:trHeight w:val="155"/>
        </w:trPr>
        <w:tc>
          <w:tcPr>
            <w:tcW w:w="554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(24,032)</w:t>
            </w:r>
          </w:p>
        </w:tc>
        <w:tc>
          <w:tcPr>
            <w:tcW w:w="100" w:type="dxa"/>
            <w:vAlign w:val="bottom"/>
          </w:tcPr>
          <w:p>
            <w:pPr>
              <w:spacing w:after="0"/>
              <w:rPr>
                <w:sz w:val="13"/>
                <w:szCs w:val="13"/>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55,077</w:t>
            </w:r>
          </w:p>
        </w:tc>
      </w:tr>
      <w:tr>
        <w:trPr>
          <w:trHeight w:val="156"/>
        </w:trPr>
        <w:tc>
          <w:tcPr>
            <w:tcW w:w="554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108,208</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105,661</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2,848</w:t>
            </w: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(6,600)</w:t>
            </w:r>
          </w:p>
        </w:tc>
      </w:tr>
      <w:tr>
        <w:trPr>
          <w:trHeight w:val="186"/>
        </w:trPr>
        <w:tc>
          <w:tcPr>
            <w:tcW w:w="5540" w:type="dxa"/>
            <w:vAlign w:val="bottom"/>
          </w:tcPr>
          <w:p>
            <w:pPr>
              <w:ind w:left="280"/>
              <w:spacing w:after="0"/>
              <w:rPr>
                <w:sz w:val="20"/>
                <w:szCs w:val="20"/>
                <w:color w:val="auto"/>
              </w:rPr>
            </w:pPr>
            <w:r>
              <w:rPr>
                <w:rFonts w:ascii="Arial" w:cs="Arial" w:eastAsia="Arial" w:hAnsi="Arial"/>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309</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128</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7,412</w:t>
            </w: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ACADEMY HOLDING COMPANY, LLC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8" w:lineRule="exact"/>
        <w:rPr>
          <w:sz w:val="20"/>
          <w:szCs w:val="20"/>
          <w:color w:val="auto"/>
        </w:rPr>
      </w:pPr>
    </w:p>
    <w:p>
      <w:pPr>
        <w:ind w:left="560" w:right="60" w:firstLine="423"/>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jc w:val="both"/>
        <w:ind w:left="560" w:right="80" w:firstLine="423"/>
        <w:spacing w:after="0" w:line="263" w:lineRule="auto"/>
        <w:rPr>
          <w:sz w:val="20"/>
          <w:szCs w:val="20"/>
          <w:color w:val="auto"/>
        </w:rPr>
      </w:pPr>
      <w:r>
        <w:rPr>
          <w:rFonts w:ascii="Arial" w:cs="Arial" w:eastAsia="Arial" w:hAnsi="Arial"/>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8"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560" w:right="60" w:firstLine="423"/>
        <w:spacing w:after="0" w:line="27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560" w:right="120" w:firstLine="423"/>
        <w:spacing w:after="0" w:line="257" w:lineRule="auto"/>
        <w:rPr>
          <w:sz w:val="20"/>
          <w:szCs w:val="20"/>
          <w:color w:val="auto"/>
        </w:rPr>
      </w:pPr>
      <w:r>
        <w:rPr>
          <w:rFonts w:ascii="Arial" w:cs="Arial" w:eastAsia="Arial" w:hAnsi="Arial"/>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left="560" w:right="300" w:firstLine="423"/>
        <w:spacing w:after="0" w:line="277" w:lineRule="auto"/>
        <w:rPr>
          <w:sz w:val="20"/>
          <w:szCs w:val="20"/>
          <w:color w:val="auto"/>
        </w:rPr>
      </w:pPr>
      <w:r>
        <w:rPr>
          <w:rFonts w:ascii="Arial" w:cs="Arial" w:eastAsia="Arial" w:hAnsi="Arial"/>
          <w:sz w:val="18"/>
          <w:szCs w:val="18"/>
          <w:color w:val="auto"/>
        </w:rPr>
        <w:t>In connection with the proposed initial public offering, or the IPO, of Academy Sports and Outdoors, Inc., a Delaware corporation, or an IPO issuer, we will undertake a series of reorganization transactions,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color w:val="auto"/>
        </w:rPr>
        <w:t>the Reorganization Transactions, that will result in, among other things, Holdco being contributed by its unitholders to the IPO issuer and becoming a wholly owned subsidiary of the IPO issuer.</w:t>
      </w:r>
    </w:p>
    <w:p>
      <w:pPr>
        <w:spacing w:after="0" w:line="170" w:lineRule="exact"/>
        <w:rPr>
          <w:sz w:val="20"/>
          <w:szCs w:val="20"/>
          <w:color w:val="auto"/>
        </w:rPr>
      </w:pPr>
    </w:p>
    <w:p>
      <w:pPr>
        <w:ind w:left="560" w:right="140" w:firstLine="423"/>
        <w:spacing w:after="0" w:line="291" w:lineRule="auto"/>
        <w:rPr>
          <w:sz w:val="20"/>
          <w:szCs w:val="20"/>
          <w:color w:val="auto"/>
        </w:rPr>
      </w:pPr>
      <w:r>
        <w:rPr>
          <w:rFonts w:ascii="Arial" w:cs="Arial" w:eastAsia="Arial" w:hAnsi="Arial"/>
          <w:sz w:val="16"/>
          <w:szCs w:val="16"/>
          <w:color w:val="auto"/>
        </w:rPr>
        <w:t>The unaudited pro forma financial information provided on the consolidated statements of income provides the estimated impact to net income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66"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color w:val="auto"/>
        </w:rPr>
        <w:t>On August 28, 2020, Holdco distributed a $257.0 million one-time special distribution (the “Distribution”) to existing unitholders of record as of August 25, 2020.</w:t>
      </w:r>
    </w:p>
    <w:p>
      <w:pPr>
        <w:spacing w:after="0" w:line="170" w:lineRule="exact"/>
        <w:rPr>
          <w:sz w:val="20"/>
          <w:szCs w:val="20"/>
          <w:color w:val="auto"/>
        </w:rPr>
      </w:pPr>
    </w:p>
    <w:p>
      <w:pPr>
        <w:ind w:left="560" w:right="140" w:firstLine="423"/>
        <w:spacing w:after="0" w:line="259" w:lineRule="auto"/>
        <w:rPr>
          <w:sz w:val="20"/>
          <w:szCs w:val="20"/>
          <w:color w:val="auto"/>
        </w:rPr>
      </w:pPr>
      <w:r>
        <w:rPr>
          <w:rFonts w:ascii="Arial" w:cs="Arial" w:eastAsia="Arial" w:hAnsi="Arial"/>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7"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Unaudited basic and diluted pro forma net income per share data presented below assumed that (i) 72,477,381, basic, and 74,796,545, diluted, shares of common stock of the IPO issuer were issued and outstanding for 2019 in connection with the contribution of Holdco by its unitholders and related Reorganization Transactions and related cancellation of all outstanding partners’ equity at Holdco in connection with the IPO and (ii) an additional 10,535,154 shares of common stock of the IPO issuer were outstanding for 2019, which represents the number of shares of common stock that the Company would have been required to issue to fund the amount of the Distribution in excess of its net income for 2019. The number of shares of common stock that the Company would have been required to issue to pay the Distribution was calculated by dividing the portion of the total $257.0 million Distribution in excess of the Company’s net income for 2019 by an initial public offering price in the IPO of $13.00 per share.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table below sets forth the computation of the Company’s unaudited basic and diluted pro forma net income per share for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PRO FORMA NET INCOME PER SHARE:</w:t>
            </w:r>
          </w:p>
        </w:tc>
        <w:tc>
          <w:tcPr>
            <w:tcW w:w="10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Basic</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78"/>
        </w:trPr>
        <w:tc>
          <w:tcPr>
            <w:tcW w:w="83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 thousands, except for share and per share data)</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Pro forma net income</w:t>
            </w:r>
          </w:p>
        </w:tc>
        <w:tc>
          <w:tcPr>
            <w:tcW w:w="5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89,942</w:t>
            </w: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89,942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after giving effect to the Reorganization</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72,477,381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74,796,545</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weighted average shares of common stock outstanding related to the Distribution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10,535,154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10,535,154</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Pro forma weighted average shares of common stock outstanding</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83,012,535</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85,331,699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right="880" w:firstLine="423"/>
        <w:spacing w:after="0" w:line="277" w:lineRule="auto"/>
        <w:rPr>
          <w:sz w:val="20"/>
          <w:szCs w:val="20"/>
          <w:color w:val="auto"/>
        </w:rPr>
      </w:pPr>
      <w:r>
        <w:rPr>
          <w:rFonts w:ascii="Arial" w:cs="Arial" w:eastAsia="Arial" w:hAnsi="Arial"/>
          <w:sz w:val="18"/>
          <w:szCs w:val="18"/>
          <w:color w:val="auto"/>
        </w:rPr>
        <w:t>Certain reclassifications have been made in the 2018 and 2017 consolidated financial statements to conform to the current period presentation. Within the merchandise division sales table presented in Note 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40"/>
        <w:spacing w:after="0" w:line="311" w:lineRule="auto"/>
        <w:rPr>
          <w:sz w:val="20"/>
          <w:szCs w:val="20"/>
          <w:color w:val="auto"/>
        </w:rPr>
      </w:pPr>
      <w:r>
        <w:rPr>
          <w:rFonts w:ascii="Arial" w:cs="Arial" w:eastAsia="Arial" w:hAnsi="Arial"/>
          <w:sz w:val="16"/>
          <w:szCs w:val="16"/>
          <w:color w:val="auto"/>
        </w:rPr>
        <w:t>certain products and categories were recategorized amongst categories and divisions during 2019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17" w:lineRule="exact"/>
        <w:rPr>
          <w:sz w:val="20"/>
          <w:szCs w:val="20"/>
          <w:color w:val="auto"/>
        </w:rPr>
      </w:pPr>
    </w:p>
    <w:p>
      <w:pPr>
        <w:ind w:left="560" w:right="20" w:firstLine="423"/>
        <w:spacing w:after="0" w:line="288" w:lineRule="auto"/>
        <w:rPr>
          <w:sz w:val="20"/>
          <w:szCs w:val="20"/>
          <w:color w:val="auto"/>
        </w:rPr>
      </w:pPr>
      <w:r>
        <w:rPr>
          <w:rFonts w:ascii="Arial" w:cs="Arial" w:eastAsia="Arial" w:hAnsi="Arial"/>
          <w:sz w:val="16"/>
          <w:szCs w:val="16"/>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68"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right="60" w:firstLine="423"/>
        <w:spacing w:after="0" w:line="308" w:lineRule="auto"/>
        <w:rPr>
          <w:sz w:val="20"/>
          <w:szCs w:val="20"/>
          <w:color w:val="auto"/>
        </w:rPr>
      </w:pPr>
      <w:r>
        <w:rPr>
          <w:rFonts w:ascii="Arial" w:cs="Arial" w:eastAsia="Arial" w:hAnsi="Arial"/>
          <w:sz w:val="17"/>
          <w:szCs w:val="17"/>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9" w:right="5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left="560" w:right="140" w:firstLine="423"/>
        <w:spacing w:after="0" w:line="275" w:lineRule="auto"/>
        <w:rPr>
          <w:sz w:val="20"/>
          <w:szCs w:val="20"/>
          <w:color w:val="auto"/>
        </w:rPr>
      </w:pPr>
      <w:r>
        <w:rPr>
          <w:rFonts w:ascii="Arial" w:cs="Arial" w:eastAsia="Arial" w:hAnsi="Arial"/>
          <w:sz w:val="17"/>
          <w:szCs w:val="17"/>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76"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7" w:lineRule="exact"/>
        <w:rPr>
          <w:sz w:val="20"/>
          <w:szCs w:val="20"/>
          <w:color w:val="auto"/>
        </w:rPr>
      </w:pPr>
    </w:p>
    <w:p>
      <w:pPr>
        <w:ind w:left="560" w:right="220" w:firstLine="423"/>
        <w:spacing w:after="0" w:line="259" w:lineRule="auto"/>
        <w:rPr>
          <w:sz w:val="20"/>
          <w:szCs w:val="20"/>
          <w:color w:val="auto"/>
        </w:rPr>
      </w:pPr>
      <w:r>
        <w:rPr>
          <w:rFonts w:ascii="Arial" w:cs="Arial" w:eastAsia="Arial" w:hAnsi="Arial"/>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117"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60" w:right="260" w:firstLine="423"/>
        <w:spacing w:after="0" w:line="311" w:lineRule="auto"/>
        <w:rPr>
          <w:sz w:val="20"/>
          <w:szCs w:val="20"/>
          <w:color w:val="auto"/>
        </w:rPr>
      </w:pPr>
      <w:r>
        <w:rPr>
          <w:rFonts w:ascii="Arial" w:cs="Arial" w:eastAsia="Arial" w:hAnsi="Arial"/>
          <w:sz w:val="16"/>
          <w:szCs w:val="16"/>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1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Lesser of asset useful life or lease term</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Software and computer equipment</w:t>
            </w:r>
          </w:p>
        </w:tc>
        <w:tc>
          <w:tcPr>
            <w:tcW w:w="6140" w:type="dxa"/>
            <w:vAlign w:val="bottom"/>
          </w:tcPr>
          <w:p>
            <w:pPr>
              <w:ind w:left="1480"/>
              <w:spacing w:after="0"/>
              <w:rPr>
                <w:sz w:val="20"/>
                <w:szCs w:val="20"/>
                <w:color w:val="auto"/>
              </w:rPr>
            </w:pPr>
            <w:r>
              <w:rPr>
                <w:rFonts w:ascii="Arial" w:cs="Arial" w:eastAsia="Arial" w:hAnsi="Arial"/>
                <w:sz w:val="18"/>
                <w:szCs w:val="18"/>
                <w:color w:val="auto"/>
              </w:rPr>
              <w:t>2–5 years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equipment</w:t>
            </w:r>
          </w:p>
        </w:tc>
        <w:tc>
          <w:tcPr>
            <w:tcW w:w="61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5–10 years</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140" w:type="dxa"/>
            <w:vAlign w:val="bottom"/>
          </w:tcPr>
          <w:p>
            <w:pPr>
              <w:ind w:left="1480"/>
              <w:spacing w:after="0"/>
              <w:rPr>
                <w:sz w:val="20"/>
                <w:szCs w:val="20"/>
                <w:color w:val="auto"/>
              </w:rPr>
            </w:pPr>
            <w:r>
              <w:rPr>
                <w:rFonts w:ascii="Arial" w:cs="Arial" w:eastAsia="Arial" w:hAnsi="Arial"/>
                <w:sz w:val="18"/>
                <w:szCs w:val="18"/>
                <w:color w:val="auto"/>
              </w:rPr>
              <w:t>7–10 years</w:t>
            </w:r>
          </w:p>
        </w:tc>
      </w:tr>
    </w:tbl>
    <w:p>
      <w:pPr>
        <w:spacing w:after="0" w:line="187" w:lineRule="exact"/>
        <w:rPr>
          <w:sz w:val="20"/>
          <w:szCs w:val="20"/>
          <w:color w:val="auto"/>
        </w:rPr>
      </w:pPr>
    </w:p>
    <w:p>
      <w:pPr>
        <w:ind w:left="560" w:right="40" w:firstLine="423"/>
        <w:spacing w:after="0" w:line="263" w:lineRule="auto"/>
        <w:rPr>
          <w:sz w:val="20"/>
          <w:szCs w:val="20"/>
          <w:color w:val="auto"/>
        </w:rPr>
      </w:pPr>
      <w:r>
        <w:rPr>
          <w:rFonts w:ascii="Arial" w:cs="Arial" w:eastAsia="Arial" w:hAnsi="Arial"/>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84"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In the normal course of business, we acquire land and construct new stores to be sold to and leased from third party landlords. New stores completed but not yet sold to and leased from third parties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Capitalized Computer Software Costs</w:t>
      </w:r>
    </w:p>
    <w:p>
      <w:pPr>
        <w:spacing w:after="0" w:line="117"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17" w:lineRule="exact"/>
        <w:rPr>
          <w:sz w:val="20"/>
          <w:szCs w:val="20"/>
          <w:color w:val="auto"/>
        </w:rPr>
      </w:pPr>
    </w:p>
    <w:p>
      <w:pPr>
        <w:jc w:val="both"/>
        <w:ind w:left="560" w:right="60" w:firstLine="423"/>
        <w:spacing w:after="0" w:line="263" w:lineRule="auto"/>
        <w:rPr>
          <w:sz w:val="20"/>
          <w:szCs w:val="20"/>
          <w:color w:val="auto"/>
        </w:rPr>
      </w:pPr>
      <w:r>
        <w:rPr>
          <w:rFonts w:ascii="Arial" w:cs="Arial" w:eastAsia="Arial" w:hAnsi="Arial"/>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560" w:right="80" w:firstLine="423"/>
        <w:spacing w:after="0" w:line="271" w:lineRule="auto"/>
        <w:rPr>
          <w:sz w:val="20"/>
          <w:szCs w:val="20"/>
          <w:color w:val="auto"/>
        </w:rPr>
      </w:pPr>
      <w:r>
        <w:rPr>
          <w:rFonts w:ascii="Arial" w:cs="Arial" w:eastAsia="Arial" w:hAnsi="Arial"/>
          <w:sz w:val="17"/>
          <w:szCs w:val="17"/>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7"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8" w:lineRule="exact"/>
        <w:rPr>
          <w:sz w:val="20"/>
          <w:szCs w:val="20"/>
          <w:color w:val="auto"/>
        </w:rPr>
      </w:pPr>
    </w:p>
    <w:p>
      <w:pPr>
        <w:ind w:left="560" w:right="160" w:firstLine="423"/>
        <w:spacing w:after="0" w:line="263" w:lineRule="auto"/>
        <w:rPr>
          <w:sz w:val="20"/>
          <w:szCs w:val="20"/>
          <w:color w:val="auto"/>
        </w:rPr>
      </w:pPr>
      <w:r>
        <w:rPr>
          <w:rFonts w:ascii="Arial" w:cs="Arial" w:eastAsia="Arial" w:hAnsi="Arial"/>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70" w:lineRule="exact"/>
        <w:rPr>
          <w:sz w:val="20"/>
          <w:szCs w:val="20"/>
          <w:color w:val="auto"/>
        </w:rPr>
      </w:pPr>
    </w:p>
    <w:p>
      <w:pPr>
        <w:ind w:left="560" w:right="220" w:firstLine="423"/>
        <w:spacing w:after="0" w:line="257" w:lineRule="auto"/>
        <w:rPr>
          <w:sz w:val="20"/>
          <w:szCs w:val="20"/>
          <w:color w:val="auto"/>
        </w:rPr>
      </w:pPr>
      <w:r>
        <w:rPr>
          <w:rFonts w:ascii="Arial" w:cs="Arial" w:eastAsia="Arial" w:hAnsi="Arial"/>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8" w:lineRule="exact"/>
        <w:rPr>
          <w:sz w:val="20"/>
          <w:szCs w:val="20"/>
          <w:color w:val="auto"/>
        </w:rPr>
      </w:pPr>
    </w:p>
    <w:p>
      <w:pPr>
        <w:ind w:left="560" w:right="680" w:firstLine="423"/>
        <w:spacing w:after="0" w:line="277" w:lineRule="auto"/>
        <w:rPr>
          <w:sz w:val="20"/>
          <w:szCs w:val="20"/>
          <w:color w:val="auto"/>
        </w:rPr>
      </w:pPr>
      <w:r>
        <w:rPr>
          <w:rFonts w:ascii="Arial" w:cs="Arial" w:eastAsia="Arial" w:hAnsi="Arial"/>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Intangible assets consist of the trade name of “Academy Sports + Outdoors”, or the Trade Name, and our favorable leases. The favorable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leases are accounted for as finite-lived assets and are amortized over their estimated useful economic lives. With the adoption of ASU 2016-02,</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Leases (Topic 842)</w:t>
      </w:r>
      <w:r>
        <w:rPr>
          <w:rFonts w:ascii="Arial" w:cs="Arial" w:eastAsia="Arial" w:hAnsi="Arial"/>
          <w:sz w:val="16"/>
          <w:szCs w:val="16"/>
          <w:color w:val="auto"/>
        </w:rPr>
        <w:t>” and a series of related Accounting Standards Updates that followed, or collectively, the New Lease Standard, on February 3,</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2019, the balance of the favorable lease rights, net was netted into the right-of-use assets on the balance sheet (see Note 14). The Trade Name is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expected to generate cash flows indefinitely and, therefore, is accounted for as an indefinite-lived asset not subject to amortization.</w:t>
      </w:r>
    </w:p>
    <w:p>
      <w:pPr>
        <w:spacing w:after="0" w:line="211"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Loan Costs</w:t>
      </w:r>
    </w:p>
    <w:p>
      <w:pPr>
        <w:spacing w:after="0" w:line="117" w:lineRule="exact"/>
        <w:rPr>
          <w:sz w:val="20"/>
          <w:szCs w:val="20"/>
          <w:color w:val="auto"/>
        </w:rPr>
      </w:pPr>
    </w:p>
    <w:p>
      <w:pPr>
        <w:ind w:left="560" w:right="260" w:firstLine="423"/>
        <w:spacing w:after="0" w:line="275" w:lineRule="auto"/>
        <w:rPr>
          <w:sz w:val="20"/>
          <w:szCs w:val="20"/>
          <w:color w:val="auto"/>
        </w:rPr>
      </w:pPr>
      <w:r>
        <w:rPr>
          <w:rFonts w:ascii="Arial" w:cs="Arial" w:eastAsia="Arial" w:hAnsi="Arial"/>
          <w:sz w:val="17"/>
          <w:szCs w:val="17"/>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560" w:right="100" w:firstLine="423"/>
        <w:spacing w:after="0" w:line="311" w:lineRule="auto"/>
        <w:rPr>
          <w:sz w:val="20"/>
          <w:szCs w:val="20"/>
          <w:color w:val="auto"/>
        </w:rPr>
      </w:pPr>
      <w:r>
        <w:rPr>
          <w:rFonts w:ascii="Arial" w:cs="Arial" w:eastAsia="Arial" w:hAnsi="Arial"/>
          <w:sz w:val="16"/>
          <w:szCs w:val="16"/>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60"/>
        <w:spacing w:after="0" w:line="277" w:lineRule="auto"/>
        <w:rPr>
          <w:sz w:val="20"/>
          <w:szCs w:val="20"/>
          <w:color w:val="auto"/>
        </w:rPr>
      </w:pPr>
      <w:r>
        <w:rPr>
          <w:rFonts w:ascii="Arial" w:cs="Arial" w:eastAsia="Arial" w:hAnsi="Arial"/>
          <w:sz w:val="18"/>
          <w:szCs w:val="18"/>
          <w:color w:val="auto"/>
        </w:rPr>
        <w:t>effective in offsetting the changes in the fair value or cash flow of the hedged items. If it is determined that a derivative is not highly effective as a hedge or ceases to be highly effective, we discontinue hedge accounting prospectively.</w:t>
      </w:r>
    </w:p>
    <w:p>
      <w:pPr>
        <w:spacing w:after="0" w:line="170" w:lineRule="exact"/>
        <w:rPr>
          <w:sz w:val="20"/>
          <w:szCs w:val="20"/>
          <w:color w:val="auto"/>
        </w:rPr>
      </w:pPr>
    </w:p>
    <w:p>
      <w:pPr>
        <w:jc w:val="both"/>
        <w:ind w:left="560" w:right="60" w:firstLine="423"/>
        <w:spacing w:after="0" w:line="286" w:lineRule="auto"/>
        <w:rPr>
          <w:sz w:val="20"/>
          <w:szCs w:val="20"/>
          <w:color w:val="auto"/>
        </w:rPr>
      </w:pPr>
      <w:r>
        <w:rPr>
          <w:rFonts w:ascii="Arial" w:cs="Arial" w:eastAsia="Arial" w:hAnsi="Arial"/>
          <w:sz w:val="17"/>
          <w:szCs w:val="17"/>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Self-Insurance</w:t>
      </w:r>
    </w:p>
    <w:p>
      <w:pPr>
        <w:spacing w:after="0" w:line="117" w:lineRule="exact"/>
        <w:rPr>
          <w:sz w:val="20"/>
          <w:szCs w:val="20"/>
          <w:color w:val="auto"/>
        </w:rPr>
      </w:pPr>
    </w:p>
    <w:p>
      <w:pPr>
        <w:ind w:left="560" w:firstLine="423"/>
        <w:spacing w:after="0" w:line="269" w:lineRule="auto"/>
        <w:rPr>
          <w:sz w:val="20"/>
          <w:szCs w:val="20"/>
          <w:color w:val="auto"/>
        </w:rPr>
      </w:pPr>
      <w:r>
        <w:rPr>
          <w:rFonts w:ascii="Arial" w:cs="Arial" w:eastAsia="Arial" w:hAnsi="Arial"/>
          <w:sz w:val="17"/>
          <w:szCs w:val="17"/>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 Incentives</w:t>
      </w:r>
    </w:p>
    <w:p>
      <w:pPr>
        <w:spacing w:after="0" w:line="117" w:lineRule="exact"/>
        <w:rPr>
          <w:sz w:val="20"/>
          <w:szCs w:val="20"/>
          <w:color w:val="auto"/>
        </w:rPr>
      </w:pPr>
    </w:p>
    <w:p>
      <w:pPr>
        <w:ind w:left="560" w:right="100" w:firstLine="423"/>
        <w:spacing w:after="0" w:line="263" w:lineRule="auto"/>
        <w:rPr>
          <w:sz w:val="20"/>
          <w:szCs w:val="20"/>
          <w:color w:val="auto"/>
        </w:rPr>
      </w:pPr>
      <w:r>
        <w:rPr>
          <w:rFonts w:ascii="Arial" w:cs="Arial" w:eastAsia="Arial" w:hAnsi="Arial"/>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84" w:lineRule="exact"/>
        <w:rPr>
          <w:sz w:val="20"/>
          <w:szCs w:val="20"/>
          <w:color w:val="auto"/>
        </w:rPr>
      </w:pPr>
    </w:p>
    <w:p>
      <w:pPr>
        <w:ind w:left="560" w:right="60" w:firstLine="423"/>
        <w:spacing w:after="0" w:line="254" w:lineRule="auto"/>
        <w:rPr>
          <w:sz w:val="20"/>
          <w:szCs w:val="20"/>
          <w:color w:val="auto"/>
        </w:rPr>
      </w:pPr>
      <w:r>
        <w:rPr>
          <w:rFonts w:ascii="Arial" w:cs="Arial" w:eastAsia="Arial" w:hAnsi="Arial"/>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95"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 Under the New Lease Standard these receipts are a reduction to the right-of-use assets on the balance sheet (see Note 14), which are amortized ratably over the remaining terms of the corresponding leases.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560" w:right="280" w:firstLine="423"/>
        <w:spacing w:after="0" w:line="277" w:lineRule="auto"/>
        <w:rPr>
          <w:sz w:val="20"/>
          <w:szCs w:val="20"/>
          <w:color w:val="auto"/>
        </w:rPr>
      </w:pPr>
      <w:r>
        <w:rPr>
          <w:rFonts w:ascii="Arial" w:cs="Arial" w:eastAsia="Arial" w:hAnsi="Arial"/>
          <w:sz w:val="18"/>
          <w:szCs w:val="18"/>
          <w:color w:val="auto"/>
        </w:rPr>
        <w:t>We sell merchandise under implicit contracts whereby the transaction price is the listed sales price less any discounts or coupons applied. Our typical coupons offer a discount, which is applied immediately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time of purchase. However, under certain circumstances we may issue a coupon, or similar incentive, which contains a material future right. In such instances, a portion of the revenue is deferred and subsequently recognized when earned.</w:t>
      </w:r>
    </w:p>
    <w:p>
      <w:pPr>
        <w:spacing w:after="0" w:line="170"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ind w:left="560" w:right="280" w:firstLine="423"/>
        <w:spacing w:after="0" w:line="277" w:lineRule="auto"/>
        <w:rPr>
          <w:sz w:val="20"/>
          <w:szCs w:val="20"/>
          <w:color w:val="auto"/>
        </w:rPr>
      </w:pPr>
      <w:r>
        <w:rPr>
          <w:rFonts w:ascii="Arial" w:cs="Arial" w:eastAsia="Arial" w:hAnsi="Arial"/>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117"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560" w:right="180" w:firstLine="423"/>
        <w:spacing w:after="0" w:line="263" w:lineRule="auto"/>
        <w:rPr>
          <w:sz w:val="20"/>
          <w:szCs w:val="20"/>
          <w:color w:val="auto"/>
        </w:rPr>
      </w:pPr>
      <w:r>
        <w:rPr>
          <w:rFonts w:ascii="Arial" w:cs="Arial" w:eastAsia="Arial" w:hAnsi="Arial"/>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Advertising costs are expensed as incurred. Advertising expenses, net of specific vendor allowances, were $142.3 million, $139.1 million and $140.8 million in 2019, 2018 and 2017,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17" w:lineRule="exact"/>
        <w:rPr>
          <w:sz w:val="20"/>
          <w:szCs w:val="20"/>
          <w:color w:val="auto"/>
        </w:rPr>
      </w:pPr>
    </w:p>
    <w:p>
      <w:pPr>
        <w:ind w:left="560" w:right="320" w:firstLine="423"/>
        <w:spacing w:after="0" w:line="263" w:lineRule="auto"/>
        <w:rPr>
          <w:sz w:val="20"/>
          <w:szCs w:val="20"/>
          <w:color w:val="auto"/>
        </w:rPr>
      </w:pPr>
      <w:r>
        <w:rPr>
          <w:rFonts w:ascii="Arial" w:cs="Arial" w:eastAsia="Arial" w:hAnsi="Arial"/>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Rent</w:t>
      </w:r>
    </w:p>
    <w:p>
      <w:pPr>
        <w:spacing w:after="0" w:line="117" w:lineRule="exact"/>
        <w:rPr>
          <w:sz w:val="20"/>
          <w:szCs w:val="20"/>
          <w:color w:val="auto"/>
        </w:rPr>
      </w:pPr>
    </w:p>
    <w:p>
      <w:pPr>
        <w:ind w:left="560" w:right="140" w:firstLine="423"/>
        <w:spacing w:after="0" w:line="279" w:lineRule="auto"/>
        <w:rPr>
          <w:sz w:val="20"/>
          <w:szCs w:val="20"/>
          <w:color w:val="auto"/>
        </w:rPr>
      </w:pPr>
      <w:r>
        <w:rPr>
          <w:rFonts w:ascii="Arial" w:cs="Arial" w:eastAsia="Arial" w:hAnsi="Arial"/>
          <w:sz w:val="17"/>
          <w:szCs w:val="17"/>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 xml:space="preserve">We account for equity compensation in accordance with Financial Accounting Standards Board, or FASB,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90" w:lineRule="auto"/>
        <w:rPr>
          <w:sz w:val="20"/>
          <w:szCs w:val="20"/>
          <w:color w:val="auto"/>
        </w:rPr>
      </w:pPr>
      <w:r>
        <w:rPr>
          <w:rFonts w:ascii="Arial" w:cs="Arial" w:eastAsia="Arial" w:hAnsi="Arial"/>
          <w:sz w:val="16"/>
          <w:szCs w:val="16"/>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left="560" w:right="20" w:firstLine="423"/>
        <w:spacing w:after="0" w:line="263" w:lineRule="auto"/>
        <w:rPr>
          <w:sz w:val="20"/>
          <w:szCs w:val="20"/>
          <w:color w:val="auto"/>
        </w:rPr>
      </w:pPr>
      <w:r>
        <w:rPr>
          <w:rFonts w:ascii="Arial" w:cs="Arial" w:eastAsia="Arial" w:hAnsi="Arial"/>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Segment</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Arial" w:cs="Arial" w:eastAsia="Arial" w:hAnsi="Arial"/>
          <w:sz w:val="18"/>
          <w:szCs w:val="18"/>
          <w:i w:val="1"/>
          <w:iCs w:val="1"/>
          <w:color w:val="auto"/>
        </w:rPr>
        <w:t>academy.com</w:t>
      </w:r>
      <w:r>
        <w:rPr>
          <w:rFonts w:ascii="Arial" w:cs="Arial" w:eastAsia="Arial" w:hAnsi="Arial"/>
          <w:sz w:val="18"/>
          <w:szCs w:val="18"/>
          <w:color w:val="auto"/>
        </w:rPr>
        <w:t xml:space="preserve"> website, we report our financial results as one reportable segment. Substantially all of the Company’s identifiable assets are located in the United States.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ind w:left="560" w:right="320" w:firstLine="423"/>
        <w:spacing w:after="0" w:line="277" w:lineRule="auto"/>
        <w:rPr>
          <w:sz w:val="20"/>
          <w:szCs w:val="20"/>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70" w:lineRule="exact"/>
        <w:rPr>
          <w:sz w:val="20"/>
          <w:szCs w:val="20"/>
          <w:color w:val="auto"/>
        </w:rPr>
      </w:pPr>
    </w:p>
    <w:p>
      <w:pPr>
        <w:ind w:left="560" w:right="380" w:firstLine="423"/>
        <w:spacing w:after="0" w:line="287" w:lineRule="auto"/>
        <w:rPr>
          <w:sz w:val="20"/>
          <w:szCs w:val="20"/>
          <w:color w:val="auto"/>
        </w:rPr>
      </w:pPr>
      <w:r>
        <w:rPr>
          <w:rFonts w:ascii="Arial" w:cs="Arial" w:eastAsia="Arial" w:hAnsi="Arial"/>
          <w:sz w:val="16"/>
          <w:szCs w:val="16"/>
          <w:color w:val="auto"/>
        </w:rPr>
        <w:t xml:space="preserve">We elected the practical expedient available to us under ASU 2018-11, </w:t>
      </w:r>
      <w:r>
        <w:rPr>
          <w:rFonts w:ascii="Arial" w:cs="Arial" w:eastAsia="Arial" w:hAnsi="Arial"/>
          <w:sz w:val="16"/>
          <w:szCs w:val="16"/>
          <w:i w:val="1"/>
          <w:iCs w:val="1"/>
          <w:color w:val="auto"/>
        </w:rPr>
        <w:t>“Leases: Targeted Improvements”</w:t>
      </w:r>
      <w:r>
        <w:rPr>
          <w:rFonts w:ascii="Arial" w:cs="Arial" w:eastAsia="Arial" w:hAnsi="Arial"/>
          <w:sz w:val="16"/>
          <w:szCs w:val="16"/>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2" w:lineRule="exact"/>
        <w:rPr>
          <w:sz w:val="20"/>
          <w:szCs w:val="20"/>
          <w:color w:val="auto"/>
        </w:rPr>
      </w:pPr>
    </w:p>
    <w:p>
      <w:pPr>
        <w:ind w:left="560" w:right="40"/>
        <w:spacing w:after="0" w:line="302" w:lineRule="auto"/>
        <w:rPr>
          <w:sz w:val="20"/>
          <w:szCs w:val="20"/>
          <w:color w:val="auto"/>
        </w:rPr>
      </w:pPr>
      <w:r>
        <w:rPr>
          <w:rFonts w:ascii="Arial" w:cs="Arial" w:eastAsia="Arial" w:hAnsi="Arial"/>
          <w:sz w:val="16"/>
          <w:szCs w:val="16"/>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00" w:lineRule="exact"/>
        <w:rPr>
          <w:sz w:val="20"/>
          <w:szCs w:val="20"/>
          <w:color w:val="auto"/>
        </w:rPr>
      </w:pPr>
    </w:p>
    <w:p>
      <w:pPr>
        <w:ind w:left="540" w:hanging="424"/>
        <w:spacing w:after="0"/>
        <w:tabs>
          <w:tab w:leader="none" w:pos="5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the approximate amount of sales by merchandise divisions for the periods presented (amounts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140" w:type="dxa"/>
            <w:vAlign w:val="bottom"/>
            <w:gridSpan w:val="4"/>
          </w:tcPr>
          <w:p>
            <w:pPr>
              <w:jc w:val="center"/>
              <w:ind w:left="262"/>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4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Outdoors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1,522,985</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1,583,183</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1,311,054</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4600" w:type="dxa"/>
            <w:vAlign w:val="bottom"/>
          </w:tcPr>
          <w:p>
            <w:pPr>
              <w:ind w:left="720"/>
              <w:spacing w:after="0"/>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4,820,588</w:t>
            </w:r>
          </w:p>
        </w:tc>
        <w:tc>
          <w:tcPr>
            <w:tcW w:w="6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sales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4,835,582</w:t>
            </w:r>
          </w:p>
        </w:tc>
        <w:tc>
          <w:tcPr>
            <w:tcW w:w="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480" w:hanging="224"/>
        <w:spacing w:after="0" w:line="287" w:lineRule="auto"/>
        <w:tabs>
          <w:tab w:leader="none" w:pos="340" w:val="left"/>
        </w:tabs>
        <w:numPr>
          <w:ilvl w:val="0"/>
          <w:numId w:val="195"/>
        </w:numPr>
        <w:rPr>
          <w:rFonts w:ascii="Arial" w:cs="Arial" w:eastAsia="Arial" w:hAnsi="Arial"/>
          <w:sz w:val="13"/>
          <w:szCs w:val="13"/>
          <w:color w:val="auto"/>
        </w:rPr>
      </w:pPr>
      <w:r>
        <w:rPr>
          <w:rFonts w:ascii="Arial" w:cs="Arial" w:eastAsia="Arial" w:hAnsi="Arial"/>
          <w:sz w:val="16"/>
          <w:szCs w:val="16"/>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2" w:lineRule="exact"/>
        <w:rPr>
          <w:rFonts w:ascii="Arial" w:cs="Arial" w:eastAsia="Arial" w:hAnsi="Arial"/>
          <w:sz w:val="13"/>
          <w:szCs w:val="13"/>
          <w:color w:val="auto"/>
        </w:rPr>
      </w:pPr>
    </w:p>
    <w:p>
      <w:pPr>
        <w:ind w:left="340" w:hanging="224"/>
        <w:spacing w:after="0"/>
        <w:tabs>
          <w:tab w:leader="none" w:pos="340" w:val="left"/>
        </w:tabs>
        <w:numPr>
          <w:ilvl w:val="0"/>
          <w:numId w:val="195"/>
        </w:numPr>
        <w:rPr>
          <w:rFonts w:ascii="Arial" w:cs="Arial" w:eastAsia="Arial" w:hAnsi="Arial"/>
          <w:sz w:val="15"/>
          <w:szCs w:val="15"/>
          <w:color w:val="auto"/>
        </w:rPr>
      </w:pPr>
      <w:r>
        <w:rPr>
          <w:rFonts w:ascii="Arial" w:cs="Arial" w:eastAsia="Arial" w:hAnsi="Arial"/>
          <w:sz w:val="18"/>
          <w:szCs w:val="18"/>
          <w:color w:val="auto"/>
        </w:rPr>
        <w:t>E-commerce sales consist of 5.1%, 4.9% and 4.0% of merchandise sales for 2019, 2018 and 2017, respectively.</w:t>
      </w:r>
    </w:p>
    <w:p>
      <w:pPr>
        <w:spacing w:after="0" w:line="9" w:lineRule="exact"/>
        <w:rPr>
          <w:rFonts w:ascii="Arial" w:cs="Arial" w:eastAsia="Arial" w:hAnsi="Arial"/>
          <w:sz w:val="15"/>
          <w:szCs w:val="15"/>
          <w:color w:val="auto"/>
        </w:rPr>
      </w:pPr>
    </w:p>
    <w:p>
      <w:pPr>
        <w:ind w:left="340" w:right="500" w:hanging="224"/>
        <w:spacing w:after="0" w:line="260" w:lineRule="auto"/>
        <w:tabs>
          <w:tab w:leader="none" w:pos="340" w:val="left"/>
        </w:tabs>
        <w:numPr>
          <w:ilvl w:val="0"/>
          <w:numId w:val="195"/>
        </w:numPr>
        <w:rPr>
          <w:rFonts w:ascii="Arial" w:cs="Arial" w:eastAsia="Arial" w:hAnsi="Arial"/>
          <w:sz w:val="15"/>
          <w:szCs w:val="15"/>
          <w:color w:val="auto"/>
        </w:rPr>
      </w:pPr>
      <w:r>
        <w:rPr>
          <w:rFonts w:ascii="Arial" w:cs="Arial" w:eastAsia="Arial" w:hAnsi="Arial"/>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 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Fiscal Year Ended</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194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Gift card liability, ending balance</w:t>
            </w:r>
          </w:p>
        </w:tc>
        <w:tc>
          <w:tcPr>
            <w:tcW w:w="9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debt consisted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February 2, 2019</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197"/>
        </w:numPr>
        <w:rPr>
          <w:rFonts w:ascii="Arial" w:cs="Arial" w:eastAsia="Arial" w:hAnsi="Arial"/>
          <w:sz w:val="15"/>
          <w:szCs w:val="15"/>
          <w:color w:val="auto"/>
        </w:rPr>
      </w:pPr>
      <w:r>
        <w:rPr>
          <w:rFonts w:ascii="Arial" w:cs="Arial" w:eastAsia="Arial" w:hAnsi="Arial"/>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311" w:lineRule="auto"/>
        <w:rPr>
          <w:sz w:val="20"/>
          <w:szCs w:val="20"/>
          <w:color w:val="auto"/>
        </w:rPr>
      </w:pPr>
      <w:r>
        <w:rPr>
          <w:rFonts w:ascii="Arial" w:cs="Arial" w:eastAsia="Arial" w:hAnsi="Arial"/>
          <w:sz w:val="16"/>
          <w:szCs w:val="16"/>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49"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On July 2, 2015, Academy, Ltd. entered into a seven-year $1.8 billion senior secured term loan facility, or the 2015 Term Loan Facility, with Morgan Stanley Senior Funding, Inc., as the administrative and collateral 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92" w:lineRule="exact"/>
        <w:rPr>
          <w:sz w:val="20"/>
          <w:szCs w:val="20"/>
          <w:color w:val="auto"/>
        </w:rPr>
      </w:pPr>
    </w:p>
    <w:p>
      <w:pPr>
        <w:ind w:left="560" w:right="40" w:firstLine="423"/>
        <w:spacing w:after="0" w:line="272" w:lineRule="auto"/>
        <w:rPr>
          <w:sz w:val="20"/>
          <w:szCs w:val="20"/>
          <w:color w:val="auto"/>
        </w:rPr>
      </w:pPr>
      <w:r>
        <w:rPr>
          <w:rFonts w:ascii="Arial" w:cs="Arial" w:eastAsia="Arial" w:hAnsi="Arial"/>
          <w:sz w:val="17"/>
          <w:szCs w:val="17"/>
          <w:b w:val="1"/>
          <w:bCs w:val="1"/>
          <w:i w:val="1"/>
          <w:iCs w:val="1"/>
          <w:u w:val="single" w:color="auto"/>
          <w:color w:val="auto"/>
        </w:rPr>
        <w:t>2015 Term Loan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2015 Term Loan Facility bears interest, at our election, at either (1) LIBOR rate with a floor of 1.00%, plus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77"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Fiscal Year Ended</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40" w:type="dxa"/>
            <w:vAlign w:val="bottom"/>
          </w:tcPr>
          <w:p>
            <w:pPr>
              <w:spacing w:after="0"/>
              <w:rPr>
                <w:sz w:val="12"/>
                <w:szCs w:val="12"/>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principal repurchased</w:t>
            </w:r>
          </w:p>
        </w:tc>
        <w:tc>
          <w:tcPr>
            <w:tcW w:w="1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10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Reacquisition price of debt</w:t>
            </w:r>
          </w:p>
        </w:tc>
        <w:tc>
          <w:tcPr>
            <w:tcW w:w="1940" w:type="dxa"/>
            <w:vAlign w:val="bottom"/>
            <w:gridSpan w:val="2"/>
          </w:tcPr>
          <w:p>
            <w:pPr>
              <w:ind w:left="15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104.6</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gain recognized</w:t>
            </w: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42.3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202" w:lineRule="exact"/>
        <w:rPr>
          <w:sz w:val="20"/>
          <w:szCs w:val="20"/>
          <w:color w:val="auto"/>
        </w:rPr>
      </w:pPr>
    </w:p>
    <w:p>
      <w:pPr>
        <w:ind w:left="560" w:right="80" w:firstLine="423"/>
        <w:spacing w:after="0" w:line="273" w:lineRule="auto"/>
        <w:rPr>
          <w:sz w:val="20"/>
          <w:szCs w:val="20"/>
          <w:color w:val="auto"/>
        </w:rPr>
      </w:pPr>
      <w:r>
        <w:rPr>
          <w:rFonts w:ascii="Arial" w:cs="Arial" w:eastAsia="Arial" w:hAnsi="Arial"/>
          <w:sz w:val="17"/>
          <w:szCs w:val="17"/>
          <w:b w:val="1"/>
          <w:bCs w:val="1"/>
          <w:i w:val="1"/>
          <w:iCs w:val="1"/>
          <w:u w:val="single" w:color="auto"/>
          <w:color w:val="auto"/>
        </w:rPr>
        <w:t>Amended ABL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Amended ABL Facility is used to provide financing for working capital and other general corporate purposes,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78"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92" w:lineRule="exact"/>
        <w:rPr>
          <w:sz w:val="20"/>
          <w:szCs w:val="20"/>
          <w:color w:val="auto"/>
        </w:rPr>
      </w:pPr>
    </w:p>
    <w:p>
      <w:pPr>
        <w:ind w:left="560" w:right="400" w:firstLine="423"/>
        <w:spacing w:after="0" w:line="277" w:lineRule="auto"/>
        <w:rPr>
          <w:sz w:val="20"/>
          <w:szCs w:val="20"/>
          <w:color w:val="auto"/>
        </w:rPr>
      </w:pPr>
      <w:r>
        <w:rPr>
          <w:rFonts w:ascii="Arial" w:cs="Arial" w:eastAsia="Arial" w:hAnsi="Arial"/>
          <w:sz w:val="18"/>
          <w:szCs w:val="18"/>
          <w:b w:val="1"/>
          <w:bCs w:val="1"/>
          <w:i w:val="1"/>
          <w:iCs w:val="1"/>
          <w:u w:val="single" w:color="auto"/>
          <w:color w:val="auto"/>
        </w:rPr>
        <w:t>Liens and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Amended ABL Facility has a first priority lien on all Academy, Ltd.’s cash, accounts receivable, inventory,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and securities accounts and proceeds therefrom, or the ABL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0"/>
        <w:spacing w:after="0" w:line="277" w:lineRule="auto"/>
        <w:rPr>
          <w:sz w:val="20"/>
          <w:szCs w:val="20"/>
          <w:color w:val="auto"/>
        </w:rPr>
      </w:pPr>
      <w:r>
        <w:rPr>
          <w:rFonts w:ascii="Arial" w:cs="Arial" w:eastAsia="Arial" w:hAnsi="Arial"/>
          <w:sz w:val="18"/>
          <w:szCs w:val="18"/>
          <w:color w:val="auto"/>
        </w:rPr>
        <w:t>Collateral. Additionally, the Amended ABL Facility has a second priority lien on all other collateral of the 2015 Term Loan Facility. All obligations under the 2015 Term Loan Facility and the guarantees of those obligations are secured by:</w:t>
      </w:r>
    </w:p>
    <w:p>
      <w:pPr>
        <w:spacing w:after="0" w:line="76" w:lineRule="exact"/>
        <w:rPr>
          <w:sz w:val="20"/>
          <w:szCs w:val="20"/>
          <w:color w:val="auto"/>
        </w:rPr>
      </w:pPr>
    </w:p>
    <w:p>
      <w:pPr>
        <w:ind w:left="1540" w:hanging="331"/>
        <w:spacing w:after="0"/>
        <w:tabs>
          <w:tab w:leader="none" w:pos="1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130"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w:t>
      </w:r>
    </w:p>
    <w:p>
      <w:pPr>
        <w:spacing w:after="0" w:line="75" w:lineRule="exact"/>
        <w:rPr>
          <w:rFonts w:ascii="Arial" w:cs="Arial" w:eastAsia="Arial" w:hAnsi="Arial"/>
          <w:sz w:val="18"/>
          <w:szCs w:val="18"/>
          <w:color w:val="auto"/>
        </w:rPr>
      </w:pPr>
    </w:p>
    <w:p>
      <w:pPr>
        <w:ind w:left="1540" w:right="200" w:hanging="331"/>
        <w:spacing w:after="0" w:line="342" w:lineRule="auto"/>
        <w:tabs>
          <w:tab w:leader="none" w:pos="1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24"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70" w:lineRule="exact"/>
        <w:rPr>
          <w:sz w:val="20"/>
          <w:szCs w:val="20"/>
          <w:color w:val="auto"/>
        </w:rPr>
      </w:pPr>
    </w:p>
    <w:p>
      <w:pPr>
        <w:ind w:left="560" w:right="220" w:firstLine="423"/>
        <w:spacing w:after="0" w:line="296" w:lineRule="auto"/>
        <w:rPr>
          <w:sz w:val="20"/>
          <w:szCs w:val="20"/>
          <w:color w:val="auto"/>
        </w:rPr>
      </w:pPr>
      <w:r>
        <w:rPr>
          <w:rFonts w:ascii="Arial" w:cs="Arial" w:eastAsia="Arial" w:hAnsi="Arial"/>
          <w:sz w:val="16"/>
          <w:szCs w:val="16"/>
          <w:b w:val="1"/>
          <w:bCs w:val="1"/>
          <w:i w:val="1"/>
          <w:iCs w:val="1"/>
          <w:u w:val="single" w:color="auto"/>
          <w:color w:val="auto"/>
        </w:rPr>
        <w:t>Covenants.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ABL Facility and the 2015 Term Loan Facility agreements contain covenants, including, among other things,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February 1, 2020, scheduled principal payments on our debt are as follows (amounts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1"/>
              </w:rPr>
              <w:t>Fiscal Year</w:t>
            </w: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18,250</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77" w:lineRule="auto"/>
        <w:rPr>
          <w:sz w:val="20"/>
          <w:szCs w:val="20"/>
          <w:color w:val="auto"/>
        </w:rPr>
      </w:pPr>
      <w:r>
        <w:rPr>
          <w:rFonts w:ascii="Arial" w:cs="Arial" w:eastAsia="Arial" w:hAnsi="Arial"/>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80" w:type="dxa"/>
            <w:vAlign w:val="bottom"/>
            <w:gridSpan w:val="2"/>
          </w:tcPr>
          <w:p>
            <w:pPr>
              <w:ind w:left="780"/>
              <w:spacing w:after="0"/>
              <w:rPr>
                <w:sz w:val="20"/>
                <w:szCs w:val="20"/>
                <w:color w:val="auto"/>
              </w:rPr>
            </w:pPr>
            <w:r>
              <w:rPr>
                <w:rFonts w:ascii="Arial" w:cs="Arial" w:eastAsia="Arial" w:hAnsi="Arial"/>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195"/>
        </w:trPr>
        <w:tc>
          <w:tcPr>
            <w:tcW w:w="262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 xml:space="preserve">$320,000 </w:t>
            </w:r>
            <w:r>
              <w:rPr>
                <w:rFonts w:ascii="Arial" w:cs="Arial" w:eastAsia="Arial" w:hAnsi="Arial"/>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3, 2021</w:t>
            </w:r>
          </w:p>
        </w:tc>
      </w:tr>
      <w:tr>
        <w:trPr>
          <w:trHeight w:val="216"/>
        </w:trPr>
        <w:tc>
          <w:tcPr>
            <w:tcW w:w="2620" w:type="dxa"/>
            <w:vAlign w:val="bottom"/>
          </w:tcPr>
          <w:p>
            <w:pPr>
              <w:ind w:left="98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November 1, 2016</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November 1, 2021</w:t>
            </w:r>
          </w:p>
        </w:tc>
      </w:tr>
      <w:tr>
        <w:trPr>
          <w:trHeight w:val="230"/>
        </w:trPr>
        <w:tc>
          <w:tcPr>
            <w:tcW w:w="2620" w:type="dxa"/>
            <w:vAlign w:val="bottom"/>
          </w:tcPr>
          <w:p>
            <w:pPr>
              <w:ind w:left="98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bl>
    <w:p>
      <w:pPr>
        <w:spacing w:after="0" w:line="229" w:lineRule="exact"/>
        <w:rPr>
          <w:sz w:val="20"/>
          <w:szCs w:val="20"/>
          <w:color w:val="auto"/>
        </w:rPr>
      </w:pPr>
    </w:p>
    <w:p>
      <w:pPr>
        <w:ind w:left="340" w:right="60" w:hanging="224"/>
        <w:spacing w:after="0" w:line="277" w:lineRule="auto"/>
        <w:tabs>
          <w:tab w:leader="none" w:pos="340" w:val="left"/>
        </w:tabs>
        <w:numPr>
          <w:ilvl w:val="0"/>
          <w:numId w:val="200"/>
        </w:numPr>
        <w:rPr>
          <w:rFonts w:ascii="Arial" w:cs="Arial" w:eastAsia="Arial" w:hAnsi="Arial"/>
          <w:sz w:val="15"/>
          <w:szCs w:val="15"/>
          <w:color w:val="auto"/>
        </w:rPr>
      </w:pPr>
      <w:r>
        <w:rPr>
          <w:rFonts w:ascii="Arial" w:cs="Arial" w:eastAsia="Arial" w:hAnsi="Arial"/>
          <w:sz w:val="18"/>
          <w:szCs w:val="18"/>
          <w:color w:val="auto"/>
        </w:rPr>
        <w:t>The initial $600,000 notional amount of the swap amortizes to $525,000, $430,000, $320,000 and $250,000 on September 3 of 2017, 2018, 2019 and 2020,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of the interest rate swaps is as follows (amounts in thousands) as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0" w:type="dxa"/>
            <w:vAlign w:val="bottom"/>
            <w:gridSpan w:val="4"/>
          </w:tcPr>
          <w:p>
            <w:pPr>
              <w:ind w:left="800"/>
              <w:spacing w:after="0"/>
              <w:rPr>
                <w:sz w:val="20"/>
                <w:szCs w:val="20"/>
                <w:color w:val="auto"/>
              </w:rPr>
            </w:pPr>
            <w:r>
              <w:rPr>
                <w:rFonts w:ascii="Arial" w:cs="Arial" w:eastAsia="Arial" w:hAnsi="Arial"/>
                <w:sz w:val="14"/>
                <w:szCs w:val="14"/>
                <w:b w:val="1"/>
                <w:bCs w:val="1"/>
                <w:color w:val="auto"/>
              </w:rPr>
              <w:t>February 1, 2020</w:t>
            </w:r>
          </w:p>
        </w:tc>
        <w:tc>
          <w:tcPr>
            <w:tcW w:w="1620" w:type="dxa"/>
            <w:vAlign w:val="bottom"/>
            <w:gridSpan w:val="4"/>
          </w:tcPr>
          <w:p>
            <w:pPr>
              <w:ind w:left="500"/>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155"/>
        </w:trPr>
        <w:tc>
          <w:tcPr>
            <w:tcW w:w="52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8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Amounts included in other current assets</w:t>
            </w:r>
          </w:p>
        </w:tc>
        <w:tc>
          <w:tcPr>
            <w:tcW w:w="11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Amounts included in other noncurrent assets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Amounts included in accrued expenses and other current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6,130</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liabilities</w:t>
            </w: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Amounts included in other long-term liabilities</w:t>
            </w:r>
          </w:p>
        </w:tc>
        <w:tc>
          <w:tcPr>
            <w:tcW w:w="8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swap net assets (liabilities)</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380" w:firstLine="423"/>
        <w:spacing w:after="0" w:line="286" w:lineRule="auto"/>
        <w:rPr>
          <w:sz w:val="20"/>
          <w:szCs w:val="20"/>
          <w:color w:val="auto"/>
        </w:rPr>
      </w:pPr>
      <w:r>
        <w:rPr>
          <w:rFonts w:ascii="Arial" w:cs="Arial" w:eastAsia="Arial" w:hAnsi="Arial"/>
          <w:sz w:val="17"/>
          <w:szCs w:val="17"/>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65"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interest expense is as follows (amounts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Fiscal Year Ended</w:t>
            </w: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198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Increase (decrease) to interest expense</w:t>
            </w:r>
          </w:p>
        </w:tc>
        <w:tc>
          <w:tcPr>
            <w:tcW w:w="10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(418)</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7,497</w:t>
            </w:r>
          </w:p>
        </w:tc>
        <w:tc>
          <w:tcPr>
            <w:tcW w:w="60" w:type="dxa"/>
            <w:vAlign w:val="bottom"/>
          </w:tcPr>
          <w:p>
            <w:pPr>
              <w:spacing w:after="0"/>
              <w:rPr>
                <w:sz w:val="20"/>
                <w:szCs w:val="20"/>
                <w:color w:val="auto"/>
              </w:rPr>
            </w:pPr>
          </w:p>
        </w:tc>
      </w:tr>
    </w:tbl>
    <w:p>
      <w:pPr>
        <w:spacing w:after="0" w:line="328" w:lineRule="exact"/>
        <w:rPr>
          <w:sz w:val="20"/>
          <w:szCs w:val="20"/>
          <w:color w:val="auto"/>
        </w:rPr>
      </w:pPr>
    </w:p>
    <w:p>
      <w:pPr>
        <w:ind w:left="540" w:hanging="424"/>
        <w:spacing w:after="0"/>
        <w:tabs>
          <w:tab w:leader="none" w:pos="5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560" w:right="220" w:firstLine="423"/>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measurements are classified as either:</w:t>
      </w:r>
    </w:p>
    <w:p>
      <w:pPr>
        <w:spacing w:after="0" w:line="131" w:lineRule="exact"/>
        <w:rPr>
          <w:sz w:val="20"/>
          <w:szCs w:val="20"/>
          <w:color w:val="auto"/>
        </w:rPr>
      </w:pPr>
    </w:p>
    <w:p>
      <w:pPr>
        <w:ind w:left="1540" w:right="60" w:hanging="331"/>
        <w:spacing w:after="0" w:line="277" w:lineRule="auto"/>
        <w:tabs>
          <w:tab w:leader="none" w:pos="1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540" w:right="180" w:hanging="331"/>
        <w:spacing w:after="0" w:line="263" w:lineRule="auto"/>
        <w:tabs>
          <w:tab w:leader="none" w:pos="1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9" w:lineRule="exact"/>
        <w:rPr>
          <w:rFonts w:ascii="Arial" w:cs="Arial" w:eastAsia="Arial" w:hAnsi="Arial"/>
          <w:sz w:val="18"/>
          <w:szCs w:val="18"/>
          <w:color w:val="auto"/>
        </w:rPr>
      </w:pPr>
    </w:p>
    <w:p>
      <w:pPr>
        <w:ind w:left="1540" w:right="280" w:hanging="331"/>
        <w:spacing w:after="0" w:line="277" w:lineRule="auto"/>
        <w:tabs>
          <w:tab w:leader="none" w:pos="1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Arial" w:cs="Arial" w:eastAsia="Arial" w:hAnsi="Arial"/>
                <w:sz w:val="14"/>
                <w:szCs w:val="14"/>
                <w:b w:val="1"/>
                <w:bCs w:val="1"/>
                <w:color w:val="auto"/>
                <w:w w:val="94"/>
              </w:rPr>
              <w:t>February 1, 2020</w:t>
            </w:r>
          </w:p>
        </w:tc>
        <w:tc>
          <w:tcPr>
            <w:tcW w:w="2060" w:type="dxa"/>
            <w:vAlign w:val="bottom"/>
            <w:gridSpan w:val="4"/>
          </w:tcPr>
          <w:p>
            <w:pPr>
              <w:ind w:left="940"/>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Level 2</w:t>
            </w:r>
          </w:p>
        </w:tc>
        <w:tc>
          <w:tcPr>
            <w:tcW w:w="132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Level 2</w:t>
            </w:r>
          </w:p>
        </w:tc>
        <w:tc>
          <w:tcPr>
            <w:tcW w:w="132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8,106</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0" w:right="60" w:firstLine="423"/>
        <w:spacing w:after="0" w:line="291" w:lineRule="auto"/>
        <w:rPr>
          <w:sz w:val="20"/>
          <w:szCs w:val="20"/>
          <w:color w:val="auto"/>
        </w:rPr>
      </w:pPr>
      <w:r>
        <w:rPr>
          <w:rFonts w:ascii="Arial" w:cs="Arial" w:eastAsia="Arial" w:hAnsi="Arial"/>
          <w:sz w:val="16"/>
          <w:szCs w:val="16"/>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Non-Financial Assets Measured on a Non-Recurring Basis</w:t>
      </w:r>
    </w:p>
    <w:p>
      <w:pPr>
        <w:spacing w:after="0" w:line="117" w:lineRule="exact"/>
        <w:rPr>
          <w:sz w:val="20"/>
          <w:szCs w:val="20"/>
          <w:color w:val="auto"/>
        </w:rPr>
      </w:pPr>
    </w:p>
    <w:p>
      <w:pPr>
        <w:ind w:left="560" w:right="140" w:firstLine="423"/>
        <w:spacing w:after="0" w:line="293" w:lineRule="auto"/>
        <w:rPr>
          <w:sz w:val="20"/>
          <w:szCs w:val="20"/>
          <w:color w:val="auto"/>
        </w:rPr>
      </w:pPr>
      <w:r>
        <w:rPr>
          <w:rFonts w:ascii="Arial" w:cs="Arial" w:eastAsia="Arial" w:hAnsi="Arial"/>
          <w:sz w:val="16"/>
          <w:szCs w:val="16"/>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560" w:right="120" w:firstLine="423"/>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84"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and equipment consists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February 2, 2019</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304,784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w:t>
            </w: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(763,836)</w:t>
            </w: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315" w:lineRule="exact"/>
        <w:rPr>
          <w:sz w:val="20"/>
          <w:szCs w:val="20"/>
          <w:color w:val="auto"/>
        </w:rPr>
      </w:pPr>
    </w:p>
    <w:p>
      <w:pPr>
        <w:ind w:left="540" w:hanging="424"/>
        <w:spacing w:after="0"/>
        <w:tabs>
          <w:tab w:leader="none" w:pos="5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Intangible assets consist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February 1, 2020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2019</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Favorable lease rights, net</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15,067</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577,000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577,000</w:t>
            </w:r>
          </w:p>
        </w:tc>
      </w:tr>
      <w:tr>
        <w:trPr>
          <w:trHeight w:val="27"/>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 and other intangible assets, net</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577,000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592,067</w:t>
            </w:r>
          </w:p>
        </w:tc>
      </w:tr>
      <w:tr>
        <w:trPr>
          <w:trHeight w:val="20"/>
        </w:trPr>
        <w:tc>
          <w:tcPr>
            <w:tcW w:w="4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20" w:firstLine="423"/>
        <w:spacing w:after="0" w:line="342" w:lineRule="auto"/>
        <w:rPr>
          <w:sz w:val="20"/>
          <w:szCs w:val="20"/>
          <w:color w:val="auto"/>
        </w:rPr>
      </w:pPr>
      <w:r>
        <w:rPr>
          <w:rFonts w:ascii="Arial" w:cs="Arial" w:eastAsia="Arial" w:hAnsi="Arial"/>
          <w:sz w:val="16"/>
          <w:szCs w:val="16"/>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24" w:lineRule="exact"/>
        <w:rPr>
          <w:sz w:val="20"/>
          <w:szCs w:val="20"/>
          <w:color w:val="auto"/>
        </w:rPr>
      </w:pPr>
    </w:p>
    <w:p>
      <w:pPr>
        <w:ind w:left="560" w:right="380" w:firstLine="423"/>
        <w:spacing w:after="0" w:line="277" w:lineRule="auto"/>
        <w:rPr>
          <w:sz w:val="20"/>
          <w:szCs w:val="20"/>
          <w:color w:val="auto"/>
        </w:rPr>
      </w:pPr>
      <w:r>
        <w:rPr>
          <w:rFonts w:ascii="Arial" w:cs="Arial" w:eastAsia="Arial" w:hAnsi="Arial"/>
          <w:sz w:val="18"/>
          <w:szCs w:val="18"/>
          <w:color w:val="auto"/>
        </w:rPr>
        <w:t>Amortization expense on favorable lease rights was $3.5 million in 2018 and 2017, respectively. Favorable lease rights are net of accumulated amortization of $25.0 million as of February 2, 2019.</w:t>
      </w:r>
    </w:p>
    <w:p>
      <w:pPr>
        <w:spacing w:after="0" w:line="315" w:lineRule="exact"/>
        <w:rPr>
          <w:sz w:val="20"/>
          <w:szCs w:val="20"/>
          <w:color w:val="auto"/>
        </w:rPr>
      </w:pPr>
    </w:p>
    <w:p>
      <w:pPr>
        <w:ind w:left="540" w:hanging="424"/>
        <w:spacing w:after="0"/>
        <w:tabs>
          <w:tab w:leader="none" w:pos="5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February 1, 2020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2019</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personnel costs</w:t>
            </w:r>
          </w:p>
        </w:tc>
        <w:tc>
          <w:tcPr>
            <w:tcW w:w="1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54,065</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interest</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7,835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3,574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use tax</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12,651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self-insurance</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14,107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14,632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16,919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Deferred revenue—gift cards and other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70,220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67,527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5,500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30,084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31,191</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Accrued expenses and other current liabilities</w:t>
            </w:r>
          </w:p>
        </w:tc>
        <w:tc>
          <w:tcPr>
            <w:tcW w:w="1940" w:type="dxa"/>
            <w:vAlign w:val="bottom"/>
            <w:gridSpan w:val="2"/>
            <w:shd w:val="clear" w:color="auto" w:fill="CCEEFF"/>
          </w:tcPr>
          <w:p>
            <w:pPr>
              <w:ind w:left="16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211,381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184,141</w:t>
            </w: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Arial" w:cs="Arial" w:eastAsia="Arial" w:hAnsi="Arial"/>
                <w:sz w:val="18"/>
                <w:szCs w:val="18"/>
                <w:color w:val="auto"/>
              </w:rPr>
              <w:t>F-23</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40"/>
          </w:cols>
          <w:pgMar w:left="320" w:top="459" w:right="9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had 228,274,749 Membership Units authorized, issued and outstanding as of February 1, 2020.</w:t>
      </w:r>
    </w:p>
    <w:p>
      <w:pPr>
        <w:spacing w:after="0" w:line="225" w:lineRule="exact"/>
        <w:rPr>
          <w:sz w:val="20"/>
          <w:szCs w:val="20"/>
          <w:color w:val="auto"/>
        </w:rPr>
      </w:pPr>
    </w:p>
    <w:p>
      <w:pPr>
        <w:jc w:val="both"/>
        <w:ind w:left="560" w:right="280" w:firstLine="423"/>
        <w:spacing w:after="0" w:line="311" w:lineRule="auto"/>
        <w:rPr>
          <w:sz w:val="20"/>
          <w:szCs w:val="20"/>
          <w:color w:val="auto"/>
        </w:rPr>
      </w:pPr>
      <w:r>
        <w:rPr>
          <w:rFonts w:ascii="Arial" w:cs="Arial" w:eastAsia="Arial" w:hAnsi="Arial"/>
          <w:sz w:val="16"/>
          <w:szCs w:val="16"/>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49" w:lineRule="exact"/>
        <w:rPr>
          <w:sz w:val="20"/>
          <w:szCs w:val="20"/>
          <w:color w:val="auto"/>
        </w:rPr>
      </w:pPr>
    </w:p>
    <w:p>
      <w:pPr>
        <w:ind w:left="560" w:right="100" w:firstLine="423"/>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84" w:lineRule="exact"/>
        <w:rPr>
          <w:sz w:val="20"/>
          <w:szCs w:val="20"/>
          <w:color w:val="auto"/>
        </w:rPr>
      </w:pPr>
    </w:p>
    <w:p>
      <w:pPr>
        <w:ind w:left="560" w:right="40" w:firstLine="423"/>
        <w:spacing w:after="0" w:line="301" w:lineRule="auto"/>
        <w:rPr>
          <w:sz w:val="20"/>
          <w:szCs w:val="20"/>
          <w:color w:val="auto"/>
        </w:rPr>
      </w:pPr>
      <w:r>
        <w:rPr>
          <w:rFonts w:ascii="Arial" w:cs="Arial" w:eastAsia="Arial" w:hAnsi="Arial"/>
          <w:sz w:val="16"/>
          <w:szCs w:val="16"/>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 Event Restricted Unit. In each case, vesting of the Company’s outstanding and unvested Unit Options and Restricted Units is contingent upon the holder’s continued service through the date of each applicable vesting event.</w:t>
      </w:r>
    </w:p>
    <w:p>
      <w:pPr>
        <w:spacing w:after="0" w:line="157" w:lineRule="exact"/>
        <w:rPr>
          <w:sz w:val="20"/>
          <w:szCs w:val="20"/>
          <w:color w:val="auto"/>
        </w:rPr>
      </w:pPr>
    </w:p>
    <w:p>
      <w:pPr>
        <w:jc w:val="both"/>
        <w:ind w:left="560" w:firstLine="423"/>
        <w:spacing w:after="0" w:line="263" w:lineRule="auto"/>
        <w:rPr>
          <w:sz w:val="20"/>
          <w:szCs w:val="20"/>
          <w:color w:val="auto"/>
        </w:rPr>
      </w:pPr>
      <w:r>
        <w:rPr>
          <w:rFonts w:ascii="Arial" w:cs="Arial" w:eastAsia="Arial" w:hAnsi="Arial"/>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84" w:lineRule="exact"/>
        <w:rPr>
          <w:sz w:val="20"/>
          <w:szCs w:val="20"/>
          <w:color w:val="auto"/>
        </w:rPr>
      </w:pPr>
    </w:p>
    <w:p>
      <w:pPr>
        <w:ind w:left="560" w:right="480" w:firstLine="423"/>
        <w:spacing w:after="0" w:line="277" w:lineRule="auto"/>
        <w:rPr>
          <w:sz w:val="20"/>
          <w:szCs w:val="20"/>
          <w:color w:val="auto"/>
        </w:rPr>
      </w:pPr>
      <w:r>
        <w:rPr>
          <w:rFonts w:ascii="Arial" w:cs="Arial" w:eastAsia="Arial" w:hAnsi="Arial"/>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70" w:lineRule="exact"/>
        <w:rPr>
          <w:sz w:val="20"/>
          <w:szCs w:val="20"/>
          <w:color w:val="auto"/>
        </w:rPr>
      </w:pPr>
    </w:p>
    <w:p>
      <w:pPr>
        <w:ind w:left="560" w:right="520" w:firstLine="423"/>
        <w:spacing w:after="0" w:line="263" w:lineRule="auto"/>
        <w:rPr>
          <w:sz w:val="20"/>
          <w:szCs w:val="20"/>
          <w:color w:val="auto"/>
        </w:rPr>
      </w:pPr>
      <w:r>
        <w:rPr>
          <w:rFonts w:ascii="Arial" w:cs="Arial" w:eastAsia="Arial" w:hAnsi="Arial"/>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84" w:lineRule="exact"/>
        <w:rPr>
          <w:sz w:val="20"/>
          <w:szCs w:val="20"/>
          <w:color w:val="auto"/>
        </w:rPr>
      </w:pPr>
    </w:p>
    <w:p>
      <w:pPr>
        <w:ind w:left="560" w:right="360" w:firstLine="423"/>
        <w:spacing w:after="0" w:line="263" w:lineRule="auto"/>
        <w:rPr>
          <w:sz w:val="20"/>
          <w:szCs w:val="20"/>
          <w:color w:val="auto"/>
        </w:rPr>
      </w:pPr>
      <w:r>
        <w:rPr>
          <w:rFonts w:ascii="Arial" w:cs="Arial" w:eastAsia="Arial" w:hAnsi="Arial"/>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 Option Fair Value Assumptions</w:t>
      </w:r>
    </w:p>
    <w:p>
      <w:pPr>
        <w:spacing w:after="0" w:line="117" w:lineRule="exact"/>
        <w:rPr>
          <w:sz w:val="20"/>
          <w:szCs w:val="20"/>
          <w:color w:val="auto"/>
        </w:rPr>
      </w:pPr>
    </w:p>
    <w:p>
      <w:pPr>
        <w:ind w:left="560" w:right="80" w:firstLine="423"/>
        <w:spacing w:after="0" w:line="293" w:lineRule="auto"/>
        <w:rPr>
          <w:sz w:val="20"/>
          <w:szCs w:val="20"/>
          <w:color w:val="auto"/>
        </w:rPr>
      </w:pPr>
      <w:r>
        <w:rPr>
          <w:rFonts w:ascii="Arial" w:cs="Arial" w:eastAsia="Arial" w:hAnsi="Arial"/>
          <w:sz w:val="16"/>
          <w:szCs w:val="16"/>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The following table presents the assumptions and grant date fair values for Service Options and Performance Options granted in 2019, 2018 and 2017:</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February 1, 2020</w:t>
            </w:r>
          </w:p>
        </w:tc>
        <w:tc>
          <w:tcPr>
            <w:tcW w:w="17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6.2</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52%</w:t>
            </w:r>
          </w:p>
        </w:tc>
        <w:tc>
          <w:tcPr>
            <w:tcW w:w="3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50% to 55%</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52% to 57%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52.0%</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54.1%</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1.4% to 2.5%</w:t>
            </w: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2.6% to 2.9%</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1.8% to 2.2%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8"/>
              </w:rPr>
              <w:t>Weighted-average grant date fair value—Service Options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$2.75</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$2.85</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$3.10</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grant date fair value—Performance</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$2.74</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3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$2.84</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 Option Activity</w:t>
      </w:r>
    </w:p>
    <w:p>
      <w:pPr>
        <w:spacing w:after="0" w:line="117" w:lineRule="exact"/>
        <w:rPr>
          <w:sz w:val="20"/>
          <w:szCs w:val="20"/>
          <w:color w:val="auto"/>
        </w:rPr>
      </w:pPr>
    </w:p>
    <w:p>
      <w:pPr>
        <w:jc w:val="both"/>
        <w:ind w:left="560" w:right="40" w:firstLine="423"/>
        <w:spacing w:after="0" w:line="263" w:lineRule="auto"/>
        <w:rPr>
          <w:sz w:val="20"/>
          <w:szCs w:val="20"/>
          <w:color w:val="auto"/>
        </w:rPr>
      </w:pPr>
      <w:r>
        <w:rPr>
          <w:rFonts w:ascii="Arial" w:cs="Arial" w:eastAsia="Arial" w:hAnsi="Arial"/>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84"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9" w:right="5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 Option activity is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Unit Options</w:t>
      </w:r>
      <w:r>
        <w:rPr>
          <w:rFonts w:ascii="Arial" w:cs="Arial" w:eastAsia="Arial" w:hAnsi="Arial"/>
          <w:sz w:val="15"/>
          <w:szCs w:val="15"/>
          <w:b w:val="1"/>
          <w:bCs w:val="1"/>
          <w:i w:val="1"/>
          <w:iCs w:val="1"/>
          <w:color w:val="auto"/>
        </w:rPr>
        <w:t>(1)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Unit</w:t>
            </w: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Life (in</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12,049,440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3.66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30,857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4,126,204</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(533,211)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5.83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(1,301,531)</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6.00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14,340,902</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4.02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18,415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9,654,571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(5,898,381)</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5.99</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(2,486,813)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15,610,279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3.82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33,157</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4,365,143</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(601,974)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4.60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(1,133,977)</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 xml:space="preserve">Outstanding as of February 1, 2020 </w:t>
            </w:r>
            <w:r>
              <w:rPr>
                <w:rFonts w:ascii="Arial" w:cs="Arial" w:eastAsia="Arial" w:hAnsi="Arial"/>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18,239,471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4.05</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28,855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3"/>
              </w:rPr>
              <w:t>11,225,459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3.29</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26,584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380" w:hanging="224"/>
        <w:spacing w:after="0" w:line="258" w:lineRule="auto"/>
        <w:tabs>
          <w:tab w:leader="none" w:pos="34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The fair value of a membership unit as of each period end was $6.07, $4.40, $5.91, $5.59, for the fiscal years ended 2016, 2017, 2018, and 2019, respectively.</w:t>
      </w:r>
    </w:p>
    <w:p>
      <w:pPr>
        <w:spacing w:after="0" w:line="1" w:lineRule="exact"/>
        <w:rPr>
          <w:rFonts w:ascii="Arial" w:cs="Arial" w:eastAsia="Arial" w:hAnsi="Arial"/>
          <w:sz w:val="15"/>
          <w:szCs w:val="15"/>
          <w:color w:val="auto"/>
        </w:rPr>
      </w:pPr>
    </w:p>
    <w:p>
      <w:pPr>
        <w:ind w:left="340" w:right="160" w:hanging="224"/>
        <w:spacing w:after="0" w:line="260" w:lineRule="auto"/>
        <w:tabs>
          <w:tab w:leader="none" w:pos="34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The Company has elected to recognize forfeitures as they occur. Therefore, the number of awards vested and expected to vest is equal to the awards outstanding.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Unit Options</w:t>
      </w:r>
      <w:r>
        <w:rPr>
          <w:rFonts w:ascii="Arial" w:cs="Arial" w:eastAsia="Arial" w:hAnsi="Arial"/>
          <w:sz w:val="15"/>
          <w:szCs w:val="15"/>
          <w:b w:val="1"/>
          <w:bCs w:val="1"/>
          <w:i w:val="1"/>
          <w:iCs w:val="1"/>
          <w:color w:val="auto"/>
        </w:rPr>
        <w:t>(1)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Unit</w:t>
            </w: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Life (in</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9,959,420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3.14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31,031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1,232,128</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5.95</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(436,759)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5.71</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(852,432)</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6.48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9,902,357</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18,658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3,272,337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(2,258,138)</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5.86</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(1,231,868)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9,684,688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29,960</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1,335,436</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(228,718)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(563,830)</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 xml:space="preserve">Outstanding as of February 1, 2020 </w:t>
            </w:r>
            <w:r>
              <w:rPr>
                <w:rFonts w:ascii="Arial" w:cs="Arial" w:eastAsia="Arial" w:hAnsi="Arial"/>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10,227,576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3.02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26,838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7,760,964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2.31</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26,061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380" w:hanging="224"/>
        <w:spacing w:after="0" w:line="258" w:lineRule="auto"/>
        <w:tabs>
          <w:tab w:leader="none" w:pos="340" w:val="left"/>
        </w:tabs>
        <w:numPr>
          <w:ilvl w:val="0"/>
          <w:numId w:val="208"/>
        </w:numPr>
        <w:rPr>
          <w:rFonts w:ascii="Arial" w:cs="Arial" w:eastAsia="Arial" w:hAnsi="Arial"/>
          <w:sz w:val="15"/>
          <w:szCs w:val="15"/>
          <w:color w:val="auto"/>
        </w:rPr>
      </w:pPr>
      <w:r>
        <w:rPr>
          <w:rFonts w:ascii="Arial" w:cs="Arial" w:eastAsia="Arial" w:hAnsi="Arial"/>
          <w:sz w:val="18"/>
          <w:szCs w:val="18"/>
          <w:color w:val="auto"/>
        </w:rPr>
        <w:t>The fair value of a membership unit as of each period end was $6.07, $4.40, $5.91, $5.59, for the fiscal years ended 2016, 2017, 2018, and 2019, respectively.</w:t>
      </w:r>
    </w:p>
    <w:p>
      <w:pPr>
        <w:spacing w:after="0" w:line="1" w:lineRule="exact"/>
        <w:rPr>
          <w:rFonts w:ascii="Arial" w:cs="Arial" w:eastAsia="Arial" w:hAnsi="Arial"/>
          <w:sz w:val="15"/>
          <w:szCs w:val="15"/>
          <w:color w:val="auto"/>
        </w:rPr>
      </w:pPr>
    </w:p>
    <w:p>
      <w:pPr>
        <w:ind w:left="340" w:right="160" w:hanging="224"/>
        <w:spacing w:after="0" w:line="260" w:lineRule="auto"/>
        <w:tabs>
          <w:tab w:leader="none" w:pos="340" w:val="left"/>
        </w:tabs>
        <w:numPr>
          <w:ilvl w:val="0"/>
          <w:numId w:val="208"/>
        </w:numPr>
        <w:rPr>
          <w:rFonts w:ascii="Arial" w:cs="Arial" w:eastAsia="Arial" w:hAnsi="Arial"/>
          <w:sz w:val="15"/>
          <w:szCs w:val="15"/>
          <w:color w:val="auto"/>
        </w:rPr>
      </w:pPr>
      <w:r>
        <w:rPr>
          <w:rFonts w:ascii="Arial" w:cs="Arial" w:eastAsia="Arial" w:hAnsi="Arial"/>
          <w:sz w:val="18"/>
          <w:szCs w:val="18"/>
          <w:color w:val="auto"/>
        </w:rPr>
        <w:t>The Company has elected to recognize forfeitures as they occur. Therefore, the number of awards vested and expected to vest is equal to the awards outstanding.</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Unit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Unit activity is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Restricted Units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Average Grant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Value Per Unit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as of January 28, 2017</w:t>
            </w:r>
          </w:p>
        </w:tc>
        <w:tc>
          <w:tcPr>
            <w:tcW w:w="2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1,374,348</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tcPr>
          <w:p>
            <w:pPr>
              <w:jc w:val="right"/>
              <w:ind w:right="820"/>
              <w:spacing w:after="0"/>
              <w:rPr>
                <w:sz w:val="20"/>
                <w:szCs w:val="20"/>
                <w:color w:val="auto"/>
              </w:rPr>
            </w:pPr>
            <w:r>
              <w:rPr>
                <w:rFonts w:ascii="Arial" w:cs="Arial" w:eastAsia="Arial" w:hAnsi="Arial"/>
                <w:sz w:val="18"/>
                <w:szCs w:val="18"/>
                <w:color w:val="auto"/>
              </w:rPr>
              <w:t>29,022</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3, 2018</w:t>
            </w:r>
          </w:p>
        </w:tc>
        <w:tc>
          <w:tcPr>
            <w:tcW w:w="2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1,395,132</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2,769,316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tcPr>
          <w:p>
            <w:pPr>
              <w:jc w:val="right"/>
              <w:ind w:right="760"/>
              <w:spacing w:after="0"/>
              <w:rPr>
                <w:sz w:val="20"/>
                <w:szCs w:val="20"/>
                <w:color w:val="auto"/>
              </w:rPr>
            </w:pPr>
            <w:r>
              <w:rPr>
                <w:rFonts w:ascii="Arial" w:cs="Arial" w:eastAsia="Arial" w:hAnsi="Arial"/>
                <w:sz w:val="18"/>
                <w:szCs w:val="18"/>
                <w:color w:val="auto"/>
              </w:rPr>
              <w:t>(34,704)</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(782,295)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2, 2019</w:t>
            </w:r>
          </w:p>
        </w:tc>
        <w:tc>
          <w:tcPr>
            <w:tcW w:w="2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3,347,449</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180,610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(57,363)</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(141,510)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1, 2020</w:t>
            </w:r>
          </w:p>
        </w:tc>
        <w:tc>
          <w:tcPr>
            <w:tcW w:w="2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3,329,186</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4080" w:type="dxa"/>
            <w:vAlign w:val="bottom"/>
            <w:gridSpan w:val="3"/>
          </w:tcPr>
          <w:p>
            <w:pPr>
              <w:jc w:val="right"/>
              <w:ind w:right="3040"/>
              <w:spacing w:after="0"/>
              <w:rPr>
                <w:sz w:val="20"/>
                <w:szCs w:val="20"/>
                <w:color w:val="auto"/>
              </w:rPr>
            </w:pPr>
            <w:r>
              <w:rPr>
                <w:rFonts w:ascii="Arial" w:cs="Arial" w:eastAsia="Arial" w:hAnsi="Arial"/>
                <w:sz w:val="18"/>
                <w:szCs w:val="18"/>
                <w:color w:val="auto"/>
              </w:rPr>
              <w:t>F-27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firstLine="423"/>
        <w:spacing w:after="0" w:line="257" w:lineRule="auto"/>
        <w:rPr>
          <w:sz w:val="20"/>
          <w:szCs w:val="20"/>
          <w:color w:val="auto"/>
        </w:rPr>
      </w:pPr>
      <w:r>
        <w:rPr>
          <w:rFonts w:ascii="Arial" w:cs="Arial" w:eastAsia="Arial" w:hAnsi="Arial"/>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per unit.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8" w:lineRule="exact"/>
        <w:rPr>
          <w:sz w:val="20"/>
          <w:szCs w:val="20"/>
          <w:color w:val="auto"/>
        </w:rPr>
      </w:pPr>
    </w:p>
    <w:p>
      <w:pPr>
        <w:ind w:left="560" w:right="80" w:firstLine="423"/>
        <w:spacing w:after="0" w:line="269" w:lineRule="auto"/>
        <w:rPr>
          <w:sz w:val="20"/>
          <w:szCs w:val="20"/>
          <w:color w:val="auto"/>
        </w:rPr>
      </w:pPr>
      <w:r>
        <w:rPr>
          <w:rFonts w:ascii="Arial" w:cs="Arial" w:eastAsia="Arial" w:hAnsi="Arial"/>
          <w:sz w:val="17"/>
          <w:szCs w:val="17"/>
          <w:color w:val="auto"/>
        </w:rPr>
        <w:t>As of February 1, 2020, there are 3,291,162 Holdco Membership Units that are subject to outstanding and unvested Liquidity Event Restricted Units with a weighted average grant date fair value of $5.51 per unit.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If the performance objective of the Liquidity Event Restricted Units had been met as the result of the Company completing an initial public offering on February 1, 2020, we would have expensed approximately $10.2 million of stock compensation expense associated with the vesting of the Liquidity Event Restricted Units achieved as of such date.</w:t>
      </w:r>
    </w:p>
    <w:p>
      <w:pPr>
        <w:spacing w:after="0" w:line="330"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Unit</w:t>
      </w:r>
    </w:p>
    <w:p>
      <w:pPr>
        <w:spacing w:after="0" w:line="121" w:lineRule="exact"/>
        <w:rPr>
          <w:sz w:val="20"/>
          <w:szCs w:val="20"/>
          <w:color w:val="auto"/>
        </w:rPr>
      </w:pPr>
    </w:p>
    <w:p>
      <w:pPr>
        <w:ind w:left="560" w:right="60" w:firstLine="423"/>
        <w:spacing w:after="0" w:line="255" w:lineRule="auto"/>
        <w:rPr>
          <w:sz w:val="20"/>
          <w:szCs w:val="20"/>
          <w:color w:val="auto"/>
        </w:rPr>
      </w:pPr>
      <w:r>
        <w:rPr>
          <w:rFonts w:ascii="Arial" w:cs="Arial" w:eastAsia="Arial" w:hAnsi="Arial"/>
          <w:sz w:val="18"/>
          <w:szCs w:val="18"/>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Basic and dilutive units outstanding are calculated as follows (dollar amounts in thousands except per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February 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9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120,043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Weighed average units outstanding - basic</w:t>
            </w: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228,303,750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228,160,508</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Restricted Units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35,376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51,417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Dilutive effect of Service Options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2,886,601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4,036,699</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4,062,335</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Dilutive effect of Performance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4,383,391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4,625,349</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4,780,630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Weighed average units outstanding - diluted</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235,609,118</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236,873,973</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 - basic</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0.53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Earnings per unit - diluted</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6"/>
              </w:rPr>
              <w:t>Anti-dilutive stock-based awards excluded form diluted calculation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1,833,855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7,485,706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10,150,627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1520" w:type="dxa"/>
            <w:vAlign w:val="bottom"/>
            <w:gridSpan w:val="2"/>
          </w:tcPr>
          <w:p>
            <w:pPr>
              <w:jc w:val="right"/>
              <w:ind w:right="830"/>
              <w:spacing w:after="0"/>
              <w:rPr>
                <w:sz w:val="20"/>
                <w:szCs w:val="20"/>
                <w:color w:val="auto"/>
              </w:rPr>
            </w:pPr>
            <w:r>
              <w:rPr>
                <w:rFonts w:ascii="Arial" w:cs="Arial" w:eastAsia="Arial" w:hAnsi="Arial"/>
                <w:sz w:val="18"/>
                <w:szCs w:val="18"/>
                <w:color w:val="auto"/>
              </w:rPr>
              <w:t>F-28</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income tax provision consists of the following (amounts in thousands)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756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80" w:type="dxa"/>
            <w:vAlign w:val="bottom"/>
          </w:tcPr>
          <w:p>
            <w:pPr>
              <w:spacing w:after="0"/>
              <w:rPr>
                <w:sz w:val="10"/>
                <w:szCs w:val="10"/>
                <w:color w:val="auto"/>
              </w:rPr>
            </w:pPr>
          </w:p>
        </w:tc>
        <w:tc>
          <w:tcPr>
            <w:tcW w:w="132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February 2,</w:t>
            </w: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60" w:type="dxa"/>
            <w:vAlign w:val="bottom"/>
          </w:tcPr>
          <w:p>
            <w:pPr>
              <w:spacing w:after="0"/>
              <w:rPr>
                <w:sz w:val="10"/>
                <w:szCs w:val="10"/>
                <w:color w:val="auto"/>
              </w:rPr>
            </w:pPr>
          </w:p>
        </w:tc>
      </w:tr>
      <w:tr>
        <w:trPr>
          <w:trHeight w:val="171"/>
        </w:trPr>
        <w:tc>
          <w:tcPr>
            <w:tcW w:w="7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2019</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expense: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2,501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2,580</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7"/>
        </w:trPr>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2,634</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Deferred expense (benefit):</w:t>
            </w: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U.S. State</w:t>
            </w:r>
          </w:p>
        </w:tc>
        <w:tc>
          <w:tcPr>
            <w:tcW w:w="16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318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expense (benefit)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6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color w:val="auto"/>
        </w:rPr>
        <w:t>The provision for income taxes differs from the amounts computed by applying the federal statutory rate (dollar amounts in thousands)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9"/>
              </w:rPr>
              <w:t>Fiscal Year Ended</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0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122,860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23,393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61,282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Tax at federal statutory rate (21% for 2019, 21% for 2018 and 33.8% for 2017)</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25,801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20,731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in tax expense resulting from:</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State income tax</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1,898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Foreign tax</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Effect of rates due to pass through entities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(25,801)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(20,731)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2,817</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84" w:lineRule="exact"/>
        <w:rPr>
          <w:sz w:val="20"/>
          <w:szCs w:val="20"/>
          <w:color w:val="auto"/>
        </w:rPr>
      </w:pPr>
    </w:p>
    <w:p>
      <w:pPr>
        <w:ind w:left="560" w:right="160" w:firstLine="423"/>
        <w:spacing w:after="0" w:line="263" w:lineRule="auto"/>
        <w:rPr>
          <w:sz w:val="20"/>
          <w:szCs w:val="20"/>
          <w:color w:val="auto"/>
        </w:rPr>
      </w:pPr>
      <w:r>
        <w:rPr>
          <w:rFonts w:ascii="Arial" w:cs="Arial" w:eastAsia="Arial" w:hAnsi="Arial"/>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components that give rise to significant portions of the net deferred tax assets and liabilities are presented below (amounts in thousands)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3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r>
      <w:tr>
        <w:trPr>
          <w:trHeight w:val="171"/>
        </w:trPr>
        <w:tc>
          <w:tcPr>
            <w:tcW w:w="20" w:type="dxa"/>
            <w:vAlign w:val="bottom"/>
          </w:tcPr>
          <w:p>
            <w:pPr>
              <w:spacing w:after="0"/>
              <w:rPr>
                <w:sz w:val="14"/>
                <w:szCs w:val="14"/>
                <w:color w:val="auto"/>
              </w:rPr>
            </w:pPr>
          </w:p>
        </w:tc>
        <w:tc>
          <w:tcPr>
            <w:tcW w:w="7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Tax credits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2,749</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2,741</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Intangibles and depreciation</w:t>
            </w: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and 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60" w:right="160" w:firstLine="423"/>
        <w:spacing w:after="0" w:line="263" w:lineRule="auto"/>
        <w:rPr>
          <w:sz w:val="20"/>
          <w:szCs w:val="20"/>
          <w:color w:val="auto"/>
        </w:rPr>
      </w:pPr>
      <w:r>
        <w:rPr>
          <w:rFonts w:ascii="Arial" w:cs="Arial" w:eastAsia="Arial" w:hAnsi="Arial"/>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84"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328" w:lineRule="exact"/>
        <w:rPr>
          <w:sz w:val="20"/>
          <w:szCs w:val="20"/>
          <w:color w:val="auto"/>
        </w:rPr>
      </w:pPr>
    </w:p>
    <w:p>
      <w:pPr>
        <w:ind w:left="560" w:right="8480" w:hanging="444"/>
        <w:spacing w:after="0" w:line="425" w:lineRule="auto"/>
        <w:tabs>
          <w:tab w:leader="none" w:pos="552"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Monitoring Agreement</w:t>
      </w:r>
    </w:p>
    <w:p>
      <w:pPr>
        <w:ind w:left="560" w:right="20" w:firstLine="423"/>
        <w:spacing w:after="0" w:line="270" w:lineRule="auto"/>
        <w:rPr>
          <w:sz w:val="20"/>
          <w:szCs w:val="20"/>
          <w:color w:val="auto"/>
        </w:rPr>
      </w:pPr>
      <w:r>
        <w:rPr>
          <w:rFonts w:ascii="Arial" w:cs="Arial" w:eastAsia="Arial" w:hAnsi="Arial"/>
          <w:sz w:val="17"/>
          <w:szCs w:val="17"/>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181" w:lineRule="exact"/>
        <w:rPr>
          <w:sz w:val="20"/>
          <w:szCs w:val="20"/>
          <w:color w:val="auto"/>
        </w:rPr>
      </w:pPr>
    </w:p>
    <w:p>
      <w:pPr>
        <w:ind w:left="560" w:right="140" w:firstLine="423"/>
        <w:spacing w:after="0" w:line="293" w:lineRule="auto"/>
        <w:rPr>
          <w:sz w:val="20"/>
          <w:szCs w:val="20"/>
          <w:color w:val="auto"/>
        </w:rPr>
      </w:pPr>
      <w:r>
        <w:rPr>
          <w:rFonts w:ascii="Arial" w:cs="Arial" w:eastAsia="Arial" w:hAnsi="Arial"/>
          <w:sz w:val="16"/>
          <w:szCs w:val="16"/>
          <w:color w:val="auto"/>
        </w:rPr>
        <w:t>The Monitoring Agreement terminates automatically upon the consummation of an initial public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If an initial public offering was consummated and the Monitoring Agreement was terminated on February 1, 2020, we would have owed approximately $14.2 million of termination fees to the Adviser. Pursuant to a separate agreement, the Adviser would be expected to share a portion of any such termination fee with certain investors who are family descendants of our founder, Max Gochman, or Gochman Investors.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Transaction and Other Fee Arrangements</w:t>
      </w:r>
    </w:p>
    <w:p>
      <w:pPr>
        <w:spacing w:after="0" w:line="117" w:lineRule="exact"/>
        <w:rPr>
          <w:sz w:val="20"/>
          <w:szCs w:val="20"/>
          <w:color w:val="auto"/>
        </w:rPr>
      </w:pPr>
    </w:p>
    <w:p>
      <w:pPr>
        <w:ind w:left="560" w:right="80" w:firstLine="423"/>
        <w:spacing w:after="0" w:line="279" w:lineRule="auto"/>
        <w:rPr>
          <w:sz w:val="20"/>
          <w:szCs w:val="20"/>
          <w:color w:val="auto"/>
        </w:rPr>
      </w:pPr>
      <w:r>
        <w:rPr>
          <w:rFonts w:ascii="Arial" w:cs="Arial" w:eastAsia="Arial" w:hAnsi="Arial"/>
          <w:sz w:val="17"/>
          <w:szCs w:val="17"/>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560" w:right="40" w:firstLine="423"/>
        <w:spacing w:after="0" w:line="308" w:lineRule="auto"/>
        <w:rPr>
          <w:sz w:val="20"/>
          <w:szCs w:val="20"/>
          <w:color w:val="auto"/>
        </w:rPr>
      </w:pPr>
      <w:r>
        <w:rPr>
          <w:rFonts w:ascii="Arial" w:cs="Arial" w:eastAsia="Arial" w:hAnsi="Arial"/>
          <w:sz w:val="17"/>
          <w:szCs w:val="17"/>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Purchases</w:t>
      </w:r>
    </w:p>
    <w:p>
      <w:pPr>
        <w:spacing w:after="0" w:line="117" w:lineRule="exact"/>
        <w:rPr>
          <w:sz w:val="20"/>
          <w:szCs w:val="20"/>
          <w:color w:val="auto"/>
        </w:rPr>
      </w:pPr>
    </w:p>
    <w:p>
      <w:pPr>
        <w:ind w:left="560" w:right="260" w:firstLine="423"/>
        <w:spacing w:after="0" w:line="279" w:lineRule="auto"/>
        <w:rPr>
          <w:sz w:val="20"/>
          <w:szCs w:val="20"/>
          <w:color w:val="auto"/>
        </w:rPr>
      </w:pPr>
      <w:r>
        <w:rPr>
          <w:rFonts w:ascii="Arial" w:cs="Arial" w:eastAsia="Arial" w:hAnsi="Arial"/>
          <w:sz w:val="17"/>
          <w:szCs w:val="17"/>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71" w:lineRule="exact"/>
        <w:rPr>
          <w:sz w:val="20"/>
          <w:szCs w:val="20"/>
          <w:color w:val="auto"/>
        </w:rPr>
      </w:pPr>
    </w:p>
    <w:p>
      <w:pPr>
        <w:jc w:val="both"/>
        <w:ind w:left="560" w:firstLine="423"/>
        <w:spacing w:after="0" w:line="311" w:lineRule="auto"/>
        <w:rPr>
          <w:sz w:val="20"/>
          <w:szCs w:val="20"/>
          <w:color w:val="auto"/>
        </w:rPr>
      </w:pPr>
      <w:r>
        <w:rPr>
          <w:rFonts w:ascii="Arial" w:cs="Arial" w:eastAsia="Arial" w:hAnsi="Arial"/>
          <w:sz w:val="16"/>
          <w:szCs w:val="16"/>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Note Receivable from Member</w:t>
      </w:r>
    </w:p>
    <w:p>
      <w:pPr>
        <w:spacing w:after="0" w:line="117" w:lineRule="exact"/>
        <w:rPr>
          <w:sz w:val="20"/>
          <w:szCs w:val="20"/>
          <w:color w:val="auto"/>
        </w:rPr>
      </w:pPr>
    </w:p>
    <w:p>
      <w:pPr>
        <w:ind w:left="560" w:right="100" w:firstLine="423"/>
        <w:spacing w:after="0" w:line="255" w:lineRule="auto"/>
        <w:rPr>
          <w:sz w:val="20"/>
          <w:szCs w:val="20"/>
          <w:color w:val="auto"/>
        </w:rPr>
      </w:pPr>
      <w:r>
        <w:rPr>
          <w:rFonts w:ascii="Arial" w:cs="Arial" w:eastAsia="Arial" w:hAnsi="Arial"/>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7"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twelve months or less in duration.</w:t>
      </w:r>
    </w:p>
    <w:p>
      <w:pPr>
        <w:spacing w:after="0" w:line="188" w:lineRule="exact"/>
        <w:rPr>
          <w:sz w:val="20"/>
          <w:szCs w:val="20"/>
          <w:color w:val="auto"/>
        </w:rPr>
      </w:pPr>
    </w:p>
    <w:p>
      <w:pPr>
        <w:ind w:left="560" w:right="20" w:firstLine="423"/>
        <w:spacing w:after="0" w:line="311" w:lineRule="auto"/>
        <w:rPr>
          <w:sz w:val="20"/>
          <w:szCs w:val="20"/>
          <w:color w:val="auto"/>
        </w:rPr>
      </w:pPr>
      <w:r>
        <w:rPr>
          <w:rFonts w:ascii="Arial" w:cs="Arial" w:eastAsia="Arial" w:hAnsi="Arial"/>
          <w:sz w:val="16"/>
          <w:szCs w:val="16"/>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twelve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92" w:lineRule="exact"/>
        <w:rPr>
          <w:sz w:val="20"/>
          <w:szCs w:val="20"/>
          <w:color w:val="auto"/>
        </w:rPr>
      </w:pPr>
    </w:p>
    <w:p>
      <w:pPr>
        <w:ind w:left="560" w:right="700" w:firstLine="423"/>
        <w:spacing w:after="0" w:line="277" w:lineRule="auto"/>
        <w:rPr>
          <w:sz w:val="20"/>
          <w:szCs w:val="20"/>
          <w:color w:val="auto"/>
        </w:rPr>
      </w:pPr>
      <w:r>
        <w:rPr>
          <w:rFonts w:ascii="Arial" w:cs="Arial" w:eastAsia="Arial" w:hAnsi="Arial"/>
          <w:sz w:val="18"/>
          <w:szCs w:val="18"/>
          <w:color w:val="auto"/>
        </w:rPr>
        <w:t>The following table reflects the balance sheet impact of the implementation of the New Lease Standard upon adoption (amounts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Adoption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700" w:type="dxa"/>
            <w:vAlign w:val="bottom"/>
            <w:gridSpan w:val="3"/>
          </w:tcPr>
          <w:p>
            <w:pPr>
              <w:ind w:left="960"/>
              <w:spacing w:after="0" w:line="149" w:lineRule="exact"/>
              <w:rPr>
                <w:sz w:val="20"/>
                <w:szCs w:val="20"/>
                <w:color w:val="auto"/>
              </w:rPr>
            </w:pPr>
            <w:r>
              <w:rPr>
                <w:rFonts w:ascii="Arial" w:cs="Arial" w:eastAsia="Arial" w:hAnsi="Arial"/>
                <w:sz w:val="14"/>
                <w:szCs w:val="14"/>
                <w:b w:val="1"/>
                <w:bCs w:val="1"/>
                <w:color w:val="auto"/>
                <w:w w:val="95"/>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Impact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Prepaid expenses and other current assets </w:t>
            </w:r>
            <w:r>
              <w:rPr>
                <w:rFonts w:ascii="Arial" w:cs="Arial" w:eastAsia="Arial" w:hAnsi="Arial"/>
                <w:sz w:val="15"/>
                <w:szCs w:val="15"/>
                <w:color w:val="auto"/>
              </w:rPr>
              <w:t>(1)</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39,937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(15,778)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Trade name and other intangible assets, net </w:t>
            </w:r>
            <w:r>
              <w:rPr>
                <w:rFonts w:ascii="Arial" w:cs="Arial" w:eastAsia="Arial" w:hAnsi="Arial"/>
                <w:sz w:val="15"/>
                <w:szCs w:val="15"/>
                <w:color w:val="auto"/>
              </w:rPr>
              <w:t>(1)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5"/>
                <w:szCs w:val="15"/>
                <w:color w:val="auto"/>
              </w:rPr>
              <w:t>(1)(2)</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b w:val="1"/>
                <w:bCs w:val="1"/>
                <w:color w:val="auto"/>
              </w:rPr>
              <w:t>Liabilities and Partners’ Equity:</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lease liabilities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Long-term lease 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1,154,697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(1) (2)</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15"/>
                <w:szCs w:val="15"/>
                <w:color w:val="auto"/>
              </w:rPr>
              <w:t>(2)</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553,282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558,357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right="320" w:hanging="224"/>
        <w:spacing w:after="0" w:line="291" w:lineRule="auto"/>
        <w:tabs>
          <w:tab w:leader="none" w:pos="340" w:val="left"/>
        </w:tabs>
        <w:numPr>
          <w:ilvl w:val="0"/>
          <w:numId w:val="213"/>
        </w:numPr>
        <w:rPr>
          <w:rFonts w:ascii="Arial" w:cs="Arial" w:eastAsia="Arial" w:hAnsi="Arial"/>
          <w:sz w:val="13"/>
          <w:szCs w:val="13"/>
          <w:color w:val="auto"/>
        </w:rPr>
      </w:pPr>
      <w:r>
        <w:rPr>
          <w:rFonts w:ascii="Arial" w:cs="Arial" w:eastAsia="Arial" w:hAnsi="Arial"/>
          <w:sz w:val="16"/>
          <w:szCs w:val="16"/>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ind w:left="340" w:right="400" w:hanging="224"/>
        <w:spacing w:after="0" w:line="260" w:lineRule="auto"/>
        <w:tabs>
          <w:tab w:leader="none" w:pos="340" w:val="left"/>
        </w:tabs>
        <w:numPr>
          <w:ilvl w:val="0"/>
          <w:numId w:val="213"/>
        </w:numPr>
        <w:rPr>
          <w:rFonts w:ascii="Arial" w:cs="Arial" w:eastAsia="Arial" w:hAnsi="Arial"/>
          <w:sz w:val="15"/>
          <w:szCs w:val="15"/>
          <w:color w:val="auto"/>
        </w:rPr>
      </w:pPr>
      <w:r>
        <w:rPr>
          <w:rFonts w:ascii="Arial" w:cs="Arial" w:eastAsia="Arial" w:hAnsi="Arial"/>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85" w:lineRule="exact"/>
        <w:rPr>
          <w:sz w:val="20"/>
          <w:szCs w:val="20"/>
          <w:color w:val="auto"/>
        </w:rPr>
      </w:pPr>
    </w:p>
    <w:p>
      <w:pPr>
        <w:ind w:left="560" w:right="540" w:firstLine="423"/>
        <w:spacing w:after="0" w:line="342" w:lineRule="auto"/>
        <w:rPr>
          <w:sz w:val="20"/>
          <w:szCs w:val="20"/>
          <w:color w:val="auto"/>
        </w:rPr>
      </w:pPr>
      <w:r>
        <w:rPr>
          <w:rFonts w:ascii="Arial" w:cs="Arial" w:eastAsia="Arial" w:hAnsi="Arial"/>
          <w:sz w:val="16"/>
          <w:szCs w:val="16"/>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24" w:lineRule="exact"/>
        <w:rPr>
          <w:sz w:val="20"/>
          <w:szCs w:val="20"/>
          <w:color w:val="auto"/>
        </w:rPr>
      </w:pPr>
    </w:p>
    <w:p>
      <w:pPr>
        <w:ind w:left="560" w:right="200" w:firstLine="423"/>
        <w:spacing w:after="0" w:line="308" w:lineRule="auto"/>
        <w:rPr>
          <w:sz w:val="20"/>
          <w:szCs w:val="20"/>
          <w:color w:val="auto"/>
        </w:rPr>
      </w:pPr>
      <w:r>
        <w:rPr>
          <w:rFonts w:ascii="Arial" w:cs="Arial" w:eastAsia="Arial" w:hAnsi="Arial"/>
          <w:sz w:val="17"/>
          <w:szCs w:val="17"/>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46"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or SG&amp;A, expenses on our statement of income is as follows (amounts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year ended</w:t>
            </w:r>
          </w:p>
        </w:tc>
      </w:tr>
      <w:tr>
        <w:trPr>
          <w:trHeight w:val="171"/>
        </w:trPr>
        <w:tc>
          <w:tcPr>
            <w:tcW w:w="2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3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Sublease income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(1,591)</w:t>
            </w:r>
          </w:p>
        </w:tc>
      </w:tr>
      <w:tr>
        <w:trPr>
          <w:trHeight w:val="27"/>
        </w:trPr>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lease expense</w:t>
            </w:r>
          </w:p>
        </w:tc>
        <w:tc>
          <w:tcPr>
            <w:tcW w:w="386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201,446</w:t>
            </w:r>
          </w:p>
        </w:tc>
      </w:tr>
      <w:tr>
        <w:trPr>
          <w:trHeight w:val="372"/>
        </w:trPr>
        <w:tc>
          <w:tcPr>
            <w:tcW w:w="2700" w:type="dxa"/>
            <w:vAlign w:val="bottom"/>
          </w:tcPr>
          <w:p>
            <w:pPr>
              <w:spacing w:after="0"/>
              <w:rPr>
                <w:sz w:val="24"/>
                <w:szCs w:val="24"/>
                <w:color w:val="auto"/>
              </w:rPr>
            </w:pPr>
          </w:p>
        </w:tc>
        <w:tc>
          <w:tcPr>
            <w:tcW w:w="3600" w:type="dxa"/>
            <w:vAlign w:val="bottom"/>
          </w:tcPr>
          <w:p>
            <w:pPr>
              <w:ind w:left="880"/>
              <w:spacing w:after="0"/>
              <w:rPr>
                <w:sz w:val="20"/>
                <w:szCs w:val="20"/>
                <w:color w:val="auto"/>
              </w:rPr>
            </w:pPr>
            <w:r>
              <w:rPr>
                <w:rFonts w:ascii="Arial" w:cs="Arial" w:eastAsia="Arial" w:hAnsi="Arial"/>
                <w:sz w:val="18"/>
                <w:szCs w:val="18"/>
                <w:color w:val="auto"/>
              </w:rPr>
              <w:t>F-32</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February 1,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Right-of-use assets obtained in exchange for new operating lease</w:t>
            </w:r>
          </w:p>
        </w:tc>
        <w:tc>
          <w:tcPr>
            <w:tcW w:w="240" w:type="dxa"/>
            <w:vAlign w:val="bottom"/>
            <w:vMerge w:val="restart"/>
            <w:shd w:val="clear" w:color="auto" w:fill="CCEEFF"/>
          </w:tcPr>
          <w:p>
            <w:pPr>
              <w:spacing w:after="0"/>
              <w:rPr>
                <w:sz w:val="20"/>
                <w:szCs w:val="20"/>
                <w:color w:val="auto"/>
              </w:rPr>
            </w:pPr>
            <w:r>
              <w:rPr>
                <w:rFonts w:ascii="Arial" w:cs="Arial" w:eastAsia="Arial" w:hAnsi="Arial"/>
                <w:sz w:val="20"/>
                <w:szCs w:val="20"/>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20"/>
                <w:szCs w:val="20"/>
                <w:color w:val="auto"/>
              </w:rPr>
              <w:t>57,383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20"/>
                <w:szCs w:val="20"/>
                <w:color w:val="auto"/>
              </w:rPr>
              <w:t>192,849</w:t>
            </w:r>
          </w:p>
        </w:tc>
        <w:tc>
          <w:tcPr>
            <w:tcW w:w="0" w:type="dxa"/>
            <w:vAlign w:val="bottom"/>
          </w:tcPr>
          <w:p>
            <w:pPr>
              <w:spacing w:after="0"/>
              <w:rPr>
                <w:sz w:val="1"/>
                <w:szCs w:val="1"/>
                <w:color w:val="auto"/>
              </w:rPr>
            </w:pPr>
          </w:p>
        </w:tc>
      </w:tr>
      <w:tr>
        <w:trPr>
          <w:trHeight w:val="280"/>
        </w:trPr>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right="440" w:firstLine="423"/>
        <w:spacing w:after="0" w:line="263" w:lineRule="auto"/>
        <w:rPr>
          <w:sz w:val="20"/>
          <w:szCs w:val="20"/>
          <w:color w:val="auto"/>
        </w:rPr>
      </w:pPr>
      <w:r>
        <w:rPr>
          <w:rFonts w:ascii="Arial" w:cs="Arial" w:eastAsia="Arial" w:hAnsi="Arial"/>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maturities of lease liabilities by fiscal year as of February 1, 2020 are as follows (amounts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(715,729)</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hanging="224"/>
        <w:spacing w:after="0"/>
        <w:tabs>
          <w:tab w:leader="none" w:pos="340" w:val="left"/>
        </w:tabs>
        <w:numPr>
          <w:ilvl w:val="0"/>
          <w:numId w:val="214"/>
        </w:numPr>
        <w:rPr>
          <w:rFonts w:ascii="Arial" w:cs="Arial" w:eastAsia="Arial" w:hAnsi="Arial"/>
          <w:sz w:val="14"/>
          <w:szCs w:val="14"/>
          <w:color w:val="auto"/>
        </w:rPr>
      </w:pPr>
      <w:r>
        <w:rPr>
          <w:rFonts w:ascii="Arial" w:cs="Arial" w:eastAsia="Arial" w:hAnsi="Arial"/>
          <w:sz w:val="17"/>
          <w:szCs w:val="17"/>
          <w:color w:val="auto"/>
        </w:rPr>
        <w:t>Minimum lease payments have not been reduced by sublease rentals of $1.6 million due in the future under non-cancelable subleases.</w:t>
      </w:r>
    </w:p>
    <w:p>
      <w:pPr>
        <w:spacing w:after="0" w:line="23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11"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192,632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192,610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177,750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Total minimum lease payments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2,117,424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8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0" w:right="1040" w:hanging="5344"/>
        <w:spacing w:after="0" w:line="449" w:lineRule="auto"/>
        <w:tabs>
          <w:tab w:leader="none" w:pos="351" w:val="left"/>
        </w:tabs>
        <w:numPr>
          <w:ilvl w:val="0"/>
          <w:numId w:val="215"/>
        </w:numPr>
        <w:rPr>
          <w:rFonts w:ascii="Arial" w:cs="Arial" w:eastAsia="Arial" w:hAnsi="Arial"/>
          <w:sz w:val="15"/>
          <w:szCs w:val="15"/>
          <w:color w:val="auto"/>
        </w:rPr>
      </w:pPr>
      <w:r>
        <w:rPr>
          <w:rFonts w:ascii="Arial" w:cs="Arial" w:eastAsia="Arial" w:hAnsi="Arial"/>
          <w:sz w:val="18"/>
          <w:szCs w:val="18"/>
          <w:color w:val="auto"/>
        </w:rPr>
        <w:t>Minimum lease payments have not been reduced by sublease rentals of $7.7 million due in the future under non-cancelable subleases. F-33</w:t>
      </w:r>
    </w:p>
    <w:p>
      <w:pPr>
        <w:sectPr>
          <w:pgSz w:w="11900" w:h="16838" w:orient="portrait"/>
          <w:cols w:equalWidth="0" w:num="1">
            <w:col w:w="11020"/>
          </w:cols>
          <w:pgMar w:left="320" w:top="459" w:right="5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7200" w:hanging="444"/>
        <w:spacing w:after="0" w:line="453" w:lineRule="auto"/>
        <w:tabs>
          <w:tab w:leader="none" w:pos="552" w:val="left"/>
        </w:tabs>
        <w:numPr>
          <w:ilvl w:val="0"/>
          <w:numId w:val="2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Technology Related Commitments and Other</w:t>
      </w:r>
    </w:p>
    <w:p>
      <w:pPr>
        <w:spacing w:after="0" w:line="1" w:lineRule="exact"/>
        <w:rPr>
          <w:sz w:val="20"/>
          <w:szCs w:val="20"/>
          <w:color w:val="auto"/>
        </w:rPr>
      </w:pPr>
    </w:p>
    <w:p>
      <w:pPr>
        <w:ind w:left="560" w:right="80" w:firstLine="423"/>
        <w:spacing w:after="0" w:line="342" w:lineRule="auto"/>
        <w:rPr>
          <w:sz w:val="20"/>
          <w:szCs w:val="20"/>
          <w:color w:val="auto"/>
        </w:rPr>
      </w:pPr>
      <w:r>
        <w:rPr>
          <w:rFonts w:ascii="Arial" w:cs="Arial" w:eastAsia="Arial" w:hAnsi="Arial"/>
          <w:sz w:val="16"/>
          <w:szCs w:val="16"/>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Commitments Related to Monitoring Agreement</w:t>
      </w:r>
    </w:p>
    <w:p>
      <w:pPr>
        <w:spacing w:after="0" w:line="117" w:lineRule="exact"/>
        <w:rPr>
          <w:sz w:val="20"/>
          <w:szCs w:val="20"/>
          <w:color w:val="auto"/>
        </w:rPr>
      </w:pPr>
    </w:p>
    <w:p>
      <w:pPr>
        <w:ind w:left="560" w:right="480" w:firstLine="423"/>
        <w:spacing w:after="0" w:line="277" w:lineRule="auto"/>
        <w:rPr>
          <w:sz w:val="20"/>
          <w:szCs w:val="20"/>
          <w:color w:val="auto"/>
        </w:rPr>
      </w:pPr>
      <w:r>
        <w:rPr>
          <w:rFonts w:ascii="Arial" w:cs="Arial" w:eastAsia="Arial" w:hAnsi="Arial"/>
          <w:sz w:val="18"/>
          <w:szCs w:val="18"/>
          <w:color w:val="auto"/>
        </w:rPr>
        <w:t>As of February 1, 2020, we have obligations under the Monitoring Agreement (see Note 13) in the amount of $14.4 million, of which $4.1 million is payable in the next 12 months.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17" w:lineRule="exact"/>
        <w:rPr>
          <w:sz w:val="20"/>
          <w:szCs w:val="20"/>
          <w:color w:val="auto"/>
        </w:rPr>
      </w:pPr>
    </w:p>
    <w:p>
      <w:pPr>
        <w:ind w:left="560" w:right="60" w:firstLine="423"/>
        <w:spacing w:after="0" w:line="286" w:lineRule="auto"/>
        <w:rPr>
          <w:sz w:val="20"/>
          <w:szCs w:val="20"/>
          <w:color w:val="auto"/>
        </w:rPr>
      </w:pPr>
      <w:r>
        <w:rPr>
          <w:rFonts w:ascii="Arial" w:cs="Arial" w:eastAsia="Arial" w:hAnsi="Arial"/>
          <w:sz w:val="17"/>
          <w:szCs w:val="17"/>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100" w:firstLine="423"/>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Sponsorship Agreements and Intellectual Property Commitments</w:t>
      </w:r>
    </w:p>
    <w:p>
      <w:pPr>
        <w:spacing w:after="0" w:line="117" w:lineRule="exact"/>
        <w:rPr>
          <w:sz w:val="20"/>
          <w:szCs w:val="20"/>
          <w:color w:val="auto"/>
        </w:rPr>
      </w:pPr>
    </w:p>
    <w:p>
      <w:pPr>
        <w:ind w:left="560" w:right="280" w:firstLine="423"/>
        <w:spacing w:after="0" w:line="296" w:lineRule="auto"/>
        <w:rPr>
          <w:sz w:val="20"/>
          <w:szCs w:val="20"/>
          <w:color w:val="auto"/>
        </w:rPr>
      </w:pPr>
      <w:r>
        <w:rPr>
          <w:rFonts w:ascii="Arial" w:cs="Arial" w:eastAsia="Arial" w:hAnsi="Arial"/>
          <w:sz w:val="16"/>
          <w:szCs w:val="16"/>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184" w:lineRule="exact"/>
        <w:rPr>
          <w:sz w:val="20"/>
          <w:szCs w:val="20"/>
          <w:color w:val="auto"/>
        </w:rPr>
      </w:pPr>
    </w:p>
    <w:p>
      <w:pPr>
        <w:ind w:left="560" w:right="8720" w:hanging="444"/>
        <w:spacing w:after="0" w:line="378" w:lineRule="auto"/>
        <w:tabs>
          <w:tab w:leader="none" w:pos="552"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401(k) Plan</w:t>
      </w:r>
    </w:p>
    <w:p>
      <w:pPr>
        <w:ind w:left="560" w:firstLine="423"/>
        <w:spacing w:after="0" w:line="293" w:lineRule="auto"/>
        <w:rPr>
          <w:sz w:val="20"/>
          <w:szCs w:val="20"/>
          <w:color w:val="auto"/>
        </w:rPr>
      </w:pPr>
      <w:r>
        <w:rPr>
          <w:rFonts w:ascii="Arial" w:cs="Arial" w:eastAsia="Arial" w:hAnsi="Arial"/>
          <w:sz w:val="16"/>
          <w:szCs w:val="16"/>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 board of managers, subject to certain limitations. The 401(k) Plan may be amended or terminated at our</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discretion. Employer contributions related to the 401(k) Plan totaled $12.4 million, $11.9 million and $11.6 million in 2019, 2018 and 2017, respectively.</w:t>
      </w:r>
    </w:p>
    <w:p>
      <w:pPr>
        <w:spacing w:after="0" w:line="315" w:lineRule="exact"/>
        <w:rPr>
          <w:sz w:val="20"/>
          <w:szCs w:val="20"/>
          <w:color w:val="auto"/>
        </w:rPr>
      </w:pPr>
    </w:p>
    <w:p>
      <w:pPr>
        <w:ind w:left="540" w:hanging="424"/>
        <w:spacing w:after="0"/>
        <w:tabs>
          <w:tab w:leader="none" w:pos="5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11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Charged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3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Deductions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at end of</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14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of period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February 1, 2020:</w:t>
            </w:r>
          </w:p>
        </w:tc>
        <w:tc>
          <w:tcPr>
            <w:tcW w:w="1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tcPr>
          <w:p>
            <w:pPr>
              <w:ind w:left="144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3,008</w:t>
            </w:r>
          </w:p>
        </w:tc>
        <w:tc>
          <w:tcPr>
            <w:tcW w:w="400" w:type="dxa"/>
            <w:vAlign w:val="bottom"/>
            <w:gridSpan w:val="2"/>
          </w:tcPr>
          <w:p>
            <w:pPr>
              <w:ind w:left="30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499</w:t>
            </w:r>
          </w:p>
        </w:tc>
        <w:tc>
          <w:tcPr>
            <w:tcW w:w="4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ind w:right="184"/>
              <w:spacing w:after="0"/>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5"/>
                <w:szCs w:val="15"/>
                <w:b w:val="1"/>
                <w:bCs w:val="1"/>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3,275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19,271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62,975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(69,355)</w:t>
            </w:r>
          </w:p>
        </w:tc>
        <w:tc>
          <w:tcPr>
            <w:tcW w:w="460" w:type="dxa"/>
            <w:vAlign w:val="bottom"/>
          </w:tcPr>
          <w:p>
            <w:pPr>
              <w:jc w:val="right"/>
              <w:ind w:right="184"/>
              <w:spacing w:after="0"/>
              <w:rPr>
                <w:sz w:val="20"/>
                <w:szCs w:val="20"/>
                <w:color w:val="auto"/>
              </w:rPr>
            </w:pPr>
            <w:r>
              <w:rPr>
                <w:rFonts w:ascii="Arial" w:cs="Arial" w:eastAsia="Arial" w:hAnsi="Arial"/>
                <w:sz w:val="15"/>
                <w:szCs w:val="15"/>
                <w:b w:val="1"/>
                <w:bCs w:val="1"/>
                <w:color w:val="auto"/>
                <w:w w:val="97"/>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12,891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0"/>
              </w:rPr>
              <w:t>22,807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61,220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(61,598)</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22,429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February 2, 2019:</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 xml:space="preserve">(628) </w:t>
            </w:r>
            <w:r>
              <w:rPr>
                <w:rFonts w:ascii="Arial" w:cs="Arial" w:eastAsia="Arial" w:hAnsi="Arial"/>
                <w:sz w:val="15"/>
                <w:szCs w:val="15"/>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9,400</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(10,100)</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14,683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69,047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(64,459)</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19,271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19,942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(59,135)</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22,807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3, 2018:</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3,410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c>
          <w:tcPr>
            <w:tcW w:w="4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4"/>
              <w:spacing w:after="0"/>
              <w:rPr>
                <w:sz w:val="20"/>
                <w:szCs w:val="20"/>
                <w:color w:val="auto"/>
              </w:rPr>
            </w:pPr>
            <w:r>
              <w:rPr>
                <w:rFonts w:ascii="Arial" w:cs="Arial" w:eastAsia="Arial" w:hAnsi="Arial"/>
                <w:sz w:val="18"/>
                <w:szCs w:val="18"/>
                <w:color w:val="auto"/>
              </w:rPr>
              <w:t xml:space="preserve">(2,694) </w:t>
            </w:r>
            <w:r>
              <w:rPr>
                <w:rFonts w:ascii="Arial" w:cs="Arial" w:eastAsia="Arial" w:hAnsi="Arial"/>
                <w:sz w:val="15"/>
                <w:szCs w:val="15"/>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5,976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93,248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(84,541)</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14,683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18,027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67,419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(65,504)</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19,942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24"/>
        <w:spacing w:after="0"/>
        <w:tabs>
          <w:tab w:leader="none" w:pos="340" w:val="left"/>
        </w:tabs>
        <w:numPr>
          <w:ilvl w:val="0"/>
          <w:numId w:val="219"/>
        </w:numPr>
        <w:rPr>
          <w:rFonts w:ascii="Arial" w:cs="Arial" w:eastAsia="Arial" w:hAnsi="Arial"/>
          <w:sz w:val="15"/>
          <w:szCs w:val="15"/>
          <w:color w:val="auto"/>
        </w:rPr>
      </w:pPr>
      <w:r>
        <w:rPr>
          <w:rFonts w:ascii="Arial" w:cs="Arial" w:eastAsia="Arial" w:hAnsi="Arial"/>
          <w:sz w:val="18"/>
          <w:szCs w:val="18"/>
          <w:color w:val="auto"/>
        </w:rPr>
        <w:t>Represents write-offs to the reserve.</w:t>
      </w:r>
    </w:p>
    <w:p>
      <w:pPr>
        <w:spacing w:after="0" w:line="23" w:lineRule="exact"/>
        <w:rPr>
          <w:rFonts w:ascii="Arial" w:cs="Arial" w:eastAsia="Arial" w:hAnsi="Arial"/>
          <w:sz w:val="15"/>
          <w:szCs w:val="15"/>
          <w:color w:val="auto"/>
        </w:rPr>
      </w:pPr>
    </w:p>
    <w:p>
      <w:pPr>
        <w:ind w:left="340" w:hanging="224"/>
        <w:spacing w:after="0"/>
        <w:tabs>
          <w:tab w:leader="none" w:pos="340" w:val="left"/>
        </w:tabs>
        <w:numPr>
          <w:ilvl w:val="0"/>
          <w:numId w:val="219"/>
        </w:numPr>
        <w:rPr>
          <w:rFonts w:ascii="Arial" w:cs="Arial" w:eastAsia="Arial" w:hAnsi="Arial"/>
          <w:sz w:val="13"/>
          <w:szCs w:val="13"/>
          <w:color w:val="auto"/>
        </w:rPr>
      </w:pPr>
      <w:r>
        <w:rPr>
          <w:rFonts w:ascii="Arial" w:cs="Arial" w:eastAsia="Arial" w:hAnsi="Arial"/>
          <w:sz w:val="16"/>
          <w:szCs w:val="16"/>
          <w:color w:val="auto"/>
        </w:rPr>
        <w:t>Represents the monthly increase (decrease) in the required reserve based on the Company’s evaluation of anticipated merchandise returns.</w:t>
      </w:r>
    </w:p>
    <w:p>
      <w:pPr>
        <w:spacing w:after="0" w:line="32" w:lineRule="exact"/>
        <w:rPr>
          <w:rFonts w:ascii="Arial" w:cs="Arial" w:eastAsia="Arial" w:hAnsi="Arial"/>
          <w:sz w:val="13"/>
          <w:szCs w:val="13"/>
          <w:color w:val="auto"/>
        </w:rPr>
      </w:pPr>
    </w:p>
    <w:p>
      <w:pPr>
        <w:ind w:left="340" w:hanging="224"/>
        <w:spacing w:after="0"/>
        <w:tabs>
          <w:tab w:leader="none" w:pos="340" w:val="left"/>
        </w:tabs>
        <w:numPr>
          <w:ilvl w:val="0"/>
          <w:numId w:val="219"/>
        </w:numPr>
        <w:rPr>
          <w:rFonts w:ascii="Arial" w:cs="Arial" w:eastAsia="Arial" w:hAnsi="Arial"/>
          <w:sz w:val="15"/>
          <w:szCs w:val="15"/>
          <w:color w:val="auto"/>
        </w:rPr>
      </w:pPr>
      <w:r>
        <w:rPr>
          <w:rFonts w:ascii="Arial" w:cs="Arial" w:eastAsia="Arial" w:hAnsi="Arial"/>
          <w:sz w:val="18"/>
          <w:szCs w:val="18"/>
          <w:color w:val="auto"/>
        </w:rPr>
        <w:t>Represents the actual inventory shrinkage experienced at the time of physical inventories.</w:t>
      </w:r>
    </w:p>
    <w:p>
      <w:pPr>
        <w:spacing w:after="0" w:line="9" w:lineRule="exact"/>
        <w:rPr>
          <w:rFonts w:ascii="Arial" w:cs="Arial" w:eastAsia="Arial" w:hAnsi="Arial"/>
          <w:sz w:val="15"/>
          <w:szCs w:val="15"/>
          <w:color w:val="auto"/>
        </w:rPr>
      </w:pPr>
    </w:p>
    <w:p>
      <w:pPr>
        <w:ind w:left="340" w:hanging="224"/>
        <w:spacing w:after="0"/>
        <w:tabs>
          <w:tab w:leader="none" w:pos="340" w:val="left"/>
        </w:tabs>
        <w:numPr>
          <w:ilvl w:val="0"/>
          <w:numId w:val="219"/>
        </w:numPr>
        <w:rPr>
          <w:rFonts w:ascii="Arial" w:cs="Arial" w:eastAsia="Arial" w:hAnsi="Arial"/>
          <w:sz w:val="15"/>
          <w:szCs w:val="15"/>
          <w:color w:val="auto"/>
        </w:rPr>
      </w:pPr>
      <w:r>
        <w:rPr>
          <w:rFonts w:ascii="Arial" w:cs="Arial" w:eastAsia="Arial" w:hAnsi="Arial"/>
          <w:sz w:val="18"/>
          <w:szCs w:val="18"/>
          <w:color w:val="auto"/>
        </w:rPr>
        <w:t>Represents claim payments for self-insured claims.</w:t>
      </w:r>
    </w:p>
    <w:p>
      <w:pPr>
        <w:spacing w:after="0" w:line="355" w:lineRule="exact"/>
        <w:rPr>
          <w:sz w:val="20"/>
          <w:szCs w:val="20"/>
          <w:color w:val="auto"/>
        </w:rPr>
      </w:pPr>
    </w:p>
    <w:p>
      <w:pPr>
        <w:ind w:left="540" w:hanging="424"/>
        <w:spacing w:after="0"/>
        <w:tabs>
          <w:tab w:leader="none" w:pos="5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3rd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4th</w:t>
            </w:r>
          </w:p>
        </w:tc>
      </w:tr>
      <w:tr>
        <w:trPr>
          <w:trHeight w:val="171"/>
        </w:trPr>
        <w:tc>
          <w:tcPr>
            <w:tcW w:w="404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1,076,792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1,237,410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1,145,203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1,370,492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312,996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385,204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362,422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370,532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301,602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312,570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309,246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328,315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72,634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42,217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25,549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24,585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24,136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(41,138)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25,406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48,347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28,552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17,738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1,119,480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1,262,207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1,060,188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1,342,018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387,130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328,333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332,133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295,278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317,164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300,195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326,365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27,608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42,103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(21,458)</w:t>
            </w:r>
          </w:p>
        </w:tc>
      </w:tr>
      <w:tr>
        <w:trPr>
          <w:trHeight w:val="365"/>
        </w:trPr>
        <w:tc>
          <w:tcPr>
            <w:tcW w:w="404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F-35</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680"/>
          </w:cols>
          <w:pgMar w:left="320" w:top="459" w:right="8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Our management evaluated events or transactions that occurred after February 1, 2020 through July 10, 2020. We identified the following matters to report:</w:t>
      </w:r>
    </w:p>
    <w:p>
      <w:pPr>
        <w:spacing w:after="0" w:line="170" w:lineRule="exact"/>
        <w:rPr>
          <w:sz w:val="20"/>
          <w:szCs w:val="20"/>
          <w:color w:val="auto"/>
        </w:rPr>
      </w:pPr>
    </w:p>
    <w:p>
      <w:pPr>
        <w:ind w:left="560" w:right="100" w:firstLine="423"/>
        <w:spacing w:after="0" w:line="290" w:lineRule="auto"/>
        <w:rPr>
          <w:sz w:val="20"/>
          <w:szCs w:val="20"/>
          <w:color w:val="auto"/>
        </w:rPr>
      </w:pPr>
      <w:r>
        <w:rPr>
          <w:rFonts w:ascii="Arial" w:cs="Arial" w:eastAsia="Arial" w:hAnsi="Arial"/>
          <w:sz w:val="16"/>
          <w:szCs w:val="16"/>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 June 30, 2020, New Academy Holding Company, LLC purchased 100 shares of common stock from Academy Sports and Outdoors, Inc.</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purchase price per share equal to the par value per share of such shares, or $1 in the aggregate.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20" w:type="dxa"/>
            <w:vAlign w:val="bottom"/>
          </w:tcPr>
          <w:p>
            <w:pPr>
              <w:ind w:left="3680"/>
              <w:spacing w:after="0"/>
              <w:rPr>
                <w:sz w:val="20"/>
                <w:szCs w:val="20"/>
                <w:color w:val="auto"/>
              </w:rPr>
            </w:pPr>
            <w:r>
              <w:rPr>
                <w:rFonts w:ascii="Arial" w:cs="Arial" w:eastAsia="Arial" w:hAnsi="Arial"/>
                <w:sz w:val="18"/>
                <w:szCs w:val="18"/>
                <w:b w:val="1"/>
                <w:bCs w:val="1"/>
                <w:color w:val="auto"/>
              </w:rPr>
              <w:t>ACADEMY SPORTS AND OUTDOORS, INC.</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120" w:type="dxa"/>
            <w:vAlign w:val="bottom"/>
          </w:tcPr>
          <w:p>
            <w:pPr>
              <w:ind w:left="4740"/>
              <w:spacing w:after="0"/>
              <w:rPr>
                <w:sz w:val="20"/>
                <w:szCs w:val="20"/>
                <w:color w:val="auto"/>
              </w:rPr>
            </w:pPr>
            <w:r>
              <w:rPr>
                <w:rFonts w:ascii="Arial" w:cs="Arial" w:eastAsia="Arial" w:hAnsi="Arial"/>
                <w:sz w:val="18"/>
                <w:szCs w:val="18"/>
                <w:b w:val="1"/>
                <w:bCs w:val="1"/>
                <w:color w:val="auto"/>
              </w:rPr>
              <w:t>BALANCE SHEET</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120" w:type="dxa"/>
            <w:vAlign w:val="bottom"/>
            <w:vMerge w:val="restart"/>
          </w:tcPr>
          <w:p>
            <w:pPr>
              <w:ind w:left="4220"/>
              <w:spacing w:after="0"/>
              <w:rPr>
                <w:sz w:val="20"/>
                <w:szCs w:val="20"/>
                <w:color w:val="auto"/>
              </w:rPr>
            </w:pPr>
            <w:r>
              <w:rPr>
                <w:rFonts w:ascii="Arial" w:cs="Arial" w:eastAsia="Arial" w:hAnsi="Arial"/>
                <w:sz w:val="18"/>
                <w:szCs w:val="18"/>
                <w:b w:val="1"/>
                <w:bCs w:val="1"/>
                <w:color w:val="auto"/>
              </w:rPr>
              <w:t>ASSETS</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209"/>
        </w:trPr>
        <w:tc>
          <w:tcPr>
            <w:tcW w:w="10120" w:type="dxa"/>
            <w:vAlign w:val="bottom"/>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vMerge w:val="restart"/>
          </w:tcPr>
          <w:p>
            <w:pPr>
              <w:ind w:left="340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shares issued and outstanding</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540" w:hanging="424"/>
        <w:spacing w:after="0"/>
        <w:tabs>
          <w:tab w:leader="none" w:pos="5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Academy Sports and Outdoors, Inc., or the Corporation, was organized as a Delaware corporation on June 30, 2020. The Corporation’s fiscal year represents the 52 or 53 weeks ending on the Saturday closest to January 31. Pursuant to a series of reorganization transactions, it is anticipated that the Corporation will be the parent of New Academy Holding Company, LLC, a Delaware limited liability company.</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Following the anticipated reorganization transactions, the Corporation will continue to conduct the business now conducted by New Academy Holding Company, LLC and its subsidiaries.</w:t>
      </w:r>
    </w:p>
    <w:p>
      <w:pPr>
        <w:spacing w:after="0" w:line="315" w:lineRule="exact"/>
        <w:rPr>
          <w:sz w:val="20"/>
          <w:szCs w:val="20"/>
          <w:color w:val="auto"/>
        </w:rPr>
      </w:pPr>
    </w:p>
    <w:p>
      <w:pPr>
        <w:ind w:left="540" w:hanging="424"/>
        <w:spacing w:after="0"/>
        <w:tabs>
          <w:tab w:leader="none" w:pos="5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8" w:lineRule="exact"/>
        <w:rPr>
          <w:sz w:val="20"/>
          <w:szCs w:val="20"/>
          <w:color w:val="auto"/>
        </w:rPr>
      </w:pPr>
    </w:p>
    <w:p>
      <w:pPr>
        <w:ind w:left="540" w:hanging="424"/>
        <w:spacing w:after="0"/>
        <w:tabs>
          <w:tab w:leader="none" w:pos="5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8" w:lineRule="exact"/>
        <w:rPr>
          <w:sz w:val="20"/>
          <w:szCs w:val="20"/>
          <w:color w:val="auto"/>
        </w:rPr>
      </w:pPr>
    </w:p>
    <w:p>
      <w:pPr>
        <w:ind w:left="540" w:hanging="424"/>
        <w:spacing w:after="0"/>
        <w:tabs>
          <w:tab w:leader="none" w:pos="5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 2020</w:t>
            </w:r>
          </w:p>
        </w:tc>
        <w:tc>
          <w:tcPr>
            <w:tcW w:w="2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2, 2019</w:t>
            </w:r>
          </w:p>
        </w:tc>
        <w:tc>
          <w:tcPr>
            <w:tcW w:w="0" w:type="dxa"/>
            <w:vAlign w:val="bottom"/>
          </w:tcPr>
          <w:p>
            <w:pPr>
              <w:spacing w:after="0"/>
              <w:rPr>
                <w:sz w:val="1"/>
                <w:szCs w:val="1"/>
                <w:color w:val="auto"/>
              </w:rPr>
            </w:pPr>
          </w:p>
        </w:tc>
      </w:tr>
      <w:tr>
        <w:trPr>
          <w:trHeight w:val="142"/>
        </w:trPr>
        <w:tc>
          <w:tcPr>
            <w:tcW w:w="6120" w:type="dxa"/>
            <w:vAlign w:val="bottom"/>
            <w:tcBorders>
              <w:top w:val="single" w:sz="8" w:color="CCEEFF"/>
            </w:tcBorders>
            <w:shd w:val="clear" w:color="auto" w:fill="CCEEFF"/>
          </w:tcPr>
          <w:p>
            <w:pPr>
              <w:ind w:left="2640"/>
              <w:spacing w:after="0" w:line="142" w:lineRule="exact"/>
              <w:rPr>
                <w:sz w:val="20"/>
                <w:szCs w:val="20"/>
                <w:color w:val="auto"/>
              </w:rPr>
            </w:pPr>
            <w:r>
              <w:rPr>
                <w:rFonts w:ascii="Arial" w:cs="Arial" w:eastAsia="Arial" w:hAnsi="Arial"/>
                <w:sz w:val="15"/>
                <w:szCs w:val="15"/>
                <w:b w:val="1"/>
                <w:bCs w:val="1"/>
                <w:color w:val="auto"/>
              </w:rPr>
              <w:t>ASSETS</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CURRENT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Cash and cash equivalents</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869,725</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149,385</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43,538</w:t>
            </w: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w w:val="97"/>
              </w:rPr>
              <w:t>Accounts receivable - less allowance for doubtful accounts of $1,286, $3,275 and $3,642,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5"/>
                <w:szCs w:val="15"/>
                <w:b w:val="1"/>
                <w:bCs w:val="1"/>
                <w:color w:val="auto"/>
              </w:rPr>
              <w:t>11,908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respectively</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13,999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9,798</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Merchandise inventories, net</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1,082,907</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1,099,749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1,331,969</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25,789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24,548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26,140</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Assets held for sale</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1,763</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1,763</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1,763</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current assets</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1,992,092</w:t>
            </w:r>
          </w:p>
        </w:tc>
        <w:tc>
          <w:tcPr>
            <w:tcW w:w="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1,289,444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1,413,208</w:t>
            </w:r>
          </w:p>
        </w:tc>
        <w:tc>
          <w:tcPr>
            <w:tcW w:w="0" w:type="dxa"/>
            <w:vAlign w:val="bottom"/>
          </w:tcPr>
          <w:p>
            <w:pPr>
              <w:spacing w:after="0"/>
              <w:rPr>
                <w:sz w:val="1"/>
                <w:szCs w:val="1"/>
                <w:color w:val="auto"/>
              </w:rPr>
            </w:pPr>
          </w:p>
        </w:tc>
      </w:tr>
      <w:tr>
        <w:trPr>
          <w:trHeight w:val="85"/>
        </w:trPr>
        <w:tc>
          <w:tcPr>
            <w:tcW w:w="6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PROPERTY AND EQUIPMENT, NET</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382,620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441,407</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454,406</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RIGHT-OF-USE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1,163,361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1,145,705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1,165,826</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TRADE NAME</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577,000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577,000</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577,000</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GOODWILL</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861,920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861,920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861,920</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OTHER NONCURRENT ASSETS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4,923</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15,845</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16,349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spacing w:after="0" w:line="169" w:lineRule="exact"/>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4,981,916</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4,331,321</w:t>
            </w:r>
          </w:p>
        </w:tc>
        <w:tc>
          <w:tcPr>
            <w:tcW w:w="580" w:type="dxa"/>
            <w:vAlign w:val="bottom"/>
            <w:gridSpan w:val="2"/>
          </w:tcPr>
          <w:p>
            <w:pPr>
              <w:ind w:left="300"/>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4,488,709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920"/>
              <w:spacing w:after="0"/>
              <w:rPr>
                <w:sz w:val="20"/>
                <w:szCs w:val="20"/>
                <w:color w:val="auto"/>
              </w:rPr>
            </w:pPr>
            <w:r>
              <w:rPr>
                <w:rFonts w:ascii="Arial" w:cs="Arial" w:eastAsia="Arial" w:hAnsi="Arial"/>
                <w:sz w:val="15"/>
                <w:szCs w:val="15"/>
                <w:b w:val="1"/>
                <w:bCs w:val="1"/>
                <w:color w:val="auto"/>
              </w:rPr>
              <w:t>LIABILITIES AND STOCKHOLDERS’/PARTNERS’ EQUITY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CURRENT LIABILITIES: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868,879</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428,823</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529,926</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274,612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211,381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219,992</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Current lease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79,361</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76,329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73,252</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Current maturities of long-term debt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18,250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34,116</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18,250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b w:val="1"/>
                <w:bCs w:val="1"/>
                <w:color w:val="auto"/>
              </w:rPr>
              <w:t>Total current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1,241,102</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750,649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841,420</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5"/>
                <w:szCs w:val="15"/>
                <w:b w:val="1"/>
                <w:bCs w:val="1"/>
                <w:color w:val="auto"/>
              </w:rPr>
              <w:t>LONG-TERM DEBT, net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1,408,885</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1,428,542</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1,492,609</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LONG-TERM LEASE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1,171,420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1,141,896</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1,163,250</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DEFERRED TAX LIABILITIES, NET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132,701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OTHER LONG-TERM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43,244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19,197</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19,529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3,997,352</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3,340,284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3,516,808</w:t>
            </w: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COMMITMENTS AND CONTINGENCIES (NOTE 14)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6120" w:type="dxa"/>
            <w:vAlign w:val="bottom"/>
          </w:tcPr>
          <w:p>
            <w:pPr>
              <w:spacing w:after="0"/>
              <w:rPr>
                <w:sz w:val="20"/>
                <w:szCs w:val="20"/>
                <w:color w:val="auto"/>
              </w:rPr>
            </w:pPr>
            <w:r>
              <w:rPr>
                <w:rFonts w:ascii="Arial" w:cs="Arial" w:eastAsia="Arial" w:hAnsi="Arial"/>
                <w:sz w:val="15"/>
                <w:szCs w:val="15"/>
                <w:b w:val="1"/>
                <w:bCs w:val="1"/>
                <w:color w:val="auto"/>
              </w:rPr>
              <w:t>REDEEMABLE MEMBERSHIP UNITS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2,818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2,818</w:t>
            </w:r>
          </w:p>
        </w:tc>
        <w:tc>
          <w:tcPr>
            <w:tcW w:w="0" w:type="dxa"/>
            <w:vAlign w:val="bottom"/>
          </w:tcPr>
          <w:p>
            <w:pPr>
              <w:spacing w:after="0"/>
              <w:rPr>
                <w:sz w:val="1"/>
                <w:szCs w:val="1"/>
                <w:color w:val="auto"/>
              </w:rPr>
            </w:pPr>
          </w:p>
        </w:tc>
      </w:tr>
      <w:tr>
        <w:trPr>
          <w:trHeight w:val="89"/>
        </w:trPr>
        <w:tc>
          <w:tcPr>
            <w:tcW w:w="6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
        </w:trPr>
        <w:tc>
          <w:tcPr>
            <w:tcW w:w="612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STOCKHOLDERS’/PARTNERS’ EQUITY   :</w:t>
            </w: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shd w:val="clear" w:color="auto" w:fill="CCEEFF"/>
          </w:tcPr>
          <w:p>
            <w:pPr>
              <w:ind w:left="2900"/>
              <w:spacing w:after="0"/>
              <w:rPr>
                <w:sz w:val="20"/>
                <w:szCs w:val="20"/>
                <w:color w:val="auto"/>
              </w:rPr>
            </w:pPr>
            <w:r>
              <w:rPr>
                <w:rFonts w:ascii="Arial" w:cs="Arial" w:eastAsia="Arial" w:hAnsi="Arial"/>
                <w:sz w:val="13"/>
                <w:szCs w:val="13"/>
                <w:b w:val="1"/>
                <w:bCs w:val="1"/>
                <w:color w:val="auto"/>
              </w:rPr>
              <w:t>(1)</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rPr>
              <w:t>Preferred stock, $0.01 par value, authorized 50,000,000 shares; none issued and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outstanding</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61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Partners’ equity, membership units authorized, issued and outstanding were 72,468,164 as</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of February 1, 2020 and November 2, 2019</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996,285</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976,538</w:t>
            </w: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w w:val="98"/>
              </w:rPr>
              <w:t>Common stock, $0.01 par value, authorized 300,000,000 shares; 88,103,975 issued and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5"/>
                <w:szCs w:val="15"/>
                <w:b w:val="1"/>
                <w:bCs w:val="1"/>
                <w:color w:val="auto"/>
              </w:rPr>
              <w:t>881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outstanding as of October 31, 2020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93,064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Retained earnings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895,646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b w:val="1"/>
                <w:bCs w:val="1"/>
                <w:color w:val="auto"/>
              </w:rPr>
              <w:t>(5,027)</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(8,066)</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(7,455)</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Stockholders’/partners’ equity</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984,564</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988,219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969,083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b w:val="1"/>
                <w:bCs w:val="1"/>
                <w:color w:val="auto"/>
              </w:rPr>
              <w:t>Total liabilities and stockholders’/partners’ equity</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4,981,916</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4,331,321</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4,488,709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5"/>
          <w:szCs w:val="15"/>
          <w:color w:val="auto"/>
        </w:rPr>
        <w:t>See Retrospective Presentation of Ownership Exchange in Note 2.</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1,349,076</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1,145,203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4,091,797</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3,459,405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908,565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782,781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2,856,840</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2,398,783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440,511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362,422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1,234,957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1,060,622</w:t>
            </w:r>
          </w:p>
        </w:tc>
        <w:tc>
          <w:tcPr>
            <w:tcW w:w="0" w:type="dxa"/>
            <w:vAlign w:val="bottom"/>
          </w:tcPr>
          <w:p>
            <w:pPr>
              <w:spacing w:after="0"/>
              <w:rPr>
                <w:sz w:val="1"/>
                <w:szCs w:val="1"/>
                <w:color w:val="auto"/>
              </w:rPr>
            </w:pPr>
          </w:p>
        </w:tc>
      </w:tr>
      <w:tr>
        <w:trPr>
          <w:trHeight w:val="310"/>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358,955</w:t>
            </w:r>
          </w:p>
        </w:tc>
        <w:tc>
          <w:tcPr>
            <w:tcW w:w="58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955,591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309,246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923,418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81,556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279,366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137,204</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22,399</w:t>
            </w:r>
          </w:p>
        </w:tc>
        <w:tc>
          <w:tcPr>
            <w:tcW w:w="2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24,585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70,487</w:t>
            </w: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(7,831)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(857)</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58,393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217,567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104,219</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(1,193)</w:t>
            </w:r>
          </w:p>
        </w:tc>
        <w:tc>
          <w:tcPr>
            <w:tcW w:w="2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325</w:t>
            </w: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28,552</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217,242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5"/>
                <w:szCs w:val="15"/>
                <w:color w:val="auto"/>
              </w:rPr>
              <w:t>(1)</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0.78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7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0.74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76,771</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72,484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73,908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80,714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77,171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26"/>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9"/>
              </w:rPr>
              <w:t>Thirteen Weeks Ended</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3"/>
              </w:rPr>
              <w:t>Thirty-Nine Weeks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59,586</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28,552</w:t>
            </w:r>
          </w:p>
        </w:tc>
        <w:tc>
          <w:tcPr>
            <w:tcW w:w="58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217,242</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102,305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interest rate swaps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(331)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(5,371)</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(14,459)</w:t>
            </w:r>
          </w:p>
        </w:tc>
        <w:tc>
          <w:tcPr>
            <w:tcW w:w="0" w:type="dxa"/>
            <w:vAlign w:val="bottom"/>
          </w:tcPr>
          <w:p>
            <w:pPr>
              <w:spacing w:after="0"/>
              <w:rPr>
                <w:sz w:val="1"/>
                <w:szCs w:val="1"/>
                <w:color w:val="auto"/>
              </w:rPr>
            </w:pPr>
          </w:p>
        </w:tc>
      </w:tr>
      <w:tr>
        <w:trPr>
          <w:trHeight w:val="202"/>
        </w:trPr>
        <w:tc>
          <w:tcPr>
            <w:tcW w:w="4240" w:type="dxa"/>
            <w:vAlign w:val="bottom"/>
          </w:tcPr>
          <w:p>
            <w:pPr>
              <w:ind w:left="360"/>
              <w:spacing w:after="0" w:line="201" w:lineRule="exact"/>
              <w:rPr>
                <w:sz w:val="20"/>
                <w:szCs w:val="20"/>
                <w:color w:val="auto"/>
              </w:rPr>
            </w:pPr>
            <w:r>
              <w:rPr>
                <w:rFonts w:ascii="Arial" w:cs="Arial" w:eastAsia="Arial" w:hAnsi="Arial"/>
                <w:sz w:val="18"/>
                <w:szCs w:val="18"/>
                <w:color w:val="auto"/>
                <w:w w:val="97"/>
              </w:rPr>
              <w:t>Recognized interest (income) expense on interest</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2,811</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7,578</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40"/>
              <w:spacing w:after="0"/>
              <w:rPr>
                <w:sz w:val="20"/>
                <w:szCs w:val="20"/>
                <w:color w:val="auto"/>
              </w:rPr>
            </w:pPr>
            <w:r>
              <w:rPr>
                <w:rFonts w:ascii="Arial" w:cs="Arial" w:eastAsia="Arial" w:hAnsi="Arial"/>
                <w:sz w:val="18"/>
                <w:szCs w:val="18"/>
                <w:color w:val="auto"/>
              </w:rPr>
              <w:t>rate swaps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swaps from debt refinancing</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1,330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1,330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Tax expense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(498)</w:t>
            </w:r>
          </w:p>
        </w:tc>
        <w:tc>
          <w:tcPr>
            <w:tcW w:w="5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(498)</w:t>
            </w:r>
          </w:p>
        </w:tc>
        <w:tc>
          <w:tcPr>
            <w:tcW w:w="5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62,898</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27,381</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220,281</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86,402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9"/>
              </w:rPr>
              <w:t>Redeemable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Membership</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24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Membership</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60" w:type="dxa"/>
            <w:vAlign w:val="bottom"/>
            <w:gridSpan w:val="16"/>
            <w:vMerge w:val="restart"/>
          </w:tcPr>
          <w:p>
            <w:pPr>
              <w:jc w:val="right"/>
              <w:ind w:right="860"/>
              <w:spacing w:after="0"/>
              <w:rPr>
                <w:sz w:val="20"/>
                <w:szCs w:val="20"/>
                <w:color w:val="auto"/>
              </w:rPr>
            </w:pPr>
            <w:r>
              <w:rPr>
                <w:rFonts w:ascii="Arial" w:cs="Arial" w:eastAsia="Arial" w:hAnsi="Arial"/>
                <w:sz w:val="14"/>
                <w:szCs w:val="14"/>
                <w:b w:val="1"/>
                <w:bCs w:val="1"/>
                <w:color w:val="auto"/>
              </w:rPr>
              <w:t>Partners’ Equity / Stockholders’ Equity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720" w:type="dxa"/>
            <w:vAlign w:val="bottom"/>
            <w:gridSpan w:val="4"/>
          </w:tcPr>
          <w:p>
            <w:pPr>
              <w:jc w:val="center"/>
              <w:ind w:left="276"/>
              <w:spacing w:after="0"/>
              <w:rPr>
                <w:sz w:val="20"/>
                <w:szCs w:val="20"/>
                <w:color w:val="auto"/>
              </w:rPr>
            </w:pPr>
            <w:r>
              <w:rPr>
                <w:rFonts w:ascii="Arial" w:cs="Arial" w:eastAsia="Arial" w:hAnsi="Arial"/>
                <w:sz w:val="14"/>
                <w:szCs w:val="14"/>
                <w:b w:val="1"/>
                <w:bCs w:val="1"/>
                <w:color w:val="auto"/>
                <w:w w:val="97"/>
              </w:rPr>
              <w:t>Units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16"/>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10"/>
        </w:trPr>
        <w:tc>
          <w:tcPr>
            <w:tcW w:w="29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Total</w:t>
            </w: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auto"/>
                <w:w w:val="88"/>
              </w:rPr>
              <w:t>Common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Partners’ /</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Partners’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5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Retained</w:t>
            </w: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Stockholders’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Units </w:t>
            </w: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6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85"/>
              </w:rPr>
              <w:t>Amount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96"/>
              </w:rPr>
              <w:t>Shares</w:t>
            </w:r>
          </w:p>
        </w:tc>
        <w:tc>
          <w:tcPr>
            <w:tcW w:w="60" w:type="dxa"/>
            <w:vAlign w:val="bottom"/>
          </w:tcPr>
          <w:p>
            <w:pPr>
              <w:spacing w:after="0"/>
              <w:rPr>
                <w:sz w:val="11"/>
                <w:szCs w:val="11"/>
                <w:color w:val="auto"/>
              </w:rPr>
            </w:pPr>
          </w:p>
        </w:tc>
        <w:tc>
          <w:tcPr>
            <w:tcW w:w="5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Capital</w:t>
            </w:r>
          </w:p>
        </w:tc>
        <w:tc>
          <w:tcPr>
            <w:tcW w:w="5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Earnings</w:t>
            </w: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Equity</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Units /</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 xml:space="preserve">Units </w:t>
            </w:r>
            <w:r>
              <w:rPr>
                <w:rFonts w:ascii="Arial" w:cs="Arial" w:eastAsia="Arial" w:hAnsi="Arial"/>
                <w:sz w:val="10"/>
                <w:szCs w:val="10"/>
                <w:b w:val="1"/>
                <w:bCs w:val="1"/>
                <w:color w:val="auto"/>
                <w:w w:val="90"/>
              </w:rPr>
              <w:t>(1)</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 xml:space="preserve">Shares </w:t>
            </w:r>
            <w:r>
              <w:rPr>
                <w:rFonts w:ascii="Arial" w:cs="Arial" w:eastAsia="Arial" w:hAnsi="Arial"/>
                <w:sz w:val="10"/>
                <w:szCs w:val="10"/>
                <w:b w:val="1"/>
                <w:bCs w:val="1"/>
                <w:color w:val="auto"/>
                <w:w w:val="87"/>
              </w:rPr>
              <w:t>(1)</w:t>
            </w:r>
          </w:p>
        </w:tc>
        <w:tc>
          <w:tcPr>
            <w:tcW w:w="0" w:type="dxa"/>
            <w:vAlign w:val="bottom"/>
          </w:tcPr>
          <w:p>
            <w:pPr>
              <w:spacing w:after="0"/>
              <w:rPr>
                <w:sz w:val="1"/>
                <w:szCs w:val="1"/>
                <w:color w:val="auto"/>
              </w:rPr>
            </w:pPr>
          </w:p>
        </w:tc>
      </w:tr>
      <w:tr>
        <w:trPr>
          <w:trHeight w:val="128"/>
        </w:trPr>
        <w:tc>
          <w:tcPr>
            <w:tcW w:w="2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February 1, 2020</w:t>
            </w:r>
          </w:p>
        </w:tc>
        <w:tc>
          <w:tcPr>
            <w:tcW w:w="440" w:type="dxa"/>
            <w:vAlign w:val="bottom"/>
            <w:tcBorders>
              <w:top w:val="single" w:sz="8" w:color="auto"/>
              <w:bottom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b w:val="1"/>
                <w:bCs w:val="1"/>
                <w:color w:val="auto"/>
                <w:w w:val="73"/>
              </w:rPr>
              <w:t>162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2,818</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72,306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996,285</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(8,066)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988,219</w:t>
            </w: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72,468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00" w:type="dxa"/>
            <w:vAlign w:val="bottom"/>
          </w:tcPr>
          <w:p>
            <w:pPr>
              <w:ind w:left="240"/>
              <w:spacing w:after="0" w:line="142" w:lineRule="exact"/>
              <w:rPr>
                <w:sz w:val="20"/>
                <w:szCs w:val="20"/>
                <w:color w:val="auto"/>
              </w:rPr>
            </w:pPr>
            <w:r>
              <w:rPr>
                <w:rFonts w:ascii="Arial" w:cs="Arial" w:eastAsia="Arial" w:hAnsi="Arial"/>
                <w:sz w:val="13"/>
                <w:szCs w:val="13"/>
                <w:color w:val="auto"/>
              </w:rPr>
              <w:t>Net loss</w:t>
            </w:r>
          </w:p>
        </w:tc>
        <w:tc>
          <w:tcPr>
            <w:tcW w:w="440" w:type="dxa"/>
            <w:vAlign w:val="bottom"/>
          </w:tcPr>
          <w:p>
            <w:pPr>
              <w:ind w:lef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160"/>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w w:val="99"/>
              </w:rPr>
              <w:t>(10,020)</w:t>
            </w:r>
          </w:p>
        </w:tc>
        <w:tc>
          <w:tcPr>
            <w:tcW w:w="1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(10,020)</w:t>
            </w:r>
          </w:p>
        </w:tc>
        <w:tc>
          <w:tcPr>
            <w:tcW w:w="180" w:type="dxa"/>
            <w:vAlign w:val="bottom"/>
          </w:tcPr>
          <w:p>
            <w:pPr>
              <w:spacing w:after="0"/>
              <w:rPr>
                <w:sz w:val="12"/>
                <w:szCs w:val="12"/>
                <w:color w:val="auto"/>
              </w:rPr>
            </w:pPr>
          </w:p>
        </w:tc>
        <w:tc>
          <w:tcPr>
            <w:tcW w:w="800" w:type="dxa"/>
            <w:vAlign w:val="bottom"/>
          </w:tcPr>
          <w:p>
            <w:pPr>
              <w:jc w:val="right"/>
              <w:ind w:right="16"/>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2,109</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2,109</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w w:val="92"/>
              </w:rPr>
              <w:t>Adjustment to Redeemable Membership Units for</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settlement of vested Restricted Units</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200</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(200)</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2"/>
              </w:rPr>
              <w:t>Adjustment to Redeemable Membership Units for</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repurchase of units from Managers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w w:val="97"/>
              </w:rPr>
              <w:t>Repurchase of Redeemable Membership Units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Unrealized loss on interest rate swaps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(4,434)</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w w:val="88"/>
              </w:rPr>
              <w:t>Recognized interest expense on interest rate swaps</w:t>
            </w: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1,893</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as of May 2, 2020</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172</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8"/>
              </w:rPr>
              <w:t>2,977</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72,306</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988,178</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(10,607)</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977,571</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72,478</w:t>
            </w:r>
          </w:p>
        </w:tc>
        <w:tc>
          <w:tcPr>
            <w:tcW w:w="0" w:type="dxa"/>
            <w:vAlign w:val="bottom"/>
          </w:tcPr>
          <w:p>
            <w:pPr>
              <w:spacing w:after="0"/>
              <w:rPr>
                <w:sz w:val="1"/>
                <w:szCs w:val="1"/>
                <w:color w:val="auto"/>
              </w:rPr>
            </w:pPr>
          </w:p>
        </w:tc>
      </w:tr>
      <w:tr>
        <w:trPr>
          <w:trHeight w:val="142"/>
        </w:trPr>
        <w:tc>
          <w:tcPr>
            <w:tcW w:w="2900" w:type="dxa"/>
            <w:vAlign w:val="bottom"/>
          </w:tcPr>
          <w:p>
            <w:pPr>
              <w:ind w:left="240"/>
              <w:spacing w:after="0" w:line="142" w:lineRule="exact"/>
              <w:rPr>
                <w:sz w:val="20"/>
                <w:szCs w:val="20"/>
                <w:color w:val="auto"/>
              </w:rPr>
            </w:pPr>
            <w:r>
              <w:rPr>
                <w:rFonts w:ascii="Arial" w:cs="Arial" w:eastAsia="Arial" w:hAnsi="Arial"/>
                <w:sz w:val="13"/>
                <w:szCs w:val="13"/>
                <w:color w:val="auto"/>
              </w:rPr>
              <w:t>Net income</w:t>
            </w:r>
          </w:p>
        </w:tc>
        <w:tc>
          <w:tcPr>
            <w:tcW w:w="44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167,676</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167,676</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1,581</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1,581</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Unrealized loss on interest rate swaps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(606)</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8"/>
              </w:rPr>
              <w:t>Recognized interest expense on interest rate swaps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2,874</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as of August 1, 2020</w:t>
            </w:r>
          </w:p>
        </w:tc>
        <w:tc>
          <w:tcPr>
            <w:tcW w:w="4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3"/>
                <w:szCs w:val="13"/>
                <w:color w:val="auto"/>
                <w:w w:val="73"/>
              </w:rPr>
              <w:t>172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2,977</w:t>
            </w: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72,306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1,157,435</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1,149,096</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72,478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59,586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59,586</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Distributions to holders of Membership Units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(257,000)</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(257,000)</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Effect of the Reorganization Transactions</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7"/>
              </w:rPr>
              <w:t>(2,977)</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(72,306)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(900,435)</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72,478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725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66,627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836,060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2,977</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23,359</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23,359</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Issuance of common stock in IPO, net of Offering</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Costs</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15,625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156</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184,726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184,882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15,625</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rPr>
              <w:t>Cumulative tax effect resulting from</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Reorganization Transactions</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(148,829)</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(148,829)</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Share-Based Award Payments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(32,819)</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(32,819)</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Stock option exercises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Unrealized loss on interest rate swaps (net of tax</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impact of $53)</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w w:val="88"/>
              </w:rPr>
              <w:t>Recognized interest expense on interest rate swaps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(net of tax impact of $221)</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2,590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2,590</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6"/>
              </w:rPr>
              <w:t>Loss on swaps from debt refinancing (net of tax</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impact of $330)</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as of October 31, 2020</w:t>
            </w:r>
          </w:p>
        </w:tc>
        <w:tc>
          <w:tcPr>
            <w:tcW w:w="4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88,104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w w:val="73"/>
              </w:rPr>
              <w:t>881</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93,064</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5"/>
              </w:rPr>
              <w:t>895,646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(5,027)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984,564</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88,104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227"/>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Redeemable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5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Membership</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Partners’ Equity</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Accumulated</w:t>
            </w: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Partners’ Equity</w:t>
            </w:r>
          </w:p>
        </w:tc>
        <w:tc>
          <w:tcPr>
            <w:tcW w:w="200" w:type="dxa"/>
            <w:vAlign w:val="bottom"/>
            <w:vMerge w:val="restart"/>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16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280"/>
              <w:spacing w:after="0" w:line="127" w:lineRule="exact"/>
              <w:rPr>
                <w:sz w:val="20"/>
                <w:szCs w:val="20"/>
                <w:color w:val="auto"/>
              </w:rPr>
            </w:pPr>
            <w:r>
              <w:rPr>
                <w:rFonts w:ascii="Arial" w:cs="Arial" w:eastAsia="Arial" w:hAnsi="Arial"/>
                <w:sz w:val="14"/>
                <w:szCs w:val="14"/>
                <w:b w:val="1"/>
                <w:bCs w:val="1"/>
                <w:color w:val="auto"/>
              </w:rPr>
              <w:t>Units</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 xml:space="preserve">Units </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b w:val="1"/>
                <w:bCs w:val="1"/>
                <w:color w:val="auto"/>
              </w:rPr>
              <w:t>(1)</w:t>
            </w: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as of February 2, 2019</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1,362</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w w:val="85"/>
              </w:rPr>
              <w:t>17,885</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71,111</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848,591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w w:val="84"/>
              </w:rPr>
              <w:t>8,448</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857,039</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72,473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25,406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25,406</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6"/>
              </w:rPr>
              <w:t>Cumulative-effect adjustment related to the adoption of the New Lease</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Standard</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5,075</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(3,510)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income on interest rate swaps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(882)</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(882)</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May 4, 2019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17,885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71,111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881,094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4"/>
              </w:rPr>
              <w:t>4,056</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885,150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48,347</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48,347</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6"/>
              </w:rPr>
              <w:t>Adjustment to Redeemable Membership Units for settlement of vested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Restricted Units</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300</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320"/>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(300)</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(9,632)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(9,632)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income on interest rate swaps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(708)</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(708)</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August 3, 2019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18,185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71,111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931,586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(6,284)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925,302</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28,552</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28,552</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Equity contributions from Managers</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Adjustment to Redeemable Membership Units for settlement of vested</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Units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101</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8"/>
              </w:rPr>
              <w:t>Adjustment to Redeemable Membership Units for repurchase of units</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from Managers</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(538)</w:t>
            </w: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538</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Redeemable Membership Units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Reclassification of membership units with lapsed put rights (Note 2)</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(1,195)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(14,930)</w:t>
            </w:r>
          </w:p>
        </w:tc>
        <w:tc>
          <w:tcPr>
            <w:tcW w:w="480" w:type="dxa"/>
            <w:vAlign w:val="bottom"/>
          </w:tcPr>
          <w:p>
            <w:pPr>
              <w:jc w:val="right"/>
              <w:spacing w:after="0"/>
              <w:rPr>
                <w:sz w:val="20"/>
                <w:szCs w:val="20"/>
                <w:color w:val="auto"/>
              </w:rPr>
            </w:pPr>
            <w:r>
              <w:rPr>
                <w:rFonts w:ascii="Arial" w:cs="Arial" w:eastAsia="Arial" w:hAnsi="Arial"/>
                <w:sz w:val="16"/>
                <w:szCs w:val="16"/>
                <w:color w:val="auto"/>
              </w:rPr>
              <w:t>1,195</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14,930</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(1,317)</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expense on interest rate swaps</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82"/>
              </w:rPr>
              <w:t>146</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November 2, 2019</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162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2,818</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72,306</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976,538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(7,455)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969,083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72,468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228"/>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5"/>
              </w:rPr>
              <w:t>Thirty-Nine Weeks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38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217,242</w:t>
            </w:r>
          </w:p>
        </w:tc>
        <w:tc>
          <w:tcPr>
            <w:tcW w:w="8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102,305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6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79,718</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88,693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Non-cash lease expense</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14,870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Equity compensation</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27,049</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deferred loan and other costs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2,734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Loss on swaps from debt refinancing</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1,330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(11,739)</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Non-cash gain on early retirement of debt, net</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(7,831)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(42,265)</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disposal of property and equipment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Casualty loss</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114</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2,121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Merchandise inventories, net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16,727</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(197,812)</w:t>
            </w: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(1,151)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noncurrent assets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245</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439,682</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99,557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44,733</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9,590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long-term liabilities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21,784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7"/>
        </w:trPr>
        <w:tc>
          <w:tcPr>
            <w:tcW w:w="7960" w:type="dxa"/>
            <w:vAlign w:val="bottom"/>
          </w:tcPr>
          <w:p>
            <w:pPr>
              <w:ind w:left="13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857,218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(21,915)</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(48,614)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the sale of property and equipment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Notes receivable from member</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8,125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(13,790)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(52,579)</w:t>
            </w: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revolving credit facility</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500,000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(500,000)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(356,800)</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of term loan facility</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(29,653)</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(118,257)</w:t>
            </w: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Debt issuance fees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(556)</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Award Payments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(20,724)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Distribution</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(257,000)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contributions from Managers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Proceeds from issuance of common stock, net of Offering Costs</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184,882</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Redeemable Membership Units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(37)</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3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(123,088)</w:t>
            </w:r>
          </w:p>
        </w:tc>
        <w:tc>
          <w:tcPr>
            <w:tcW w:w="4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(74,330)</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720,340</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149,385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869,725</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4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40" w:type="dxa"/>
            <w:vAlign w:val="bottom"/>
          </w:tcPr>
          <w:p>
            <w:pPr>
              <w:spacing w:after="0"/>
              <w:rPr>
                <w:sz w:val="12"/>
                <w:szCs w:val="12"/>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1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48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68,759</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74,818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2,461</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issuance of common stock</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132</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Change in capital expenditures in accounts payable and accrued liabilities</w:t>
            </w:r>
          </w:p>
        </w:tc>
        <w:tc>
          <w:tcPr>
            <w:tcW w:w="148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985</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new operating leases</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84,595</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55,562</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ACADEMY SPORTS AND OUTDOORS, INC. CONDENSED NOTES TO CONSOLIDATED FINANCIAL STATEMENTS (Unaudited)</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560" w:right="40" w:firstLine="423"/>
        <w:spacing w:after="0" w:line="270" w:lineRule="auto"/>
        <w:rPr>
          <w:sz w:val="20"/>
          <w:szCs w:val="20"/>
          <w:color w:val="auto"/>
        </w:rPr>
      </w:pPr>
      <w:r>
        <w:rPr>
          <w:rFonts w:ascii="Arial" w:cs="Arial" w:eastAsia="Arial" w:hAnsi="Arial"/>
          <w:sz w:val="17"/>
          <w:szCs w:val="17"/>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Upon completion of our initial public offering (the “IPO”) detailed below, affiliates of KKR held a 69.9% ownership interest in the Company (see IPO Over-Allotment Exercise in Note 15).</w:t>
      </w:r>
    </w:p>
    <w:p>
      <w:pPr>
        <w:spacing w:after="0" w:line="73" w:lineRule="exact"/>
        <w:rPr>
          <w:sz w:val="20"/>
          <w:szCs w:val="20"/>
          <w:color w:val="auto"/>
        </w:rPr>
      </w:pPr>
    </w:p>
    <w:p>
      <w:pPr>
        <w:ind w:left="560" w:right="20" w:firstLine="423"/>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October 31,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17"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On October 6, 2020, ASO, Inc. completed an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42" w:lineRule="exact"/>
        <w:rPr>
          <w:sz w:val="20"/>
          <w:szCs w:val="20"/>
          <w:color w:val="auto"/>
        </w:rPr>
      </w:pPr>
    </w:p>
    <w:p>
      <w:pPr>
        <w:ind w:left="1540" w:right="400" w:hanging="331"/>
        <w:spacing w:after="0" w:line="277" w:lineRule="auto"/>
        <w:tabs>
          <w:tab w:leader="none" w:pos="1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60" w:right="20" w:firstLine="423"/>
        <w:spacing w:after="0" w:line="287" w:lineRule="auto"/>
        <w:rPr>
          <w:sz w:val="20"/>
          <w:szCs w:val="20"/>
          <w:color w:val="auto"/>
        </w:rPr>
      </w:pPr>
      <w:r>
        <w:rPr>
          <w:rFonts w:ascii="Arial" w:cs="Arial" w:eastAsia="Arial" w:hAnsi="Arial"/>
          <w:sz w:val="16"/>
          <w:szCs w:val="16"/>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February 1, 2020 included in our final prospectus dated October 1, 2020 (the “Prospectus”), as filed with the SEC on October 2, 2020 pursuant to Rule 424(b)(4) under the Securities Act. The information furnished herein reflects all normal recurring adjustments which are, in the opinion of management, necessary for a fair presentation of the results for the interim periods presented. The results of operations for the thirteen and thirty-nine weeks ended October 31,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included for the year ended February 1, 2020.</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These unaudited condensed consolidated financial statements include the accounts of ASO, Inc. and, its subsidiaries, ASO Co-Invest Blocker Sub, L.P., ASO Blocker Sub, L.P., NAHC, Academy Managing Co., LLC, Associated Investors, LLC, Academy, Ltd., the Company’s operating company, and Academy International Limited. ASO Co-Invest Blocker Sub, L.P., ASO Blocker Sub, L.P., NAHC, Academy Managing Co., LLC, and Associated Investors, LLC are intermediate holding companies. All intercompany balances and transactions have been eliminated in consolidation.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are becoming more challenging, and actual results could differ materially from our estimates.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right="40" w:firstLine="423"/>
        <w:spacing w:after="0" w:line="275" w:lineRule="auto"/>
        <w:rPr>
          <w:sz w:val="20"/>
          <w:szCs w:val="20"/>
          <w:color w:val="auto"/>
        </w:rPr>
      </w:pPr>
      <w:r>
        <w:rPr>
          <w:rFonts w:ascii="Arial" w:cs="Arial" w:eastAsia="Arial" w:hAnsi="Arial"/>
          <w:sz w:val="17"/>
          <w:szCs w:val="17"/>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November 2, 2019 for comparability purposes. This reclassification is in divisional presentation only and did not impact the overall net sales balances previously disclosed.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17" w:lineRule="exact"/>
        <w:rPr>
          <w:sz w:val="20"/>
          <w:szCs w:val="20"/>
          <w:color w:val="auto"/>
        </w:rPr>
      </w:pPr>
    </w:p>
    <w:p>
      <w:pPr>
        <w:ind w:left="560" w:right="40" w:firstLine="423"/>
        <w:spacing w:after="0" w:line="289" w:lineRule="auto"/>
        <w:rPr>
          <w:sz w:val="20"/>
          <w:szCs w:val="20"/>
          <w:color w:val="auto"/>
        </w:rPr>
      </w:pPr>
      <w:r>
        <w:rPr>
          <w:rFonts w:ascii="Arial" w:cs="Arial" w:eastAsia="Arial" w:hAnsi="Arial"/>
          <w:sz w:val="16"/>
          <w:szCs w:val="16"/>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Balance Sheets, Statements of Income, Statements of Partners’ / Stockholders’ Equity, Note 10. Equity and Share-Based Compensation and Note 11. Earnings per Share.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17" w:lineRule="exact"/>
        <w:rPr>
          <w:sz w:val="20"/>
          <w:szCs w:val="20"/>
          <w:color w:val="auto"/>
        </w:rPr>
      </w:pPr>
    </w:p>
    <w:p>
      <w:pPr>
        <w:jc w:val="both"/>
        <w:ind w:left="560" w:right="60" w:firstLine="423"/>
        <w:spacing w:after="0" w:line="286" w:lineRule="auto"/>
        <w:rPr>
          <w:sz w:val="20"/>
          <w:szCs w:val="20"/>
          <w:color w:val="auto"/>
        </w:rPr>
      </w:pPr>
      <w:r>
        <w:rPr>
          <w:rFonts w:ascii="Arial" w:cs="Arial" w:eastAsia="Arial" w:hAnsi="Arial"/>
          <w:sz w:val="16"/>
          <w:szCs w:val="16"/>
          <w:color w:val="auto"/>
        </w:rPr>
        <w:t>Prior to October 1, 2020, Allstar Managers LLC, a Delaware limited liability company (“Managers”), owned membership units in NAHC (each, a “NAHC Membership Unit”). Managers is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w:t>
      </w:r>
    </w:p>
    <w:p>
      <w:pPr>
        <w:spacing w:after="0" w:line="1" w:lineRule="exact"/>
        <w:rPr>
          <w:sz w:val="20"/>
          <w:szCs w:val="20"/>
          <w:color w:val="auto"/>
        </w:rPr>
      </w:pPr>
    </w:p>
    <w:p>
      <w:pPr>
        <w:ind w:left="560" w:right="60" w:hanging="4"/>
        <w:spacing w:after="0" w:line="253" w:lineRule="auto"/>
        <w:tabs>
          <w:tab w:leader="none" w:pos="81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corresponded to an outstanding NAHC Membership Unit, on a unit-for-unit basis.</w:t>
      </w:r>
    </w:p>
    <w:p>
      <w:pPr>
        <w:spacing w:after="0" w:line="83"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 the number of shares of ASO, Inc. common stock held by Managers on a 1:1 basis.</w:t>
      </w:r>
    </w:p>
    <w:p>
      <w:pPr>
        <w:spacing w:after="0" w:line="79"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color w:val="auto"/>
        </w:rPr>
        <w:t>NAHC is the sole managing member of Managers with a controlling voting interest, but no economic interest, in Managers. As the sole managing member of Managers, NAHC operates and controls all business affairs of Managers.</w:t>
      </w:r>
    </w:p>
    <w:p>
      <w:pPr>
        <w:spacing w:after="0" w:line="62"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The terms and conditions of the agreements governing the Redeemable Membership Units include provisions by which the holder, or its heirs, have the right to require Managers or NAHC to purchase the holder’s Redeemable Membership Units upon the holder’s termination of employment due to death or disability for cash at fair value. The carrying value of the Redeemable Membership Units is classified as temporary equity, initially at fair value, as redemption was an event that was not solely within our control. If redemption becomes probable, we are required to re-measure the Redeemable Membership Units to fair value. Periodically, these rights lapsed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The Company is subject to U.S. federal, state and foreign income taxes. We account for income taxes under the asset and liability method, which requires the recognition of deferred tax assets and liabilities for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00"/>
          </w:cols>
          <w:pgMar w:left="320" w:top="459" w:right="5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color w:val="auto"/>
        </w:rPr>
        <w:t>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41" w:lineRule="exact"/>
        <w:rPr>
          <w:sz w:val="20"/>
          <w:szCs w:val="20"/>
          <w:color w:val="auto"/>
        </w:rPr>
      </w:pPr>
    </w:p>
    <w:p>
      <w:pPr>
        <w:ind w:left="560" w:right="120" w:firstLine="423"/>
        <w:spacing w:after="0" w:line="291" w:lineRule="auto"/>
        <w:rPr>
          <w:sz w:val="20"/>
          <w:szCs w:val="20"/>
          <w:color w:val="auto"/>
        </w:rPr>
      </w:pPr>
      <w:r>
        <w:rPr>
          <w:rFonts w:ascii="Arial" w:cs="Arial" w:eastAsia="Arial" w:hAnsi="Arial"/>
          <w:sz w:val="16"/>
          <w:szCs w:val="16"/>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Net Sales</w:t>
      </w:r>
    </w:p>
    <w:p>
      <w:pPr>
        <w:spacing w:after="0" w:line="121" w:lineRule="exact"/>
        <w:rPr>
          <w:sz w:val="20"/>
          <w:szCs w:val="20"/>
          <w:color w:val="auto"/>
        </w:rPr>
      </w:pPr>
    </w:p>
    <w:p>
      <w:pPr>
        <w:ind w:left="560" w:right="120" w:firstLine="423"/>
        <w:spacing w:after="0" w:line="263"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the approximate amount of sales by merchandise divisions for the periods presented (amounts in thousands):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Thirty-Nine Weeks Ended</w:t>
            </w:r>
          </w:p>
        </w:tc>
      </w:tr>
      <w:tr>
        <w:trPr>
          <w:trHeight w:val="142"/>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4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Outdoors</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487,401</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364,944</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1,448,987</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1,002,138</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263,506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196,592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919,699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721,665</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318,731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322,375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939,388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951,385</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272,626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255,649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762,174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769,857</w:t>
            </w:r>
          </w:p>
        </w:tc>
      </w:tr>
      <w:tr>
        <w:trPr>
          <w:trHeight w:val="223"/>
        </w:trPr>
        <w:tc>
          <w:tcPr>
            <w:tcW w:w="5040" w:type="dxa"/>
            <w:vAlign w:val="bottom"/>
          </w:tcPr>
          <w:p>
            <w:pPr>
              <w:ind w:left="720"/>
              <w:spacing w:after="0"/>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1,342,264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1,139,560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4,070,248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3,445,045</w:t>
            </w:r>
          </w:p>
        </w:tc>
        <w:tc>
          <w:tcPr>
            <w:tcW w:w="4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sales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6,812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21,549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14,360</w:t>
            </w:r>
          </w:p>
        </w:tc>
      </w:tr>
      <w:tr>
        <w:trPr>
          <w:trHeight w:val="223"/>
        </w:trPr>
        <w:tc>
          <w:tcPr>
            <w:tcW w:w="5040" w:type="dxa"/>
            <w:vAlign w:val="bottom"/>
          </w:tcPr>
          <w:p>
            <w:pPr>
              <w:ind w:left="72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1,349,076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1,145,203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4,091,797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3,459,405</w:t>
            </w:r>
          </w:p>
        </w:tc>
        <w:tc>
          <w:tcPr>
            <w:tcW w:w="4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54" w:lineRule="auto"/>
        <w:tabs>
          <w:tab w:leader="none" w:pos="540" w:val="left"/>
        </w:tabs>
        <w:numPr>
          <w:ilvl w:val="0"/>
          <w:numId w:val="231"/>
        </w:numPr>
        <w:rPr>
          <w:rFonts w:ascii="Arial" w:cs="Arial" w:eastAsia="Arial" w:hAnsi="Arial"/>
          <w:sz w:val="15"/>
          <w:szCs w:val="15"/>
          <w:color w:val="auto"/>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November 2, 2019 for comparability purposes. This reclassification is in divisional presentation only and did not impact the overall net sales balances previously disclosed (see Note 2).</w:t>
      </w:r>
    </w:p>
    <w:p>
      <w:pPr>
        <w:spacing w:after="0" w:line="2" w:lineRule="exact"/>
        <w:rPr>
          <w:rFonts w:ascii="Arial" w:cs="Arial" w:eastAsia="Arial" w:hAnsi="Arial"/>
          <w:sz w:val="15"/>
          <w:szCs w:val="15"/>
          <w:color w:val="auto"/>
        </w:rPr>
      </w:pPr>
    </w:p>
    <w:p>
      <w:pPr>
        <w:ind w:left="540" w:right="200" w:hanging="424"/>
        <w:spacing w:after="0" w:line="250" w:lineRule="auto"/>
        <w:tabs>
          <w:tab w:leader="none" w:pos="540" w:val="left"/>
        </w:tabs>
        <w:numPr>
          <w:ilvl w:val="0"/>
          <w:numId w:val="231"/>
        </w:numPr>
        <w:rPr>
          <w:rFonts w:ascii="Arial" w:cs="Arial" w:eastAsia="Arial" w:hAnsi="Arial"/>
          <w:sz w:val="15"/>
          <w:szCs w:val="15"/>
          <w:color w:val="auto"/>
        </w:rPr>
      </w:pPr>
      <w:r>
        <w:rPr>
          <w:rFonts w:ascii="Arial" w:cs="Arial" w:eastAsia="Arial" w:hAnsi="Arial"/>
          <w:sz w:val="18"/>
          <w:szCs w:val="18"/>
          <w:color w:val="auto"/>
        </w:rPr>
        <w:t>E-commerce sales consisted of 7.5% and 9.8% of merchandise sales for the thirteen and thirty-nine weeks ended October 31, 2020, respectively, and 4.5% and 3.8% for the thirteen and thirty-nine weeks ended November 2, 2019, respectively.</w:t>
      </w:r>
    </w:p>
    <w:p>
      <w:pPr>
        <w:ind w:left="540" w:right="220" w:hanging="424"/>
        <w:spacing w:after="0" w:line="260" w:lineRule="auto"/>
        <w:tabs>
          <w:tab w:leader="none" w:pos="540" w:val="left"/>
        </w:tabs>
        <w:numPr>
          <w:ilvl w:val="0"/>
          <w:numId w:val="231"/>
        </w:numPr>
        <w:rPr>
          <w:rFonts w:ascii="Arial" w:cs="Arial" w:eastAsia="Arial" w:hAnsi="Arial"/>
          <w:sz w:val="15"/>
          <w:szCs w:val="15"/>
          <w:color w:val="auto"/>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77"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80" w:type="dxa"/>
            <w:vAlign w:val="bottom"/>
            <w:tcBorders>
              <w:top w:val="single" w:sz="8" w:color="auto"/>
            </w:tcBorders>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tcBorders>
              <w:top w:val="single" w:sz="8" w:color="auto"/>
            </w:tcBorders>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Gift card liability, beginning balance</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55,410</w:t>
            </w: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67,993</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Issued</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14,910</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47,524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Redeemed</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(17,861)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(61,574)</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Recognized as breakage income</w:t>
            </w:r>
          </w:p>
        </w:tc>
        <w:tc>
          <w:tcPr>
            <w:tcW w:w="3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(1,854)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Gift card liability, ending balance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52,089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52,089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4"/>
          </w:tcPr>
          <w:p>
            <w:pPr>
              <w:ind w:left="860"/>
              <w:spacing w:after="0"/>
              <w:rPr>
                <w:sz w:val="20"/>
                <w:szCs w:val="20"/>
                <w:color w:val="auto"/>
              </w:rPr>
            </w:pPr>
            <w:r>
              <w:rPr>
                <w:rFonts w:ascii="Arial" w:cs="Arial" w:eastAsia="Arial" w:hAnsi="Arial"/>
                <w:sz w:val="18"/>
                <w:szCs w:val="18"/>
                <w:color w:val="auto"/>
              </w:rPr>
              <w:t>Our debt consisted of the following (amounts in thousands) as of:</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October 31, 2020</w:t>
            </w:r>
          </w:p>
        </w:tc>
        <w:tc>
          <w:tcPr>
            <w:tcW w:w="10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Asset-Based Revolving Credit Facility</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gridSpan w:val="4"/>
          </w:tcPr>
          <w:p>
            <w:pPr>
              <w:spacing w:after="0" w:line="201" w:lineRule="exact"/>
              <w:rPr>
                <w:sz w:val="20"/>
                <w:szCs w:val="20"/>
                <w:color w:val="auto"/>
              </w:rPr>
            </w:pPr>
            <w:r>
              <w:rPr>
                <w:rFonts w:ascii="Arial" w:cs="Arial" w:eastAsia="Arial" w:hAnsi="Arial"/>
                <w:sz w:val="18"/>
                <w:szCs w:val="18"/>
                <w:color w:val="auto"/>
                <w:w w:val="95"/>
              </w:rPr>
              <w:t>Senior Secured Term Loan Facility, due July 2022 net of discount of $1.8 million,</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1,429,667</w:t>
            </w:r>
          </w:p>
        </w:tc>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$2.6 million and $2.9 million, respectively</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1,466,402</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1,470,695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1,429,667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1,466,402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1,514,995</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(18,250)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(34,116)</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1,408,885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1,428,542</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2"/>
        </w:numPr>
        <w:rPr>
          <w:rFonts w:ascii="Arial" w:cs="Arial" w:eastAsia="Arial" w:hAnsi="Arial"/>
          <w:sz w:val="15"/>
          <w:szCs w:val="15"/>
          <w:color w:val="auto"/>
        </w:rPr>
      </w:pPr>
      <w:r>
        <w:rPr>
          <w:rFonts w:ascii="Arial" w:cs="Arial" w:eastAsia="Arial" w:hAnsi="Arial"/>
          <w:sz w:val="18"/>
          <w:szCs w:val="18"/>
          <w:color w:val="auto"/>
        </w:rPr>
        <w:t>These costs are related to the 2015 Term Loan Facility.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November 6, 2020, the Company refinanced its long-term debt (see Note 15).</w:t>
      </w:r>
    </w:p>
    <w:p>
      <w:pPr>
        <w:spacing w:after="0" w:line="117" w:lineRule="exact"/>
        <w:rPr>
          <w:sz w:val="20"/>
          <w:szCs w:val="20"/>
          <w:color w:val="auto"/>
        </w:rPr>
      </w:pPr>
    </w:p>
    <w:p>
      <w:pPr>
        <w:jc w:val="both"/>
        <w:ind w:left="560" w:right="40" w:firstLine="423"/>
        <w:spacing w:after="0" w:line="287" w:lineRule="auto"/>
        <w:rPr>
          <w:sz w:val="20"/>
          <w:szCs w:val="20"/>
          <w:color w:val="auto"/>
        </w:rPr>
      </w:pPr>
      <w:r>
        <w:rPr>
          <w:rFonts w:ascii="Arial" w:cs="Arial" w:eastAsia="Arial" w:hAnsi="Arial"/>
          <w:sz w:val="16"/>
          <w:szCs w:val="16"/>
          <w:b w:val="1"/>
          <w:bCs w:val="1"/>
          <w:i w:val="1"/>
          <w:iCs w:val="1"/>
          <w:u w:val="single" w:color="auto"/>
          <w:color w:val="auto"/>
        </w:rPr>
        <w:t>2015 Term Loan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2, 2015, Academy, Ltd. entered into a seven-year $1.8 billion senior secured term loan facility (the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 Loan Facility”). The 2015 Term Loan Facility bears interest, at our election, at either (1) LIBOR rate with a floor of 1.00%, plus a margin of 4.00%, or (2) a base rate equal to the highest of (a) the federal funds rate plus 0.50%, (b) Morgan Stanley Senior Funding, Inc.’s “prime rate,” or</w:t>
      </w:r>
    </w:p>
    <w:p>
      <w:pPr>
        <w:spacing w:after="0" w:line="2" w:lineRule="exact"/>
        <w:rPr>
          <w:sz w:val="20"/>
          <w:szCs w:val="20"/>
          <w:color w:val="auto"/>
        </w:rPr>
      </w:pPr>
    </w:p>
    <w:p>
      <w:pPr>
        <w:ind w:left="560" w:right="20" w:hanging="4"/>
        <w:spacing w:after="0" w:line="253" w:lineRule="auto"/>
        <w:tabs>
          <w:tab w:leader="none" w:pos="80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one-month LIBOR rate plus 1.00%, plus a margin of 3.00%. Quarterly principal payments of approximately $4.6 million are required through June 30, 2022, with the balance due in full on the maturity date of July 2, 2022. As of October 31, 2020, the weighted average interest rate was 5.00%, with interest payable monthly. The terms and conditions of the 2015 Term Loan Facility also require that we prepay outstanding loans under the 2015 Term Loan Facility under certain circumstances. As of October 31, 2020, no prepayments of outstanding loans have been triggered under the terms and conditions of the 2015 Term Loan Facility.</w:t>
      </w:r>
    </w:p>
    <w:p>
      <w:pPr>
        <w:spacing w:after="0" w:line="83"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During the thirty-nine weeks ended October 31, 2020 and November 2, 2019, we repurchased a portion of our principal on the 2015 Term Loan Facility, which was trading at a discount, in open market transactions. The following table provides further detail regarding these repurchases (amounts in millions):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5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40" w:type="dxa"/>
            <w:vAlign w:val="bottom"/>
          </w:tcPr>
          <w:p>
            <w:pPr>
              <w:spacing w:after="0"/>
              <w:rPr>
                <w:sz w:val="12"/>
                <w:szCs w:val="12"/>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principal repurchased</w:t>
            </w:r>
          </w:p>
        </w:tc>
        <w:tc>
          <w:tcPr>
            <w:tcW w:w="2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Reacquisition price of debt</w:t>
            </w:r>
          </w:p>
        </w:tc>
        <w:tc>
          <w:tcPr>
            <w:tcW w:w="2500" w:type="dxa"/>
            <w:vAlign w:val="bottom"/>
            <w:gridSpan w:val="2"/>
          </w:tcPr>
          <w:p>
            <w:pPr>
              <w:ind w:left="2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16.0</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104.6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gain recognized</w:t>
            </w:r>
          </w:p>
        </w:tc>
        <w:tc>
          <w:tcPr>
            <w:tcW w:w="250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7.8</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r>
      <w:tr>
        <w:trPr>
          <w:trHeight w:val="365"/>
        </w:trPr>
        <w:tc>
          <w:tcPr>
            <w:tcW w:w="3020" w:type="dxa"/>
            <w:vAlign w:val="bottom"/>
          </w:tcPr>
          <w:p>
            <w:pPr>
              <w:spacing w:after="0"/>
              <w:rPr>
                <w:sz w:val="24"/>
                <w:szCs w:val="24"/>
                <w:color w:val="auto"/>
              </w:rPr>
            </w:pPr>
          </w:p>
        </w:tc>
        <w:tc>
          <w:tcPr>
            <w:tcW w:w="2500" w:type="dxa"/>
            <w:vAlign w:val="bottom"/>
            <w:gridSpan w:val="2"/>
          </w:tcPr>
          <w:p>
            <w:pPr>
              <w:ind w:left="1000"/>
              <w:spacing w:after="0"/>
              <w:rPr>
                <w:sz w:val="20"/>
                <w:szCs w:val="20"/>
                <w:color w:val="auto"/>
              </w:rPr>
            </w:pPr>
            <w:r>
              <w:rPr>
                <w:rFonts w:ascii="Arial" w:cs="Arial" w:eastAsia="Arial" w:hAnsi="Arial"/>
                <w:sz w:val="18"/>
                <w:szCs w:val="18"/>
                <w:color w:val="auto"/>
              </w:rPr>
              <w:t>F-51</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23"/>
        <w:spacing w:after="0" w:line="253" w:lineRule="auto"/>
        <w:rPr>
          <w:sz w:val="20"/>
          <w:szCs w:val="20"/>
          <w:color w:val="auto"/>
        </w:rPr>
      </w:pPr>
      <w:r>
        <w:rPr>
          <w:rFonts w:ascii="Arial" w:cs="Arial" w:eastAsia="Arial" w:hAnsi="Arial"/>
          <w:sz w:val="18"/>
          <w:szCs w:val="18"/>
          <w:b w:val="1"/>
          <w:bCs w:val="1"/>
          <w:i w:val="1"/>
          <w:iCs w:val="1"/>
          <w:u w:val="single" w:color="auto"/>
          <w:color w:val="auto"/>
        </w:rPr>
        <w:t>2018 ABL Facility</w:t>
      </w:r>
      <w:r>
        <w:rPr>
          <w:rFonts w:ascii="Arial" w:cs="Arial" w:eastAsia="Arial" w:hAnsi="Arial"/>
          <w:sz w:val="18"/>
          <w:szCs w:val="18"/>
          <w:i w:val="1"/>
          <w:iCs w:val="1"/>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July 2, 2015, Academy, Ltd. entered into a five-year $650 million secured asset-based revolving credit facility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ABL Facility”). On May 22, 2018, the Company amended the agreement governing the 2015 ABL Facility (as amended, the “2018 ABL Facility”), to increase the commitment on the facility from $650 million to $1 billion. The operative terms, conditions, covenants and pricing of the 2018 ABL Facility remain the same in all material respects to the 2015 ABL Facility and/or have been sized in approximate proportion to the relative increase in the facility where such operative terms are based upon the commitment level on the facility. The 2018 ABL Facility matures on May 22, 2023, subject to a springing maturity clause which is triggered 91 days before the July 2, 2022 maturity of the 2015 Term Loan Facility should it not be paid off or extended at least 91 days beyond the May 22, 2023 maturity date of the 2018 ABL Facility. Academy, Ltd. has the option to increase the commitments under the 2018 ABL Facility by $250 million, subject to the satisfaction of certain conditions under the agreement.</w:t>
      </w:r>
    </w:p>
    <w:p>
      <w:pPr>
        <w:spacing w:after="0" w:line="88" w:lineRule="exact"/>
        <w:rPr>
          <w:sz w:val="20"/>
          <w:szCs w:val="20"/>
          <w:color w:val="auto"/>
        </w:rPr>
      </w:pPr>
    </w:p>
    <w:p>
      <w:pPr>
        <w:ind w:left="560" w:right="200" w:firstLine="423"/>
        <w:spacing w:after="0" w:line="255" w:lineRule="auto"/>
        <w:rPr>
          <w:sz w:val="20"/>
          <w:szCs w:val="20"/>
          <w:color w:val="auto"/>
        </w:rPr>
      </w:pPr>
      <w:r>
        <w:rPr>
          <w:rFonts w:ascii="Arial" w:cs="Arial" w:eastAsia="Arial" w:hAnsi="Arial"/>
          <w:sz w:val="18"/>
          <w:szCs w:val="18"/>
          <w:color w:val="auto"/>
        </w:rPr>
        <w:t>The 2018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October 31, 2020, we had outstanding letters of credit of approximately $30.8 million, of which $21.1 million were issued under the 2018 ABL Facility, and we had no borrowings outstanding under the 2018 ABL Facility, leaving the available borrowing capacity under the 2018 ABL Facility of $844.7 million.</w:t>
      </w:r>
    </w:p>
    <w:p>
      <w:pPr>
        <w:spacing w:after="0" w:line="84"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Borrowings under the 2018 ABL Facility bear interest, at our election, at either (1) LIBOR plus a margin of 1.25% to 1.75%, or (2) a base rate equal to the highest of (a) the federal funds rate plus 0.50%, (b) JPMorgan Chase Bank, N.A.’s “prime rate”, or (c) the one-month LIBOR rate plus 1.00%, plus a margin of 0.25% to 0.75%. The 2018 ABL Facility also provides a fee applicable to the unused commitments of 0.25%. The terms and conditions of the 2018 ABL Facility also require that we prepay outstanding loans under the 2018 ABL Facility under certain circumstances. As of October 31, 2020, no future prepayments of outstanding loans have been triggered under the terms and conditions of the 2018 ABL Facility.</w:t>
      </w:r>
    </w:p>
    <w:p>
      <w:pPr>
        <w:spacing w:after="0" w:line="84" w:lineRule="exact"/>
        <w:rPr>
          <w:sz w:val="20"/>
          <w:szCs w:val="20"/>
          <w:color w:val="auto"/>
        </w:rPr>
      </w:pPr>
    </w:p>
    <w:p>
      <w:pPr>
        <w:ind w:left="560" w:right="20" w:firstLine="423"/>
        <w:spacing w:after="0" w:line="296" w:lineRule="auto"/>
        <w:rPr>
          <w:sz w:val="20"/>
          <w:szCs w:val="20"/>
          <w:color w:val="auto"/>
        </w:rPr>
      </w:pPr>
      <w:r>
        <w:rPr>
          <w:rFonts w:ascii="Arial" w:cs="Arial" w:eastAsia="Arial" w:hAnsi="Arial"/>
          <w:sz w:val="16"/>
          <w:szCs w:val="16"/>
          <w:b w:val="1"/>
          <w:bCs w:val="1"/>
          <w:i w:val="1"/>
          <w:iCs w:val="1"/>
          <w:u w:val="single" w:color="auto"/>
          <w:color w:val="auto"/>
        </w:rPr>
        <w:t>Covenants</w:t>
      </w:r>
      <w:r>
        <w:rPr>
          <w:rFonts w:ascii="Arial" w:cs="Arial" w:eastAsia="Arial" w:hAnsi="Arial"/>
          <w:sz w:val="16"/>
          <w:szCs w:val="16"/>
          <w:i w:val="1"/>
          <w:iCs w:val="1"/>
          <w:u w:val="single" w:color="auto"/>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2018 ABL Facility and the 2015 Term Loan Facility agreements contain covenants, including, among others, covenants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2018 ABL Facility is subject to a certain minimum adjusted fixed charge coverage ratio. These covenants are subject to certain qualifications and limitations. We were in compliance with these covenants as of October 31, 2020.</w:t>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7"/>
          <w:szCs w:val="17"/>
          <w:b w:val="1"/>
          <w:bCs w:val="1"/>
          <w:i w:val="1"/>
          <w:iCs w:val="1"/>
          <w:u w:val="single" w:color="auto"/>
          <w:color w:val="auto"/>
        </w:rPr>
        <w:t>Capitalized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capitalized interest primarily related to construction of new stores and store renovations in the amount of</w:t>
      </w:r>
    </w:p>
    <w:p>
      <w:pPr>
        <w:spacing w:after="0" w:line="35" w:lineRule="exact"/>
        <w:rPr>
          <w:sz w:val="20"/>
          <w:szCs w:val="20"/>
          <w:color w:val="auto"/>
        </w:rPr>
      </w:pPr>
    </w:p>
    <w:p>
      <w:pPr>
        <w:ind w:left="560"/>
        <w:spacing w:after="0" w:line="260" w:lineRule="auto"/>
        <w:rPr>
          <w:sz w:val="20"/>
          <w:szCs w:val="20"/>
          <w:color w:val="auto"/>
        </w:rPr>
      </w:pPr>
      <w:r>
        <w:rPr>
          <w:rFonts w:ascii="Arial" w:cs="Arial" w:eastAsia="Arial" w:hAnsi="Arial"/>
          <w:sz w:val="18"/>
          <w:szCs w:val="18"/>
          <w:color w:val="auto"/>
        </w:rPr>
        <w:t>$0.1 million and $0.4 million for the thirteen and thirty-nine weeks ended October 31, 2020, respectively, and $0.2 million and $0.5 million for the thirteen and thirty-nine weeks ended November 2, 2019,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Derivative Financial Instruments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use interest rate swap agreements to hedge market risk relating to possible adverse changes in interest rates.</w:t>
      </w:r>
    </w:p>
    <w:p>
      <w:pPr>
        <w:spacing w:after="0" w:line="117"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All interest rate swaps had been designated as cash flow hedges of variable rate interest payments on borrowings under the 2015 Term Loan Facility. On October 28, 2020, we determined that a portion of the underlying cash flows related to $100.0 million of swap notional principal amount was no longer probable of occurring over the remaining term of the interest rate swaps as a result of the Company’s planned refinancing transactions (see Note 15). As a result, we reclassified approximately $1.3 million of losses from accumulated other comprehensive loss (“AOCI”) to other (income) expense, net in our statements of income for the thirteen and thirty-nine weeks ended October 31, 2020 related to the portion of the forecasted transaction no longer considered probable of occurring. We also de-designated a portion of our interest rate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swaps as cash flow hedges, leaving $250 million notional principal amount designated and $650 million undesignated. The remaining $4.0 million loss in AOCI as of October 31, 2020 related to the de-designated hedges will be amortized as an increase to interest expense over the original maturity of the de-designated swaps. The de-designated $650 million notional principal amount of fixed interest rate swaps will receive mark-to-market treatment prospectively, with changes in fair value recorded immediately to other (income) expense, net on the statements of income.</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summary of our interest rate swaps is as follows (dollar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Notional Amount</w:t>
            </w:r>
          </w:p>
        </w:tc>
        <w:tc>
          <w:tcPr>
            <w:tcW w:w="2520" w:type="dxa"/>
            <w:vAlign w:val="bottom"/>
            <w:gridSpan w:val="2"/>
          </w:tcPr>
          <w:p>
            <w:pPr>
              <w:jc w:val="right"/>
              <w:ind w:right="1840"/>
              <w:spacing w:after="0"/>
              <w:rPr>
                <w:sz w:val="20"/>
                <w:szCs w:val="20"/>
                <w:color w:val="auto"/>
              </w:rPr>
            </w:pPr>
            <w:r>
              <w:rPr>
                <w:rFonts w:ascii="Arial" w:cs="Arial" w:eastAsia="Arial" w:hAnsi="Arial"/>
                <w:sz w:val="14"/>
                <w:szCs w:val="14"/>
                <w:b w:val="1"/>
                <w:bCs w:val="1"/>
                <w:color w:val="auto"/>
                <w:w w:val="93"/>
              </w:rPr>
              <w:t>Fixed Rate</w:t>
            </w:r>
          </w:p>
        </w:tc>
        <w:tc>
          <w:tcPr>
            <w:tcW w:w="316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2"/>
              </w:rPr>
              <w:t>Effective 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 xml:space="preserve">250,000 </w:t>
            </w:r>
            <w:r>
              <w:rPr>
                <w:rFonts w:ascii="Arial" w:cs="Arial" w:eastAsia="Arial" w:hAnsi="Arial"/>
                <w:sz w:val="15"/>
                <w:szCs w:val="15"/>
                <w:color w:val="auto"/>
              </w:rPr>
              <w:t>(1)</w:t>
            </w:r>
          </w:p>
        </w:tc>
        <w:tc>
          <w:tcPr>
            <w:tcW w:w="2520" w:type="dxa"/>
            <w:vAlign w:val="bottom"/>
            <w:gridSpan w:val="2"/>
            <w:shd w:val="clear" w:color="auto" w:fill="CCEEFF"/>
          </w:tcPr>
          <w:p>
            <w:pPr>
              <w:jc w:val="right"/>
              <w:ind w:right="1660"/>
              <w:spacing w:after="0" w:line="203" w:lineRule="exact"/>
              <w:rPr>
                <w:sz w:val="20"/>
                <w:szCs w:val="20"/>
                <w:color w:val="auto"/>
              </w:rPr>
            </w:pPr>
            <w:r>
              <w:rPr>
                <w:rFonts w:ascii="Arial" w:cs="Arial" w:eastAsia="Arial" w:hAnsi="Arial"/>
                <w:sz w:val="18"/>
                <w:szCs w:val="18"/>
                <w:color w:val="auto"/>
              </w:rPr>
              <w:t>2.21%</w:t>
            </w: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September 7, 2016</w:t>
            </w:r>
          </w:p>
        </w:tc>
        <w:tc>
          <w:tcPr>
            <w:tcW w:w="17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September 3, 2021</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250,000</w:t>
            </w:r>
          </w:p>
        </w:tc>
        <w:tc>
          <w:tcPr>
            <w:tcW w:w="2520" w:type="dxa"/>
            <w:vAlign w:val="bottom"/>
            <w:gridSpan w:val="2"/>
          </w:tcPr>
          <w:p>
            <w:pPr>
              <w:jc w:val="right"/>
              <w:ind w:right="1660"/>
              <w:spacing w:after="0"/>
              <w:rPr>
                <w:sz w:val="20"/>
                <w:szCs w:val="20"/>
                <w:color w:val="auto"/>
              </w:rPr>
            </w:pPr>
            <w:r>
              <w:rPr>
                <w:rFonts w:ascii="Arial" w:cs="Arial" w:eastAsia="Arial" w:hAnsi="Arial"/>
                <w:sz w:val="18"/>
                <w:szCs w:val="18"/>
                <w:color w:val="auto"/>
              </w:rPr>
              <w:t>1.54%</w:t>
            </w:r>
          </w:p>
        </w:tc>
        <w:tc>
          <w:tcPr>
            <w:tcW w:w="3160" w:type="dxa"/>
            <w:vAlign w:val="bottom"/>
            <w:gridSpan w:val="2"/>
          </w:tcPr>
          <w:p>
            <w:pPr>
              <w:jc w:val="center"/>
              <w:ind w:right="1700"/>
              <w:spacing w:after="0"/>
              <w:rPr>
                <w:sz w:val="20"/>
                <w:szCs w:val="20"/>
                <w:color w:val="auto"/>
              </w:rPr>
            </w:pPr>
            <w:r>
              <w:rPr>
                <w:rFonts w:ascii="Arial" w:cs="Arial" w:eastAsia="Arial" w:hAnsi="Arial"/>
                <w:sz w:val="18"/>
                <w:szCs w:val="18"/>
                <w:color w:val="auto"/>
                <w:w w:val="90"/>
              </w:rPr>
              <w:t>November 1, 2016</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November 1, 2021</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400,000</w:t>
            </w:r>
          </w:p>
        </w:tc>
        <w:tc>
          <w:tcPr>
            <w:tcW w:w="252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rPr>
              <w:t>2.54%</w:t>
            </w:r>
          </w:p>
        </w:tc>
        <w:tc>
          <w:tcPr>
            <w:tcW w:w="31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2"/>
              </w:rPr>
              <w:t>March 1, 2018</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 2021</w:t>
            </w:r>
          </w:p>
        </w:tc>
      </w:tr>
    </w:tbl>
    <w:p>
      <w:pPr>
        <w:spacing w:after="0" w:line="229" w:lineRule="exact"/>
        <w:rPr>
          <w:sz w:val="20"/>
          <w:szCs w:val="20"/>
          <w:color w:val="auto"/>
        </w:rPr>
      </w:pPr>
    </w:p>
    <w:p>
      <w:pPr>
        <w:ind w:left="540" w:right="280" w:hanging="424"/>
        <w:spacing w:after="0" w:line="277" w:lineRule="auto"/>
        <w:tabs>
          <w:tab w:leader="none" w:pos="540" w:val="left"/>
        </w:tabs>
        <w:numPr>
          <w:ilvl w:val="0"/>
          <w:numId w:val="234"/>
        </w:numPr>
        <w:rPr>
          <w:rFonts w:ascii="Arial" w:cs="Arial" w:eastAsia="Arial" w:hAnsi="Arial"/>
          <w:sz w:val="15"/>
          <w:szCs w:val="15"/>
          <w:color w:val="auto"/>
        </w:rPr>
      </w:pPr>
      <w:r>
        <w:rPr>
          <w:rFonts w:ascii="Arial" w:cs="Arial" w:eastAsia="Arial" w:hAnsi="Arial"/>
          <w:sz w:val="18"/>
          <w:szCs w:val="18"/>
          <w:color w:val="auto"/>
        </w:rPr>
        <w:t>The initial $600,000 notional amount of the swap amortizes to $525,000, $430,000, $320,000 and $250,000 on September 3, 2017, 2018, 2019 and 2020, respectively.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of these interest rate swaps is as follows (amounts in thousands) as of:</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October 31, 2020</w:t>
            </w:r>
          </w:p>
        </w:tc>
        <w:tc>
          <w:tcPr>
            <w:tcW w:w="4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February 1, 2020</w:t>
            </w:r>
          </w:p>
        </w:tc>
        <w:tc>
          <w:tcPr>
            <w:tcW w:w="460" w:type="dxa"/>
            <w:vAlign w:val="bottom"/>
          </w:tcPr>
          <w:p>
            <w:pPr>
              <w:spacing w:after="0"/>
              <w:rPr>
                <w:sz w:val="14"/>
                <w:szCs w:val="14"/>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November 2,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Derivatives designated as hedging instruments</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Assets</w:t>
            </w:r>
          </w:p>
        </w:tc>
        <w:tc>
          <w:tcPr>
            <w:tcW w:w="136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Amounts included in other current assets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included in accrued expenses and other</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1,198</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6,130</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ind w:left="340"/>
              <w:spacing w:after="0"/>
              <w:rPr>
                <w:sz w:val="20"/>
                <w:szCs w:val="20"/>
                <w:color w:val="auto"/>
              </w:rPr>
            </w:pPr>
            <w:r>
              <w:rPr>
                <w:rFonts w:ascii="Arial" w:cs="Arial" w:eastAsia="Arial" w:hAnsi="Arial"/>
                <w:sz w:val="18"/>
                <w:szCs w:val="18"/>
                <w:color w:val="auto"/>
              </w:rPr>
              <w:t>Amounts included in other long-term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136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1,976</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derivatives designated as hedging</w:t>
            </w:r>
          </w:p>
        </w:tc>
        <w:tc>
          <w:tcPr>
            <w:tcW w:w="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(1,334)</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instruments net liability</w:t>
            </w:r>
          </w:p>
        </w:tc>
        <w:tc>
          <w:tcPr>
            <w:tcW w:w="34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(8,106)</w:t>
            </w:r>
          </w:p>
        </w:tc>
        <w:tc>
          <w:tcPr>
            <w:tcW w:w="8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90"/>
        </w:trPr>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Amounts included in accrued expenses and other</w:t>
            </w:r>
          </w:p>
        </w:tc>
        <w:tc>
          <w:tcPr>
            <w:tcW w:w="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4,548</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ind w:left="520"/>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(4,548)</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instruments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Total derivatives net liability</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(5,882)</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(8,106)</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For derivatives designated as hedging instruments, amounts included in AOCI are reclassified to interest expense in the same period during which the hedged transaction affects earnings, which is as interest expense is recorded on the underlying 2015 Term Loan Facility. As of October 31, 2020, we estimate that approximately $4.6 million of the balance in AOCI will be reclassified as an increase in interest expense during the next 12 months.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interest expense or other (income) expense, net is as follows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7"/>
              </w:rPr>
              <w:t>Thirty-Nine Weeks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31, 2020</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3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31, 2020</w:t>
            </w:r>
          </w:p>
        </w:tc>
        <w:tc>
          <w:tcPr>
            <w:tcW w:w="7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Accumulated Other Comprehensive Income (Loss),</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(8,339)</w:t>
            </w: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(8,066)</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w:t>
            </w:r>
          </w:p>
        </w:tc>
        <w:tc>
          <w:tcPr>
            <w:tcW w:w="6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(6,284)</w:t>
            </w:r>
          </w:p>
        </w:tc>
        <w:tc>
          <w:tcPr>
            <w:tcW w:w="680" w:type="dxa"/>
            <w:vAlign w:val="bottom"/>
            <w:gridSpan w:val="2"/>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line="201" w:lineRule="exact"/>
              <w:rPr>
                <w:sz w:val="20"/>
                <w:szCs w:val="20"/>
                <w:color w:val="auto"/>
              </w:rPr>
            </w:pPr>
            <w:r>
              <w:rPr>
                <w:rFonts w:ascii="Arial" w:cs="Arial" w:eastAsia="Arial" w:hAnsi="Arial"/>
                <w:sz w:val="18"/>
                <w:szCs w:val="18"/>
                <w:color w:val="auto"/>
              </w:rPr>
              <w:t>Loss deferred into AOCI (net of tax impact of</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(278)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rPr>
              <w:t>(5,318)</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4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(1,317)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(14,459)</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Increase (decrease) to interest expense (net of</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2,590</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7,357</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impact of $221)</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line="201" w:lineRule="exact"/>
              <w:rPr>
                <w:sz w:val="20"/>
                <w:szCs w:val="20"/>
                <w:color w:val="auto"/>
              </w:rPr>
            </w:pPr>
            <w:r>
              <w:rPr>
                <w:rFonts w:ascii="Arial" w:cs="Arial" w:eastAsia="Arial" w:hAnsi="Arial"/>
                <w:sz w:val="18"/>
                <w:szCs w:val="18"/>
                <w:color w:val="auto"/>
              </w:rPr>
              <w:t>Loss on swaps from debt refinancing in other</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40"/>
              <w:spacing w:after="0"/>
              <w:rPr>
                <w:sz w:val="20"/>
                <w:szCs w:val="20"/>
                <w:color w:val="auto"/>
              </w:rPr>
            </w:pPr>
            <w:r>
              <w:rPr>
                <w:rFonts w:ascii="Arial" w:cs="Arial" w:eastAsia="Arial" w:hAnsi="Arial"/>
                <w:sz w:val="18"/>
                <w:szCs w:val="18"/>
                <w:color w:val="auto"/>
              </w:rPr>
              <w:t>(income) expense, net (net of tax impact of</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40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74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54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Accumulated Other Comprehensive Income (Loss),</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(5,027)</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(5,027)</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ending</w:t>
            </w:r>
          </w:p>
        </w:tc>
        <w:tc>
          <w:tcPr>
            <w:tcW w:w="6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(7,455)</w:t>
            </w:r>
          </w:p>
        </w:tc>
        <w:tc>
          <w:tcPr>
            <w:tcW w:w="680" w:type="dxa"/>
            <w:vAlign w:val="bottom"/>
            <w:gridSpan w:val="2"/>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left="560" w:right="240" w:firstLine="423"/>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measurements are classified as either:</w:t>
      </w:r>
    </w:p>
    <w:p>
      <w:pPr>
        <w:spacing w:after="0" w:line="131" w:lineRule="exact"/>
        <w:rPr>
          <w:sz w:val="20"/>
          <w:szCs w:val="20"/>
          <w:color w:val="auto"/>
        </w:rPr>
      </w:pPr>
    </w:p>
    <w:p>
      <w:pPr>
        <w:ind w:left="1540" w:right="80" w:hanging="439"/>
        <w:spacing w:after="0" w:line="277" w:lineRule="auto"/>
        <w:tabs>
          <w:tab w:leader="none" w:pos="1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540" w:right="200" w:hanging="439"/>
        <w:spacing w:after="0" w:line="263" w:lineRule="auto"/>
        <w:tabs>
          <w:tab w:leader="none" w:pos="1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9" w:lineRule="exact"/>
        <w:rPr>
          <w:rFonts w:ascii="Arial" w:cs="Arial" w:eastAsia="Arial" w:hAnsi="Arial"/>
          <w:sz w:val="18"/>
          <w:szCs w:val="18"/>
          <w:color w:val="auto"/>
        </w:rPr>
      </w:pPr>
    </w:p>
    <w:p>
      <w:pPr>
        <w:ind w:left="1540" w:right="300" w:hanging="439"/>
        <w:spacing w:after="0" w:line="277" w:lineRule="auto"/>
        <w:tabs>
          <w:tab w:leader="none" w:pos="1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62"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Fair Value Hierarchy</w:t>
            </w:r>
          </w:p>
        </w:tc>
        <w:tc>
          <w:tcPr>
            <w:tcW w:w="5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October 31, 2020</w:t>
            </w: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4"/>
              </w:rPr>
              <w:t>November 2, 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13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Level 2</w:t>
            </w:r>
          </w:p>
        </w:tc>
        <w:tc>
          <w:tcPr>
            <w:tcW w:w="9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Liabilities</w:t>
            </w: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Level 2</w:t>
            </w:r>
          </w:p>
        </w:tc>
        <w:tc>
          <w:tcPr>
            <w:tcW w:w="9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5,882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8,106</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F-54</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As of October 31, 2020 and February 1, 2020, we held $767.0 million and $113.3 million in money market funds, respectively. We held no investments in money market funds as of November 2, 2019.</w:t>
      </w:r>
    </w:p>
    <w:p>
      <w:pPr>
        <w:spacing w:after="0" w:line="76" w:lineRule="exact"/>
        <w:rPr>
          <w:sz w:val="20"/>
          <w:szCs w:val="20"/>
          <w:color w:val="auto"/>
        </w:rPr>
      </w:pPr>
    </w:p>
    <w:p>
      <w:pPr>
        <w:ind w:left="560" w:right="180" w:firstLine="423"/>
        <w:spacing w:after="0" w:line="301" w:lineRule="auto"/>
        <w:rPr>
          <w:sz w:val="20"/>
          <w:szCs w:val="20"/>
          <w:color w:val="auto"/>
        </w:rPr>
      </w:pPr>
      <w:r>
        <w:rPr>
          <w:rFonts w:ascii="Arial" w:cs="Arial" w:eastAsia="Arial" w:hAnsi="Arial"/>
          <w:sz w:val="16"/>
          <w:szCs w:val="16"/>
          <w:color w:val="auto"/>
        </w:rPr>
        <w:t>The fair value of the 2015 Term Loan Facility is estimated using a discounted cash flow analysis based on quoted market prices for the instrument in an inactive market and is therefore classified as Level 2 within the fair value hierarchy. As of October 31, 2020, February 1, 2020 and November 2, 2019, the estimated fair value of our 2015 Term Loan Facility was $1.4 billion, $1.2 billion and $1.0 billion, respectively. As borrowings on the 2018 ABL Facility are generally repaid in less than 12 months, we believe that fair value approximates the carrying value.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and equipment consists of the following (amounts in thousands) as of:</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3"/>
              </w:rPr>
              <w:t>October 31,</w:t>
            </w:r>
          </w:p>
        </w:tc>
        <w:tc>
          <w:tcPr>
            <w:tcW w:w="1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7"/>
              </w:rPr>
              <w:t>February 1,</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w:t>
            </w:r>
          </w:p>
        </w:tc>
      </w:tr>
      <w:tr>
        <w:trPr>
          <w:trHeight w:val="171"/>
        </w:trPr>
        <w:tc>
          <w:tcPr>
            <w:tcW w:w="6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435,094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433,266</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543,147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537,364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527,845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317,371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316,420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314,909</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27,979</w:t>
            </w: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21,197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3,698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1,327,289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1,311,928</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1,300,915</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8"/>
              </w:rPr>
              <w:t>(944,669)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(870,521)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(846,509)</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382,620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441,407</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454,406</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Depreciation expense was $25.5 million and $79.7 million in the thirteen and thirty-nine weeks ended October 31, 2020, respectively, and $29.6 million and $88.7 million in the thirteen and thirty-nine weeks ended November 2,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 xml:space="preserve">In April 2020, the Financial Accounting Standards Board issued </w:t>
      </w:r>
      <w:r>
        <w:rPr>
          <w:rFonts w:ascii="Arial" w:cs="Arial" w:eastAsia="Arial" w:hAnsi="Arial"/>
          <w:sz w:val="18"/>
          <w:szCs w:val="18"/>
          <w:i w:val="1"/>
          <w:iCs w:val="1"/>
          <w:color w:val="auto"/>
        </w:rPr>
        <w:t>Staff Q&amp;A—Topic 842 and Topic 840: Accounting For Lease Concessions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Effects of the COVID-19 Pandemic</w:t>
      </w:r>
      <w:r>
        <w:rPr>
          <w:rFonts w:ascii="Arial" w:cs="Arial" w:eastAsia="Arial" w:hAnsi="Arial"/>
          <w:sz w:val="18"/>
          <w:szCs w:val="18"/>
          <w:color w:val="auto"/>
        </w:rPr>
        <w:t>. This guidance provides entities with the option to elect to account for certain lease concessions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60"/>
          </w:cols>
          <w:pgMar w:left="320" w:top="459" w:right="5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 xml:space="preserve">Topic 842, </w:t>
      </w:r>
      <w:r>
        <w:rPr>
          <w:rFonts w:ascii="Arial" w:cs="Arial" w:eastAsia="Arial" w:hAnsi="Arial"/>
          <w:sz w:val="18"/>
          <w:szCs w:val="18"/>
          <w:i w:val="1"/>
          <w:iCs w:val="1"/>
          <w:color w:val="auto"/>
        </w:rPr>
        <w:t>Leases</w:t>
      </w:r>
      <w:r>
        <w:rPr>
          <w:rFonts w:ascii="Arial" w:cs="Arial" w:eastAsia="Arial" w:hAnsi="Arial"/>
          <w:sz w:val="18"/>
          <w:szCs w:val="18"/>
          <w:color w:val="auto"/>
        </w:rPr>
        <w:t>, to those contracts. During the thirteen and thirty-nine weeks ended October 31, 2020, the Company received $0.4 million and $2.4 million, respectively, in lease expense credit related to landlord abated rent as a result of the elections made under this guidance. Additionally, during the thirteen and thirty-nine weeks ended October 31, 2020, the Company signed six and 46 lease extensions, respectively, requiring lease modification accounting treatment.</w:t>
      </w:r>
    </w:p>
    <w:p>
      <w:pPr>
        <w:spacing w:after="0" w:line="79"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(“SG&amp;A”) expenses on our statement of income is as follows (amounts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Thirteen Weeks Ended</w:t>
            </w:r>
          </w:p>
        </w:tc>
        <w:tc>
          <w:tcPr>
            <w:tcW w:w="22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526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58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October 31,</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$ 147,528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146,039</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3,527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(403)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lease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50,866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50,712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$ 150,414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150,639</w:t>
            </w: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8"/>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7"/>
          </w:tcPr>
          <w:p>
            <w:pPr>
              <w:ind w:left="4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44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460" w:type="dxa"/>
            <w:vAlign w:val="bottom"/>
          </w:tcPr>
          <w:p>
            <w:pPr>
              <w:spacing w:after="0"/>
              <w:rPr>
                <w:sz w:val="10"/>
                <w:szCs w:val="10"/>
                <w:color w:val="auto"/>
              </w:rPr>
            </w:pPr>
          </w:p>
        </w:tc>
        <w:tc>
          <w:tcPr>
            <w:tcW w:w="11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November 2,</w:t>
            </w:r>
          </w:p>
        </w:tc>
        <w:tc>
          <w:tcPr>
            <w:tcW w:w="40" w:type="dxa"/>
            <w:vAlign w:val="bottom"/>
          </w:tcPr>
          <w:p>
            <w:pPr>
              <w:spacing w:after="0"/>
              <w:rPr>
                <w:sz w:val="10"/>
                <w:szCs w:val="10"/>
                <w:color w:val="auto"/>
              </w:rPr>
            </w:pPr>
          </w:p>
        </w:tc>
      </w:tr>
      <w:tr>
        <w:trPr>
          <w:trHeight w:val="171"/>
        </w:trPr>
        <w:tc>
          <w:tcPr>
            <w:tcW w:w="440" w:type="dxa"/>
            <w:vAlign w:val="bottom"/>
            <w:tcBorders>
              <w:bottom w:val="single" w:sz="8" w:color="CCEEFF"/>
            </w:tcBorders>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7"/>
              </w:rPr>
              <w:t>13,477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3"/>
              </w:rPr>
              <w:t>32,520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84,595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55,562</w:t>
            </w:r>
          </w:p>
        </w:tc>
        <w:tc>
          <w:tcPr>
            <w:tcW w:w="40" w:type="dxa"/>
            <w:vAlign w:val="bottom"/>
            <w:shd w:val="clear" w:color="auto" w:fill="CCEEFF"/>
          </w:tcPr>
          <w:p>
            <w:pPr>
              <w:spacing w:after="0"/>
              <w:rPr>
                <w:sz w:val="18"/>
                <w:szCs w:val="18"/>
                <w:color w:val="auto"/>
              </w:rPr>
            </w:pPr>
          </w:p>
        </w:tc>
      </w:tr>
      <w:tr>
        <w:trPr>
          <w:trHeight w:val="234"/>
        </w:trPr>
        <w:tc>
          <w:tcPr>
            <w:tcW w:w="618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48,092</w:t>
            </w:r>
          </w:p>
        </w:tc>
        <w:tc>
          <w:tcPr>
            <w:tcW w:w="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48,283</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130,274</w:t>
            </w:r>
          </w:p>
        </w:tc>
        <w:tc>
          <w:tcPr>
            <w:tcW w:w="20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143,848</w:t>
            </w:r>
          </w:p>
        </w:tc>
      </w:tr>
      <w:tr>
        <w:trPr>
          <w:trHeight w:val="350"/>
        </w:trPr>
        <w:tc>
          <w:tcPr>
            <w:tcW w:w="4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6"/>
          </w:tcPr>
          <w:p>
            <w:pPr>
              <w:jc w:val="center"/>
              <w:ind w:right="84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44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w w:val="85"/>
              </w:rPr>
              <w:t>10.9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9.09%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ind w:left="500"/>
              <w:spacing w:after="0"/>
              <w:rPr>
                <w:sz w:val="20"/>
                <w:szCs w:val="20"/>
                <w:color w:val="auto"/>
              </w:rPr>
            </w:pPr>
            <w:r>
              <w:rPr>
                <w:rFonts w:ascii="Arial" w:cs="Arial" w:eastAsia="Arial" w:hAnsi="Arial"/>
                <w:sz w:val="18"/>
                <w:szCs w:val="18"/>
                <w:color w:val="auto"/>
                <w:w w:val="97"/>
              </w:rPr>
              <w:t>8.88%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3" w:lineRule="exact"/>
        <w:rPr>
          <w:sz w:val="20"/>
          <w:szCs w:val="20"/>
          <w:color w:val="auto"/>
        </w:rPr>
      </w:pPr>
    </w:p>
    <w:p>
      <w:pPr>
        <w:ind w:left="560" w:right="560" w:firstLine="423"/>
        <w:spacing w:after="0" w:line="263" w:lineRule="auto"/>
        <w:rPr>
          <w:sz w:val="20"/>
          <w:szCs w:val="20"/>
          <w:color w:val="auto"/>
        </w:rPr>
      </w:pPr>
      <w:r>
        <w:rPr>
          <w:rFonts w:ascii="Arial" w:cs="Arial" w:eastAsia="Arial" w:hAnsi="Arial"/>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maturities of lease liabilities by fiscal year are as follows (amounts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October 31,</w:t>
            </w:r>
          </w:p>
        </w:tc>
      </w:tr>
      <w:tr>
        <w:trPr>
          <w:trHeight w:val="171"/>
        </w:trPr>
        <w:tc>
          <w:tcPr>
            <w:tcW w:w="7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196,666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194,316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186,750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178,462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172,512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After 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1,051,915</w:t>
            </w:r>
          </w:p>
        </w:tc>
        <w:tc>
          <w:tcPr>
            <w:tcW w:w="80" w:type="dxa"/>
            <w:vAlign w:val="bottom"/>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 xml:space="preserve">Total payments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2,029,380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(778,599)</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1,250,781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40" w:hanging="424"/>
        <w:spacing w:after="0" w:line="277" w:lineRule="auto"/>
        <w:tabs>
          <w:tab w:leader="none" w:pos="540" w:val="left"/>
        </w:tabs>
        <w:numPr>
          <w:ilvl w:val="0"/>
          <w:numId w:val="236"/>
        </w:numPr>
        <w:rPr>
          <w:rFonts w:ascii="Arial" w:cs="Arial" w:eastAsia="Arial" w:hAnsi="Arial"/>
          <w:sz w:val="15"/>
          <w:szCs w:val="15"/>
          <w:color w:val="auto"/>
        </w:rPr>
      </w:pPr>
      <w:r>
        <w:rPr>
          <w:rFonts w:ascii="Arial" w:cs="Arial" w:eastAsia="Arial" w:hAnsi="Arial"/>
          <w:sz w:val="18"/>
          <w:szCs w:val="18"/>
          <w:color w:val="auto"/>
        </w:rPr>
        <w:t>Minimum lease payments have not been reduced by sublease rentals of $1.9 million as of October 31, 2020 due in the future under non-cancelable subleases.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2,</w:t>
            </w:r>
          </w:p>
        </w:tc>
      </w:tr>
      <w:tr>
        <w:trPr>
          <w:trHeight w:val="171"/>
        </w:trPr>
        <w:tc>
          <w:tcPr>
            <w:tcW w:w="6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Accrued personnel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72,995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54,065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41,237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2,787</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Accrued sales and use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18,590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12,651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18,041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self-insurance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13,136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14,107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revenue - gift cards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54,557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70,220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49,603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19,197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4,575</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5,184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49,679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50,066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Sales return allowance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22,675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16,563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25,826</w:t>
            </w: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274,612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211,381</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219,992</w:t>
            </w:r>
          </w:p>
        </w:tc>
        <w:tc>
          <w:tcPr>
            <w:tcW w:w="4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 and Share-Based Compensation</w:t>
      </w:r>
    </w:p>
    <w:p>
      <w:pPr>
        <w:spacing w:after="0" w:line="121" w:lineRule="exact"/>
        <w:rPr>
          <w:sz w:val="20"/>
          <w:szCs w:val="20"/>
          <w:color w:val="auto"/>
        </w:rPr>
      </w:pPr>
    </w:p>
    <w:p>
      <w:pPr>
        <w:ind w:left="560" w:right="80" w:firstLine="423"/>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October 31, 2020, there were 4,996,703 shares that were authorized and available for grant under the 2020 Share Incentive Plan.</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76"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76" w:lineRule="exact"/>
        <w:rPr>
          <w:sz w:val="20"/>
          <w:szCs w:val="20"/>
          <w:color w:val="auto"/>
        </w:rPr>
      </w:pPr>
    </w:p>
    <w:p>
      <w:pPr>
        <w:ind w:left="560" w:right="40" w:firstLine="423"/>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80" w:lineRule="exact"/>
        <w:rPr>
          <w:sz w:val="20"/>
          <w:szCs w:val="20"/>
          <w:color w:val="auto"/>
        </w:rPr>
      </w:pPr>
    </w:p>
    <w:p>
      <w:pPr>
        <w:ind w:left="560" w:right="40" w:firstLine="423"/>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76" w:lineRule="exact"/>
        <w:rPr>
          <w:sz w:val="20"/>
          <w:szCs w:val="20"/>
          <w:color w:val="auto"/>
        </w:rPr>
      </w:pPr>
    </w:p>
    <w:p>
      <w:pPr>
        <w:ind w:left="560" w:right="600" w:firstLine="423"/>
        <w:spacing w:after="0" w:line="342" w:lineRule="auto"/>
        <w:rPr>
          <w:sz w:val="20"/>
          <w:szCs w:val="20"/>
          <w:color w:val="auto"/>
        </w:rPr>
      </w:pPr>
      <w:r>
        <w:rPr>
          <w:rFonts w:ascii="Arial" w:cs="Arial" w:eastAsia="Arial" w:hAnsi="Arial"/>
          <w:sz w:val="16"/>
          <w:szCs w:val="16"/>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16" w:lineRule="exact"/>
        <w:rPr>
          <w:sz w:val="20"/>
          <w:szCs w:val="20"/>
          <w:color w:val="auto"/>
        </w:rPr>
      </w:pPr>
    </w:p>
    <w:p>
      <w:pPr>
        <w:ind w:left="560" w:right="240" w:firstLine="423"/>
        <w:spacing w:after="0" w:line="257" w:lineRule="auto"/>
        <w:rPr>
          <w:sz w:val="20"/>
          <w:szCs w:val="20"/>
          <w:color w:val="auto"/>
        </w:rPr>
      </w:pPr>
      <w:r>
        <w:rPr>
          <w:rFonts w:ascii="Arial" w:cs="Arial" w:eastAsia="Arial" w:hAnsi="Arial"/>
          <w:sz w:val="18"/>
          <w:szCs w:val="18"/>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80" w:lineRule="exact"/>
        <w:rPr>
          <w:sz w:val="20"/>
          <w:szCs w:val="20"/>
          <w:color w:val="auto"/>
        </w:rPr>
      </w:pPr>
    </w:p>
    <w:p>
      <w:pPr>
        <w:ind w:left="560" w:right="380" w:firstLine="423"/>
        <w:spacing w:after="0" w:line="257" w:lineRule="auto"/>
        <w:rPr>
          <w:sz w:val="20"/>
          <w:szCs w:val="20"/>
          <w:color w:val="auto"/>
        </w:rPr>
      </w:pPr>
      <w:r>
        <w:rPr>
          <w:rFonts w:ascii="Arial" w:cs="Arial" w:eastAsia="Arial" w:hAnsi="Arial"/>
          <w:sz w:val="18"/>
          <w:szCs w:val="18"/>
          <w:color w:val="auto"/>
        </w:rPr>
        <w:t>Equity compensation expense was $23.4 million and $27.0 million in the thirteen and thirty-nine weeks ended October 31, 2020, respectively, which includes approximately $19.9 million of stock compensation expense associated with the vesting of certain outstanding restricted stock units as a result of the liquidity condition being achieved upon completion of our IPO. Equity compensation expense was $1.4 million and $5.9 million in the thirteen and thirty-nine weeks ended November 2, 2019, respectively. These costs are included in selling, general and administrative expenses in the statements of income.</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jc w:val="both"/>
        <w:ind w:left="560" w:right="120" w:firstLine="423"/>
        <w:spacing w:after="0" w:line="287" w:lineRule="auto"/>
        <w:rPr>
          <w:sz w:val="20"/>
          <w:szCs w:val="20"/>
          <w:color w:val="auto"/>
        </w:rPr>
      </w:pPr>
      <w:r>
        <w:rPr>
          <w:rFonts w:ascii="Arial" w:cs="Arial" w:eastAsia="Arial" w:hAnsi="Arial"/>
          <w:sz w:val="16"/>
          <w:szCs w:val="16"/>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w:t>
      </w:r>
    </w:p>
    <w:p>
      <w:pPr>
        <w:spacing w:after="0" w:line="2" w:lineRule="exact"/>
        <w:rPr>
          <w:sz w:val="20"/>
          <w:szCs w:val="20"/>
          <w:color w:val="auto"/>
        </w:rPr>
      </w:pPr>
    </w:p>
    <w:p>
      <w:pPr>
        <w:ind w:left="560" w:right="20"/>
        <w:spacing w:after="0" w:line="292" w:lineRule="auto"/>
        <w:rPr>
          <w:sz w:val="20"/>
          <w:szCs w:val="20"/>
          <w:color w:val="auto"/>
        </w:rPr>
      </w:pPr>
      <w:r>
        <w:rPr>
          <w:rFonts w:ascii="Arial" w:cs="Arial" w:eastAsia="Arial" w:hAnsi="Arial"/>
          <w:sz w:val="16"/>
          <w:szCs w:val="16"/>
          <w:color w:val="auto"/>
        </w:rPr>
        <w:t>Holders of the outstanding granted equity Awards are entitled to receive value equal to $1.1257 per Award (or $3.5460 as converted using the Contribution Ratio), which was or will be made in the form of cash payments, additional Restricted Unit grants or Unit Option exercise price adjustments. Cash payments due for unvested Awards will be payable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68" w:lineRule="exact"/>
        <w:rPr>
          <w:sz w:val="20"/>
          <w:szCs w:val="20"/>
          <w:color w:val="auto"/>
        </w:rPr>
      </w:pPr>
    </w:p>
    <w:p>
      <w:pPr>
        <w:ind w:left="1540" w:hanging="331"/>
        <w:spacing w:after="0"/>
        <w:tabs>
          <w:tab w:leader="none" w:pos="1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130"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Cash payments for vested Unit Options and vested Restricted Units (“Share-Based Award Payments”) of $20.7 million were paid through October 31, 2020. Share-Based Award Payments payable as of October 31, 2020 for unvested awards is $12.1 million, which is reflected within accrued expenses and other current liabilities and other long-term liabilities on the Company’s consolidated balance sheets.</w:t>
      </w:r>
    </w:p>
    <w:p>
      <w:pPr>
        <w:spacing w:after="0" w:line="79"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These exercise price adjustments did not increase the value of the Unit Options and no related additional equity compensation was or will be incurred.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Service Option Fair Value Assumptions</w:t>
      </w:r>
    </w:p>
    <w:p>
      <w:pPr>
        <w:spacing w:after="0" w:line="117" w:lineRule="exact"/>
        <w:rPr>
          <w:sz w:val="20"/>
          <w:szCs w:val="20"/>
          <w:color w:val="auto"/>
        </w:rPr>
      </w:pPr>
    </w:p>
    <w:p>
      <w:pPr>
        <w:ind w:left="560" w:right="160" w:firstLine="423"/>
        <w:spacing w:after="0" w:line="255" w:lineRule="auto"/>
        <w:rPr>
          <w:sz w:val="20"/>
          <w:szCs w:val="20"/>
          <w:color w:val="auto"/>
        </w:rPr>
      </w:pPr>
      <w:r>
        <w:rPr>
          <w:rFonts w:ascii="Arial" w:cs="Arial" w:eastAsia="Arial" w:hAnsi="Arial"/>
          <w:sz w:val="18"/>
          <w:szCs w:val="18"/>
          <w:color w:val="auto"/>
        </w:rPr>
        <w:t>The fair value for Service Options granted was estimated using a Black-Scholes option-pricing model. The expected lives of the Service Options granted were based on the “SEC simplified” method and a mid-point assumption, respectively.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based on the expectation that no dividends will be paid. The assumptions used to calculate the fair value of Awards granted are evaluated and modified, as necessary, to reflect current market conditions and experience.</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presents the assumptions and grant date fair values for Service Options granted in the thirty-nine weeks ended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October 31, 2020:</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jc w:val="right"/>
              <w:spacing w:after="0"/>
              <w:rPr>
                <w:sz w:val="20"/>
                <w:szCs w:val="20"/>
                <w:color w:val="auto"/>
              </w:rPr>
            </w:pPr>
            <w:r>
              <w:rPr>
                <w:rFonts w:ascii="Arial" w:cs="Arial" w:eastAsia="Arial" w:hAnsi="Arial"/>
                <w:sz w:val="18"/>
                <w:szCs w:val="18"/>
                <w:color w:val="auto"/>
              </w:rPr>
              <w:t>53% to 54%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Pr>
          <w:p>
            <w:pPr>
              <w:jc w:val="right"/>
              <w:spacing w:after="0"/>
              <w:rPr>
                <w:sz w:val="20"/>
                <w:szCs w:val="20"/>
                <w:color w:val="auto"/>
              </w:rPr>
            </w:pPr>
            <w:r>
              <w:rPr>
                <w:rFonts w:ascii="Arial" w:cs="Arial" w:eastAsia="Arial" w:hAnsi="Arial"/>
                <w:sz w:val="18"/>
                <w:szCs w:val="18"/>
                <w:color w:val="auto"/>
              </w:rPr>
              <w:t>0.39% to 0.76%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the Award grants during the thirty-nine weeks ended October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Liquidity</w:t>
            </w: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Service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Event</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Number of shares </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1,417,961</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11,564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1,185,474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Weighted average grant date fair value per Award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17.99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 per Award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38"/>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the unrecognized compensation cost as of October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Service</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Liquidity</w:t>
            </w: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Service</w:t>
            </w:r>
          </w:p>
        </w:tc>
        <w:tc>
          <w:tcPr>
            <w:tcW w:w="18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Performance</w:t>
            </w: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Event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 Options</w:t>
            </w: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Units</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Units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expense</w:t>
            </w:r>
          </w:p>
        </w:tc>
        <w:tc>
          <w:tcPr>
            <w:tcW w:w="1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$18,952,974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883,794</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$ 68,493</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$18,037,924</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Weighted average life remaining in years</w:t>
            </w:r>
          </w:p>
        </w:tc>
        <w:tc>
          <w:tcPr>
            <w:tcW w:w="2100" w:type="dxa"/>
            <w:vAlign w:val="bottom"/>
            <w:gridSpan w:val="3"/>
          </w:tcPr>
          <w:p>
            <w:pPr>
              <w:jc w:val="right"/>
              <w:ind w:right="180"/>
              <w:spacing w:after="0"/>
              <w:rPr>
                <w:sz w:val="20"/>
                <w:szCs w:val="20"/>
                <w:color w:val="auto"/>
              </w:rPr>
            </w:pPr>
            <w:r>
              <w:rPr>
                <w:rFonts w:ascii="Arial" w:cs="Arial" w:eastAsia="Arial" w:hAnsi="Arial"/>
                <w:sz w:val="18"/>
                <w:szCs w:val="18"/>
                <w:color w:val="auto"/>
              </w:rPr>
              <w:t>2.7</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Earnings per Common Share</w:t>
      </w:r>
    </w:p>
    <w:p>
      <w:pPr>
        <w:spacing w:after="0" w:line="121" w:lineRule="exact"/>
        <w:rPr>
          <w:sz w:val="20"/>
          <w:szCs w:val="20"/>
          <w:color w:val="auto"/>
        </w:rPr>
      </w:pPr>
    </w:p>
    <w:p>
      <w:pPr>
        <w:ind w:left="560" w:right="20" w:firstLine="423"/>
        <w:spacing w:after="0" w:line="273" w:lineRule="auto"/>
        <w:rPr>
          <w:sz w:val="20"/>
          <w:szCs w:val="20"/>
          <w:color w:val="auto"/>
        </w:rPr>
      </w:pPr>
      <w:r>
        <w:rPr>
          <w:rFonts w:ascii="Arial" w:cs="Arial" w:eastAsia="Arial" w:hAnsi="Arial"/>
          <w:sz w:val="17"/>
          <w:szCs w:val="17"/>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Basic and diluted weighted average common shares outstanding and basic and diluted earnings per common share are calculated as follows (dollar and share amounts in thousands except per share amounts):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9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217,242</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 xml:space="preserve">Weighted average common shares outstanding - basic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76,771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72,484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73,908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 xml:space="preserve">Dilutive effect of Service Restricted Units and Service Restricted Stock Units </w:t>
            </w:r>
            <w:r>
              <w:rPr>
                <w:rFonts w:ascii="Arial" w:cs="Arial" w:eastAsia="Arial" w:hAnsi="Arial"/>
                <w:sz w:val="15"/>
                <w:szCs w:val="15"/>
                <w:color w:val="auto"/>
                <w:w w:val="96"/>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ind w:left="340"/>
              <w:spacing w:after="0" w:line="201" w:lineRule="exact"/>
              <w:rPr>
                <w:sz w:val="20"/>
                <w:szCs w:val="20"/>
                <w:color w:val="auto"/>
              </w:rPr>
            </w:pPr>
            <w:r>
              <w:rPr>
                <w:rFonts w:ascii="Arial" w:cs="Arial" w:eastAsia="Arial" w:hAnsi="Arial"/>
                <w:sz w:val="18"/>
                <w:szCs w:val="18"/>
                <w:color w:val="auto"/>
              </w:rPr>
              <w:t>Dilutive effect of Performance Restricted Units, Liquidity Event Restricted</w:t>
            </w:r>
          </w:p>
        </w:tc>
        <w:tc>
          <w:tcPr>
            <w:tcW w:w="160" w:type="dxa"/>
            <w:vAlign w:val="bottom"/>
          </w:tcPr>
          <w:p>
            <w:pPr>
              <w:spacing w:after="0"/>
              <w:rPr>
                <w:sz w:val="17"/>
                <w:szCs w:val="1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991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 xml:space="preserve">Units and Performance Restricted Stock Units </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871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7"/>
              </w:rPr>
              <w:t xml:space="preserve">Dilutive effect of Performance Unit Options and Performance Stock Options </w:t>
            </w:r>
            <w:r>
              <w:rPr>
                <w:rFonts w:ascii="Arial" w:cs="Arial" w:eastAsia="Arial" w:hAnsi="Arial"/>
                <w:sz w:val="15"/>
                <w:szCs w:val="15"/>
                <w:color w:val="auto"/>
                <w:w w:val="97"/>
              </w:rPr>
              <w:t>(1)</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common shares outstanding - diluted </w:t>
            </w:r>
            <w:r>
              <w:rPr>
                <w:rFonts w:ascii="Arial" w:cs="Arial" w:eastAsia="Arial" w:hAnsi="Arial"/>
                <w:sz w:val="15"/>
                <w:szCs w:val="15"/>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77,171</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 basic</w:t>
            </w: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0.74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 xml:space="preserve">Anti-dilutive stock-based awards excluded from diluted calculation </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4,460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4,153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1,648</w:t>
            </w: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See Retrospective Presentation of Ownership Exchange in Note 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60" w:right="20" w:firstLine="423"/>
        <w:spacing w:after="0" w:line="273" w:lineRule="auto"/>
        <w:rPr>
          <w:sz w:val="20"/>
          <w:szCs w:val="20"/>
          <w:color w:val="auto"/>
        </w:rPr>
      </w:pPr>
      <w:r>
        <w:rPr>
          <w:rFonts w:ascii="Arial" w:cs="Arial" w:eastAsia="Arial" w:hAnsi="Arial"/>
          <w:sz w:val="17"/>
          <w:szCs w:val="17"/>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(see Note 1) completed on October 1, 2020, as described further in the Prospectus,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70"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As a result of the Reorganization Transactions, the Company recorded a net deferred tax liability position of $144.2 million, which consisted of the Company’s difference between the Company’s financial statement carrying value and the outside tax basis in its NAHC membership units, immediately following the completion of the Reorganization Transactions, measured at the enacted federal and state income tax rates. Additionally, $4.6 million in current tax liability was assumed by the Company as part of the Reorganization Transaction. The combined entry was recorded as a cumulative adjustment to additional paid-in capital for the year equal to $148.8 million, as reflected in the statement of stockholders’ equity.</w:t>
      </w:r>
    </w:p>
    <w:p>
      <w:pPr>
        <w:spacing w:after="0" w:line="84" w:lineRule="exact"/>
        <w:rPr>
          <w:sz w:val="20"/>
          <w:szCs w:val="20"/>
          <w:color w:val="auto"/>
        </w:rPr>
      </w:pPr>
    </w:p>
    <w:p>
      <w:pPr>
        <w:ind w:left="560" w:right="100" w:firstLine="423"/>
        <w:spacing w:after="0" w:line="277" w:lineRule="auto"/>
        <w:rPr>
          <w:sz w:val="20"/>
          <w:szCs w:val="20"/>
          <w:color w:val="auto"/>
        </w:rPr>
      </w:pPr>
      <w:r>
        <w:rPr>
          <w:rFonts w:ascii="Arial" w:cs="Arial" w:eastAsia="Arial" w:hAnsi="Arial"/>
          <w:sz w:val="18"/>
          <w:szCs w:val="18"/>
          <w:color w:val="auto"/>
        </w:rPr>
        <w:t>The Coronavirus Aid, Relief, and Economic Security Act (“CARES Act”) was enacted in the U.S. on March 27, 2020. We do not anticipate that the enactment of this legislation will significantly impact our full year effective tax rate in fiscal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components of the income tax expense (benefit) are as follows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4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3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80" w:type="dxa"/>
            <w:vAlign w:val="bottom"/>
            <w:gridSpan w:val="2"/>
          </w:tcPr>
          <w:p>
            <w:pPr>
              <w:ind w:left="9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8,369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8,369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2,168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4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tax expense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10,546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12,064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Deferred tax expense:</w:t>
            </w:r>
          </w:p>
        </w:tc>
        <w:tc>
          <w:tcPr>
            <w:tcW w:w="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5"/>
              </w:rPr>
              <w:t>(10,024)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(10,024)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(1,715)</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4040" w:type="dxa"/>
            <w:vAlign w:val="bottom"/>
          </w:tcPr>
          <w:p>
            <w:pPr>
              <w:ind w:left="720"/>
              <w:spacing w:after="0"/>
              <w:rPr>
                <w:sz w:val="20"/>
                <w:szCs w:val="20"/>
                <w:color w:val="auto"/>
              </w:rPr>
            </w:pPr>
            <w:r>
              <w:rPr>
                <w:rFonts w:ascii="Arial" w:cs="Arial" w:eastAsia="Arial" w:hAnsi="Arial"/>
                <w:sz w:val="18"/>
                <w:szCs w:val="18"/>
                <w:color w:val="auto"/>
              </w:rPr>
              <w:t>Total deferred tax benefit</w:t>
            </w:r>
          </w:p>
        </w:tc>
        <w:tc>
          <w:tcPr>
            <w:tcW w:w="9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(11,739)</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(11,739)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r>
      <w:tr>
        <w:trPr>
          <w:trHeight w:val="216"/>
        </w:trPr>
        <w:tc>
          <w:tcPr>
            <w:tcW w:w="40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tax expense (benefit)</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0"/>
        </w:trPr>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reconciliation of the statutory U.S. federal income tax rate to our effective income tax rate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10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Thirteen Weeks Ended</w:t>
            </w:r>
          </w:p>
        </w:tc>
        <w:tc>
          <w:tcPr>
            <w:tcW w:w="2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1560" w:type="dxa"/>
            <w:vAlign w:val="bottom"/>
            <w:tcBorders>
              <w:top w:val="single" w:sz="8" w:color="auto"/>
            </w:tcBorders>
            <w:gridSpan w:val="2"/>
          </w:tcPr>
          <w:p>
            <w:pPr>
              <w:jc w:val="right"/>
              <w:ind w:right="840"/>
              <w:spacing w:after="0" w:line="119" w:lineRule="exact"/>
              <w:rPr>
                <w:sz w:val="20"/>
                <w:szCs w:val="20"/>
                <w:color w:val="auto"/>
              </w:rPr>
            </w:pPr>
            <w:r>
              <w:rPr>
                <w:rFonts w:ascii="Arial" w:cs="Arial" w:eastAsia="Arial" w:hAnsi="Arial"/>
                <w:sz w:val="13"/>
                <w:szCs w:val="13"/>
                <w:b w:val="1"/>
                <w:bCs w:val="1"/>
                <w:color w:val="auto"/>
                <w:w w:val="97"/>
              </w:rPr>
              <w:t>October 31,</w:t>
            </w: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November 2,</w:t>
            </w:r>
          </w:p>
        </w:tc>
        <w:tc>
          <w:tcPr>
            <w:tcW w:w="74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5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0.8</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0.9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pre-IPO pass-through income allocated to</w:t>
            </w:r>
          </w:p>
        </w:tc>
        <w:tc>
          <w:tcPr>
            <w:tcW w:w="1560" w:type="dxa"/>
            <w:vAlign w:val="bottom"/>
            <w:gridSpan w:val="2"/>
            <w:vMerge w:val="restart"/>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(23.1)</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(21.6)</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our members</w:t>
            </w:r>
          </w:p>
        </w:tc>
        <w:tc>
          <w:tcPr>
            <w:tcW w:w="1560" w:type="dxa"/>
            <w:vAlign w:val="bottom"/>
            <w:gridSpan w:val="2"/>
            <w:vMerge w:val="continue"/>
            <w:shd w:val="clear" w:color="auto" w:fill="CCEEFF"/>
          </w:tcPr>
          <w:p>
            <w:pPr>
              <w:spacing w:after="0"/>
              <w:rPr>
                <w:sz w:val="20"/>
                <w:szCs w:val="20"/>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(21.0)</w:t>
            </w:r>
          </w:p>
        </w:tc>
        <w:tc>
          <w:tcPr>
            <w:tcW w:w="152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Effect of permanent items</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(0.7)</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(0.2)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foreign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Effective income tax rate</w:t>
            </w: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0.1%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The effective tax rate for the periods reflected is less than the U.S. federal tax rate on corporations primarily as a result of the Company’s status as a flow-through entity prior to October 1, 2020. The thirteen weeks and thirty-nine weeks ended October 31, 2020 includes one month of activity subject to U.S. federal and state income tax in addition to the historically reported Texas franchise tax as a result of the Reorganization Transactions. For complete annual periods on and after October 1, 2020, no portion of the Company’s income remains flow-through to the prior members of NAHC and our estimated statutory federal and state income tax rates are between 24% and 25% before adjustments for permanent differences, valuation allowances and uncertain tax positions.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00"/>
          </w:cols>
          <w:pgMar w:left="320" w:top="459" w:right="57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Components of deferred tax assets and liabilities consist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106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February 1,</w:t>
            </w:r>
          </w:p>
        </w:tc>
        <w:tc>
          <w:tcPr>
            <w:tcW w:w="1540" w:type="dxa"/>
            <w:vAlign w:val="bottom"/>
            <w:gridSpan w:val="4"/>
          </w:tcPr>
          <w:p>
            <w:pPr>
              <w:ind w:left="700"/>
              <w:spacing w:after="0"/>
              <w:rPr>
                <w:sz w:val="20"/>
                <w:szCs w:val="20"/>
                <w:color w:val="auto"/>
              </w:rPr>
            </w:pPr>
            <w:r>
              <w:rPr>
                <w:rFonts w:ascii="Arial" w:cs="Arial" w:eastAsia="Arial" w:hAnsi="Arial"/>
                <w:sz w:val="14"/>
                <w:szCs w:val="14"/>
                <w:b w:val="1"/>
                <w:bCs w:val="1"/>
                <w:color w:val="auto"/>
                <w:w w:val="97"/>
              </w:rPr>
              <w:t>November 2,</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ind w:left="140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40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220</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assets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220</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shd w:val="clear" w:color="auto" w:fill="CCEEFF"/>
          </w:tcPr>
          <w:p>
            <w:pPr>
              <w:spacing w:after="0"/>
              <w:rPr>
                <w:sz w:val="18"/>
                <w:szCs w:val="18"/>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NAHC</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w w:val="90"/>
              </w:rPr>
              <w:t>(132,828)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(132,828</w:t>
            </w:r>
          </w:p>
        </w:tc>
        <w:tc>
          <w:tcPr>
            <w:tcW w:w="400" w:type="dxa"/>
            <w:vAlign w:val="bottom"/>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 (liability)</w:t>
            </w:r>
          </w:p>
        </w:tc>
        <w:tc>
          <w:tcPr>
            <w:tcW w:w="1500" w:type="dxa"/>
            <w:vAlign w:val="bottom"/>
            <w:gridSpan w:val="2"/>
            <w:shd w:val="clear" w:color="auto" w:fill="CCEEFF"/>
          </w:tcPr>
          <w:p>
            <w:pPr>
              <w:ind w:left="1400"/>
              <w:spacing w:after="0"/>
              <w:rPr>
                <w:sz w:val="20"/>
                <w:szCs w:val="20"/>
                <w:color w:val="auto"/>
              </w:rPr>
            </w:pPr>
            <w:r>
              <w:rPr>
                <w:rFonts w:ascii="Arial" w:cs="Arial" w:eastAsia="Arial" w:hAnsi="Arial"/>
                <w:sz w:val="18"/>
                <w:szCs w:val="18"/>
                <w:b w:val="1"/>
                <w:bCs w:val="1"/>
                <w:u w:val="single" w:color="auto"/>
                <w:color w:val="auto"/>
                <w:w w:val="79"/>
              </w:rPr>
              <w:t>$</w:t>
            </w: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w w:val="90"/>
              </w:rPr>
              <w:t>(132,701)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220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The Reorganization Transactions (see Note 1) resulted in our ownership of 100% of NAHC which continues to operate as a tax partnership. The deferred tax liability as of October 31, 2020 reflects the excess of financial statement carrying value over our tax basis in NAHC membership units measured using the federal income tax rate of 21% and our weighted average state income tax rate equal to approximately 3.8% net of federal tax benefit. For the periods ended February 1, 2020 and November 2, 2019, the net deferred tax asset is included in other noncurrent assets.</w:t>
      </w:r>
    </w:p>
    <w:p>
      <w:pPr>
        <w:spacing w:after="0" w:line="80" w:lineRule="exact"/>
        <w:rPr>
          <w:sz w:val="20"/>
          <w:szCs w:val="20"/>
          <w:color w:val="auto"/>
        </w:rPr>
      </w:pPr>
    </w:p>
    <w:p>
      <w:pPr>
        <w:jc w:val="both"/>
        <w:ind w:left="560" w:right="40" w:firstLine="423"/>
        <w:spacing w:after="0" w:line="263" w:lineRule="auto"/>
        <w:rPr>
          <w:sz w:val="20"/>
          <w:szCs w:val="20"/>
          <w:color w:val="auto"/>
        </w:rPr>
      </w:pPr>
      <w:r>
        <w:rPr>
          <w:rFonts w:ascii="Arial" w:cs="Arial" w:eastAsia="Arial" w:hAnsi="Arial"/>
          <w:sz w:val="18"/>
          <w:szCs w:val="18"/>
          <w:color w:val="auto"/>
        </w:rPr>
        <w:t>Management evaluates the realizability of deferred tax assets and the need for valuation allowances annually. As of October 31, 2020, based on current facts and circumstances, management believes that it is more likely than not the Company will realize benefit for its gross deferred tax assets.</w:t>
      </w:r>
    </w:p>
    <w:p>
      <w:pPr>
        <w:spacing w:after="0" w:line="76"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As of October 31, 2020,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2018 through 2020, and 2017 through 2020, respectively.</w:t>
      </w:r>
    </w:p>
    <w:p>
      <w:pPr>
        <w:spacing w:after="0" w:line="291" w:lineRule="exact"/>
        <w:rPr>
          <w:sz w:val="20"/>
          <w:szCs w:val="20"/>
          <w:color w:val="auto"/>
        </w:rPr>
      </w:pPr>
    </w:p>
    <w:p>
      <w:pPr>
        <w:ind w:left="560" w:right="8640" w:hanging="444"/>
        <w:spacing w:after="0" w:line="425" w:lineRule="auto"/>
        <w:tabs>
          <w:tab w:leader="none" w:pos="389"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Monitoring Agreement</w:t>
      </w:r>
    </w:p>
    <w:p>
      <w:pPr>
        <w:ind w:left="560" w:right="120" w:firstLine="423"/>
        <w:spacing w:after="0" w:line="293" w:lineRule="auto"/>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 &amp; Co. L.P.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w:t>
      </w:r>
    </w:p>
    <w:p>
      <w:pPr>
        <w:spacing w:after="0" w:line="56"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Upon the completion of the IPO, in the third quarter of 2020 the Monitoring Agreement terminated and we accrued the final termination fee of $12.3 million. The termination fee is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and the termination fee, of approximately $13.0 million and $14.8 million in each of the thirteen and thirty-nine weeks ended October 31, 2020, respectively, and $0.9 million and $2.7 million in each of the thirteen and thirty-nine weeks ended November 2, 2019, respectively. These expenses are included in selling, general and administrative expenses in the statements of income.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paid $2.7 million to KCM for underwriting services in connection with the IPO.</w:t>
      </w:r>
    </w:p>
    <w:p>
      <w:pPr>
        <w:spacing w:after="0" w:line="117" w:lineRule="exact"/>
        <w:rPr>
          <w:sz w:val="20"/>
          <w:szCs w:val="20"/>
          <w:color w:val="auto"/>
        </w:rPr>
      </w:pPr>
    </w:p>
    <w:p>
      <w:pPr>
        <w:ind w:left="560" w:right="140" w:firstLine="423"/>
        <w:spacing w:after="0" w:line="308" w:lineRule="auto"/>
        <w:rPr>
          <w:sz w:val="20"/>
          <w:szCs w:val="20"/>
          <w:color w:val="auto"/>
        </w:rPr>
      </w:pPr>
      <w:r>
        <w:rPr>
          <w:rFonts w:ascii="Arial" w:cs="Arial" w:eastAsia="Arial" w:hAnsi="Arial"/>
          <w:sz w:val="17"/>
          <w:szCs w:val="17"/>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117" w:lineRule="exact"/>
        <w:rPr>
          <w:sz w:val="20"/>
          <w:szCs w:val="20"/>
          <w:color w:val="auto"/>
        </w:rPr>
      </w:pPr>
    </w:p>
    <w:p>
      <w:pPr>
        <w:ind w:left="560" w:right="180" w:firstLine="423"/>
        <w:spacing w:after="0" w:line="291" w:lineRule="auto"/>
        <w:rPr>
          <w:sz w:val="20"/>
          <w:szCs w:val="20"/>
          <w:color w:val="auto"/>
        </w:rPr>
      </w:pPr>
      <w:r>
        <w:rPr>
          <w:rFonts w:ascii="Arial" w:cs="Arial" w:eastAsia="Arial" w:hAnsi="Arial"/>
          <w:sz w:val="16"/>
          <w:szCs w:val="16"/>
          <w:color w:val="auto"/>
        </w:rPr>
        <w:t>There were no investments in Managers for the thirteen and thirty-nine weeks ended October 31, 2020. During the thirteen and thirty-nine weeks ended November 2, 2019, an executive of the Company purchased Redeemable Membership Units in Managers for approximately</w:t>
      </w:r>
    </w:p>
    <w:p>
      <w:pPr>
        <w:ind w:left="560" w:right="120"/>
        <w:spacing w:after="0" w:line="290" w:lineRule="auto"/>
        <w:rPr>
          <w:sz w:val="20"/>
          <w:szCs w:val="20"/>
          <w:color w:val="auto"/>
        </w:rPr>
      </w:pPr>
      <w:r>
        <w:rPr>
          <w:rFonts w:ascii="Arial" w:cs="Arial" w:eastAsia="Arial" w:hAnsi="Arial"/>
          <w:sz w:val="17"/>
          <w:szCs w:val="17"/>
          <w:color w:val="auto"/>
        </w:rPr>
        <w:t>$0.1 million in cash. The cash consideration paid for the Redeemable Membership Units was concurrently contributed to NAHC by Managers in exchange for a number of NAHC Membership Units equal to the number of Redeemable Membership Units purchased.</w:t>
      </w:r>
    </w:p>
    <w:p>
      <w:pPr>
        <w:spacing w:after="0" w:line="53"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There were no equity repurchases from Managers for the thirteen weeks ended October 31, 2020. During the thirty-nine weeks ended October 31, 2020, Managers repurchased at fair market value approximately $37.0 thousand of Redeemable Membership Units from a director of the Company for cash. During the thirteen and thirty-nine weeks ended November 2, 2019, Managers repurchased at fair market value approximately $0.5 million of Redeemable Membership Units from a director and an executive of the Company for cash. NAHC concurrently repurchased from Managers for cash, at fair market value, a number of NAHC membership units equal to the number of Redeemable Membership Units repurchased from the director and executive.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Notes Receivable from Member and Distribution</w:t>
      </w:r>
    </w:p>
    <w:p>
      <w:pPr>
        <w:spacing w:after="0" w:line="117"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Under NAHC’s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was recorded in other non-current assets on the balance sheet.</w:t>
      </w:r>
    </w:p>
    <w:p>
      <w:pPr>
        <w:spacing w:after="0" w:line="79" w:lineRule="exact"/>
        <w:rPr>
          <w:sz w:val="20"/>
          <w:szCs w:val="20"/>
          <w:color w:val="auto"/>
        </w:rPr>
      </w:pPr>
    </w:p>
    <w:p>
      <w:pPr>
        <w:ind w:left="560" w:right="200" w:firstLine="423"/>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The note receivable bears semi-annual compounding interest at 2.1%, with outstanding principal and interest due April 5, 2021. This note receivable was recorded in prepaid expenses and other current assets on the balance sheet.</w:t>
      </w:r>
    </w:p>
    <w:p>
      <w:pPr>
        <w:spacing w:after="0" w:line="76" w:lineRule="exact"/>
        <w:rPr>
          <w:sz w:val="20"/>
          <w:szCs w:val="20"/>
          <w:color w:val="auto"/>
        </w:rPr>
      </w:pPr>
    </w:p>
    <w:p>
      <w:pPr>
        <w:jc w:val="both"/>
        <w:ind w:left="560" w:firstLine="423"/>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10). Of the $257.0 million, $8.5 million was used to offset and satisfy the remaining balances of the notes receivable and related interest receivable from a member.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Technology Related Commitments and Other</w:t>
      </w:r>
    </w:p>
    <w:p>
      <w:pPr>
        <w:spacing w:after="0" w:line="117" w:lineRule="exact"/>
        <w:rPr>
          <w:sz w:val="20"/>
          <w:szCs w:val="20"/>
          <w:color w:val="auto"/>
        </w:rPr>
      </w:pPr>
    </w:p>
    <w:p>
      <w:pPr>
        <w:ind w:left="560" w:right="100" w:firstLine="423"/>
        <w:spacing w:after="0" w:line="342" w:lineRule="auto"/>
        <w:rPr>
          <w:sz w:val="20"/>
          <w:szCs w:val="20"/>
          <w:color w:val="auto"/>
        </w:rPr>
      </w:pPr>
      <w:r>
        <w:rPr>
          <w:rFonts w:ascii="Arial" w:cs="Arial" w:eastAsia="Arial" w:hAnsi="Arial"/>
          <w:sz w:val="16"/>
          <w:szCs w:val="16"/>
          <w:color w:val="auto"/>
        </w:rPr>
        <w:t>As of October 31, 2020, we have obligations under technology related contractual commitments as well as other commitments, such as construction commitments, in the amount of $15.2 million. Of such commitments, approximately $12.7 million is payable in the next 12 months.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Commitments Related to Monitoring Agreement</w:t>
      </w:r>
    </w:p>
    <w:p>
      <w:pPr>
        <w:spacing w:after="0" w:line="117"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As of October 31, 2020, we have obligations under the Monitoring Agreement, which include the termination fee upon completion of the IPO, in the amount of $13.3 million, of which $13.3 million is payable in the next 12 months (see Note 13).</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00"/>
          </w:cols>
          <w:pgMar w:left="320" w:top="459" w:right="4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17" w:lineRule="exact"/>
        <w:rPr>
          <w:sz w:val="20"/>
          <w:szCs w:val="20"/>
          <w:color w:val="auto"/>
        </w:rPr>
      </w:pPr>
    </w:p>
    <w:p>
      <w:pPr>
        <w:ind w:left="560" w:right="100" w:firstLine="423"/>
        <w:spacing w:after="0" w:line="286" w:lineRule="auto"/>
        <w:rPr>
          <w:sz w:val="20"/>
          <w:szCs w:val="20"/>
          <w:color w:val="auto"/>
        </w:rPr>
      </w:pPr>
      <w:r>
        <w:rPr>
          <w:rFonts w:ascii="Arial" w:cs="Arial" w:eastAsia="Arial" w:hAnsi="Arial"/>
          <w:sz w:val="17"/>
          <w:szCs w:val="17"/>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100" w:firstLine="423"/>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117" w:lineRule="exact"/>
        <w:rPr>
          <w:sz w:val="20"/>
          <w:szCs w:val="20"/>
          <w:color w:val="auto"/>
        </w:rPr>
      </w:pPr>
    </w:p>
    <w:p>
      <w:pPr>
        <w:ind w:left="560" w:right="280" w:firstLine="423"/>
        <w:spacing w:after="0" w:line="296" w:lineRule="auto"/>
        <w:rPr>
          <w:sz w:val="20"/>
          <w:szCs w:val="20"/>
          <w:color w:val="auto"/>
        </w:rPr>
      </w:pPr>
      <w:r>
        <w:rPr>
          <w:rFonts w:ascii="Arial" w:cs="Arial" w:eastAsia="Arial" w:hAnsi="Arial"/>
          <w:sz w:val="16"/>
          <w:szCs w:val="16"/>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October 31, 2020, we have $12.8 million in related commitments through 2027, of which $7.4 million is payable in the next 12 months.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Our management evaluated events or transactions that occurred after October 31, 2020, through December 10, 2020, the issuance date of the financial statements, and identified the following matters to report:</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17"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option has expired with respect to the remaining shares. Upon completion of the over-allotment exercise, affiliates of KKR held a 68.5% ownership interest in the Company.</w:t>
      </w:r>
    </w:p>
    <w:p>
      <w:pPr>
        <w:spacing w:after="0" w:line="28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17"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On November 6, 2020, the Company issued the 2020 Notes (as defined below), entered the 2020 Term Loan Facility (as defined below), and entered into the 2020 ABL Amendment (as defined below). The Company used the net proceeds from the 2020 Notes and the net proceeds from the 2020 Term Loan Facility, together with cash on hand, to repay in full outstanding borrowings under its then-existing term loan, in the amount of $1,431.4 million. We paid KCM approximately $2.5 million with respect to the debt refinancing transactions.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Notes</w:t>
      </w:r>
    </w:p>
    <w:p>
      <w:pPr>
        <w:spacing w:after="0" w:line="117" w:lineRule="exact"/>
        <w:rPr>
          <w:sz w:val="20"/>
          <w:szCs w:val="20"/>
          <w:color w:val="auto"/>
        </w:rPr>
      </w:pPr>
    </w:p>
    <w:p>
      <w:pPr>
        <w:ind w:left="560" w:right="120" w:firstLine="423"/>
        <w:spacing w:after="0" w:line="255" w:lineRule="auto"/>
        <w:rPr>
          <w:sz w:val="20"/>
          <w:szCs w:val="20"/>
          <w:color w:val="auto"/>
        </w:rPr>
      </w:pPr>
      <w:r>
        <w:rPr>
          <w:rFonts w:ascii="Arial" w:cs="Arial" w:eastAsia="Arial" w:hAnsi="Arial"/>
          <w:sz w:val="18"/>
          <w:szCs w:val="18"/>
          <w:color w:val="auto"/>
        </w:rPr>
        <w:t>On November 6, 2020, Academy, Ltd. issued $400.0 million of 6.00% senior secured notes which are due November 15, 2027 (the “2020 Notes”), pursuant to an indenture, dated as of November 6, 2020 (the “Indenture”), by and among Academy, Ltd. the Guarantors (as defined below) and The Bank of New York Mellon Trust Company, N.A., as trustee and collateral agent (in such capacity, the “Notes Collateral Agent”). The 2020 Notes were sold in the United States to persons reasonably believed to be “qualified institutional buyers” pursuant to Rule 144A under the Securities Act of 1933, as amended (the “Securities Act”), and outside the United States to non-U.S. persons pursuant to Regulation S under the Securities Act.</w:t>
      </w:r>
    </w:p>
    <w:p>
      <w:pPr>
        <w:spacing w:after="0" w:line="84"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The 2020 Notes will be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79"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In order to secure the 2020 Notes and the guarantees, Academy, Ltd. and the Guarantors entered into certain security documents with the Notes Collateral Agent, including a security agreement and a pledge agreement, each dated as of November 6, 2020. The 2020 Notes and the guarantees will be secured by (i) a first-priority lien on all of Academy, Ltd.’s and the Guarantors’ personal property that secure the 2020 Term Loan Facility on a first-priority basis and (ii) a second-priority lien on Academy, Ltd.’s and the Guarantors’ personal property consisting of accounts and all other rights to payment, inventory, tax refunds, cash, deposit accounts, securities and commodities accounts, and documents and supporting obligations, securing the 2020 ABL Facility (as defined below) on a first-priority basis and the 2020 Term Loan Facility on a second-priority basis (the “ABL Priority Collateral”). On November 6, 2020, (i) Academy Ltd.’s, the Guarantors party thereto, the Notes Collateral Agent, the Term Loan Agent (as defined below) and the several other parties named therein entered into a first lien intercreditor agreement as to the relative priorities of their respective security interests in the assets securing the 2020 Notes and the 2020 Term Loan Facility and certain other matters relating to the administration of security interests and (ii) the Notes Collateral Agent, the Term Loan Agent and the ABL Agent (as defined below) entered into a lien sharing and priority confirmation joinder to the ABL Intercreditor Agreement, dated as of July 2, 2015, as to the relative priorities of their respective security interests in the assets securing the 2020 Notes, the 2020 Term Loan Facility and the 2020 ABL Facility and certain other matters relating to the administration of security interests.</w:t>
      </w:r>
    </w:p>
    <w:p>
      <w:pPr>
        <w:spacing w:after="0" w:line="78" w:lineRule="exact"/>
        <w:rPr>
          <w:sz w:val="20"/>
          <w:szCs w:val="20"/>
          <w:color w:val="auto"/>
        </w:rPr>
      </w:pPr>
    </w:p>
    <w:p>
      <w:pPr>
        <w:ind w:left="560" w:right="520" w:firstLine="423"/>
        <w:spacing w:after="0" w:line="277" w:lineRule="auto"/>
        <w:rPr>
          <w:sz w:val="20"/>
          <w:szCs w:val="20"/>
          <w:color w:val="auto"/>
        </w:rPr>
      </w:pPr>
      <w:r>
        <w:rPr>
          <w:rFonts w:ascii="Arial" w:cs="Arial" w:eastAsia="Arial" w:hAnsi="Arial"/>
          <w:sz w:val="18"/>
          <w:szCs w:val="18"/>
          <w:color w:val="auto"/>
        </w:rPr>
        <w:t>The 2020 Notes will mature on November 15, 2027. The 2020 Notes will pay interest semi-annually in arrears in cash on May 15 and November 15 of each year at a rate of 6.00% per year, commencing on May 15, 2021.</w:t>
      </w:r>
    </w:p>
    <w:p>
      <w:pPr>
        <w:spacing w:after="0" w:line="62" w:lineRule="exact"/>
        <w:rPr>
          <w:sz w:val="20"/>
          <w:szCs w:val="20"/>
          <w:color w:val="auto"/>
        </w:rPr>
      </w:pPr>
    </w:p>
    <w:p>
      <w:pPr>
        <w:ind w:left="560" w:firstLine="423"/>
        <w:spacing w:after="0" w:line="270" w:lineRule="auto"/>
        <w:rPr>
          <w:sz w:val="20"/>
          <w:szCs w:val="20"/>
          <w:color w:val="auto"/>
        </w:rPr>
      </w:pPr>
      <w:r>
        <w:rPr>
          <w:rFonts w:ascii="Arial" w:cs="Arial" w:eastAsia="Arial" w:hAnsi="Arial"/>
          <w:sz w:val="17"/>
          <w:szCs w:val="17"/>
          <w:color w:val="auto"/>
        </w:rPr>
        <w:t>On or after November 15, 2023, Academy, Ltd. may, at its option and on one or more occasions, redeem all or a part of the 2020 Notes at the redemption prices set forth in the Indenture, plus accrued and unpaid interest, if any, to, but excluding, the applicable redemption date. At any time prior to November 15, 2023, Academy, Ltd. may, at its option and on one or more occasions, redeem all or part of the 2020 Notes at a redemption price equal to 100% of the principal amount of the 2020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2020 Notes at a redemption price equal to 106.00%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80" w:firstLine="423"/>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2020 Notes at a price equal to 101% of the principal amount thereof, plus accrued and unpaid interest, if any, to, but excluding, the repurchase date.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Indenture contains certain covenants that limit the ability of Academy, Ltd. and its restricted subsidiaries to, among other things,</w:t>
      </w:r>
    </w:p>
    <w:p>
      <w:pPr>
        <w:spacing w:after="0" w:line="35" w:lineRule="exact"/>
        <w:rPr>
          <w:sz w:val="20"/>
          <w:szCs w:val="20"/>
          <w:color w:val="auto"/>
        </w:rPr>
      </w:pPr>
    </w:p>
    <w:p>
      <w:pPr>
        <w:ind w:left="560" w:right="60" w:hanging="4"/>
        <w:spacing w:after="0" w:line="253" w:lineRule="auto"/>
        <w:tabs>
          <w:tab w:leader="none" w:pos="77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and preferred stock; (ii) incur liens on assets; (iii) pay dividends or make other distributions in respect of, or repurchase or redeem, their capital stock; (iv) prepay, redeem or repurchase certain debt; (v) make certain loans, investments or other restricted payments; (vi) engage in certain transactions with affiliates; (vii) enter into agreements restricting certain subsidiaries’ ability to pay dividends; and (viii) sell or transfer certain assets or merge or consolidate, in each case subject to certain exceptions and qualifications set forth in the Indenture.</w:t>
      </w:r>
    </w:p>
    <w:p>
      <w:pPr>
        <w:spacing w:after="0" w:line="83"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The Indenture provides for events of default which include (subject in certain cases to customary grace and cure periods), among others, nonpayment of principal or interest, breach of other agreements in respect of the 2020 Notes, acceleration of certain other indebtedness, failure to pay certain final judgments, failure of certain guarantees to be enforceable, failure to perfect certain collateral securing the 2020 Notes and certain events of bankruptcy or insolvency, which events of default, if any occur, would permit or require the principal, premium, if any, interest and any other monetary obligations on all the then-outstanding 2020 Notes to be due and payable immediately.</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Term Loan Facility</w:t>
      </w:r>
    </w:p>
    <w:p>
      <w:pPr>
        <w:spacing w:after="0" w:line="117" w:lineRule="exact"/>
        <w:rPr>
          <w:sz w:val="20"/>
          <w:szCs w:val="20"/>
          <w:color w:val="auto"/>
        </w:rPr>
      </w:pPr>
    </w:p>
    <w:p>
      <w:pPr>
        <w:ind w:left="560" w:right="280" w:firstLine="423"/>
        <w:spacing w:after="0" w:line="259" w:lineRule="auto"/>
        <w:rPr>
          <w:sz w:val="20"/>
          <w:szCs w:val="20"/>
          <w:color w:val="auto"/>
        </w:rPr>
      </w:pPr>
      <w:r>
        <w:rPr>
          <w:rFonts w:ascii="Arial" w:cs="Arial" w:eastAsia="Arial" w:hAnsi="Arial"/>
          <w:sz w:val="18"/>
          <w:szCs w:val="18"/>
          <w:color w:val="auto"/>
        </w:rPr>
        <w:t>On November 6, 2020, Academy, Ltd., as borrower, and the Guarantors, as guarantors, entered into the Second Amended and Restated Credit Agreement (the “2020 Term Loan Agreement”), with Credit Suisse AG, Cayman Island Branch (“Credit Suisse”), as the administrative agent and collateral agent (the “Term Loan Agent”), the several lenders from time to time parties thereto and the several other parties named therein, which established a new $400.0 million first lien term loan facility.</w:t>
      </w:r>
    </w:p>
    <w:p>
      <w:pPr>
        <w:spacing w:after="0" w:line="79"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The 2020 Term Loan Facility will mature on November 6, 2027. The 2020 Term Loan Facility bears interest, at Academy, Ltd.’s election, at either (1) LIBOR rate with a floor of 0.75%, plus a margin of 5.00%, or (2) a base rate equal to the highest of (a) the federal funds rate plus</w:t>
      </w:r>
    </w:p>
    <w:p>
      <w:pPr>
        <w:ind w:left="560" w:right="60"/>
        <w:spacing w:after="0" w:line="253" w:lineRule="auto"/>
        <w:rPr>
          <w:sz w:val="20"/>
          <w:szCs w:val="20"/>
          <w:color w:val="auto"/>
        </w:rPr>
      </w:pPr>
      <w:r>
        <w:rPr>
          <w:rFonts w:ascii="Arial" w:cs="Arial" w:eastAsia="Arial" w:hAnsi="Arial"/>
          <w:sz w:val="18"/>
          <w:szCs w:val="18"/>
          <w:color w:val="auto"/>
        </w:rPr>
        <w:t>0.50%, (b) Credit Suisse’s “prime rate”, or (c) the one-month LIBOR rate plus 1.00%, plus a margin of 4.00%. Quarterly principal payments of approximately $1.0 million are required through September 30, 2027, with the balance due in full on the maturity date of November 6, 2027. The terms and conditions of the 2020 Term Loan Facility also require that outstanding loans under the 2020 Term Loan Facility are prepaid under certain circumstances.</w:t>
      </w:r>
    </w:p>
    <w:p>
      <w:pPr>
        <w:spacing w:after="0" w:line="85"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The 2020 Term Loan Facility will be guaranteed by the Guarantors on a senior secured basis. All obligations under the 2020 Term Loan Facility and the guarantees of those obligations will be secured by (i) a second-priority security interest in the ABL Priority Collateral and (ii) a first-priority security interest in, and mortgages on, substantially all present and after acquired tangible and intangible assets of Academy, Ltd. and the Guarantors and 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53" w:lineRule="exact"/>
        <w:rPr>
          <w:sz w:val="20"/>
          <w:szCs w:val="20"/>
          <w:color w:val="auto"/>
        </w:rPr>
      </w:pPr>
    </w:p>
    <w:p>
      <w:pPr>
        <w:ind w:left="560" w:right="120" w:firstLine="423"/>
        <w:spacing w:after="0" w:line="287" w:lineRule="auto"/>
        <w:rPr>
          <w:sz w:val="20"/>
          <w:szCs w:val="20"/>
          <w:color w:val="auto"/>
        </w:rPr>
      </w:pPr>
      <w:r>
        <w:rPr>
          <w:rFonts w:ascii="Arial" w:cs="Arial" w:eastAsia="Arial" w:hAnsi="Arial"/>
          <w:sz w:val="16"/>
          <w:szCs w:val="16"/>
          <w:color w:val="auto"/>
        </w:rPr>
        <w:t>The 2020 Term Loan Agreement contains certain covenants that limit the ability of Academy, Ltd. and its restricted subsidiaries to, among other things, (i) incur or guarantee additional indebtedness or issue disqualified stock and preferred stock; (ii) incur liens on assets; (iii) pay dividends or make other distributions in respect of, or repurchase or redeem, their capital stock; (iv) prepay, redeem or repurchase certain debt;</w:t>
      </w:r>
    </w:p>
    <w:p>
      <w:pPr>
        <w:spacing w:after="0" w:line="2" w:lineRule="exact"/>
        <w:rPr>
          <w:sz w:val="20"/>
          <w:szCs w:val="20"/>
          <w:color w:val="auto"/>
        </w:rPr>
      </w:pPr>
    </w:p>
    <w:p>
      <w:pPr>
        <w:ind w:left="560" w:right="340" w:hanging="4"/>
        <w:spacing w:after="0" w:line="277" w:lineRule="auto"/>
        <w:tabs>
          <w:tab w:leader="none" w:pos="81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make certain loans, investments or other restricted payments; (vi) engage in certain transactions with affiliates; (vii) enter into agreements restricting certain subsidiaries’ ability to pay dividends; (viii) sell or transfer certain assets or merge or consolidate and (ix) amend material documents, in each case subject to certain exceptions and qualifications set forth in the 2020 Term Loan Agreement.</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080"/>
          </w:cols>
          <w:pgMar w:left="320" w:top="459" w:right="49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80" w:firstLine="423"/>
        <w:spacing w:after="0" w:line="311" w:lineRule="auto"/>
        <w:rPr>
          <w:sz w:val="20"/>
          <w:szCs w:val="20"/>
          <w:color w:val="auto"/>
        </w:rPr>
      </w:pPr>
      <w:r>
        <w:rPr>
          <w:rFonts w:ascii="Arial" w:cs="Arial" w:eastAsia="Arial" w:hAnsi="Arial"/>
          <w:sz w:val="16"/>
          <w:szCs w:val="16"/>
          <w:color w:val="auto"/>
        </w:rPr>
        <w:t>The 2020 Term Loan Agreement contains customary events of default including, but not limited to,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ABL Facility</w:t>
      </w:r>
    </w:p>
    <w:p>
      <w:pPr>
        <w:spacing w:after="0" w:line="117"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On November 6, 2020, Academy, Ltd., as borrower, and the Guarantors, as guarantors, entered into an amendment (the “2020 ABL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 Ltd.’s asset-based revolving credit facility thereunder (the “2020 ABL Facility”) to November 6, 2025.</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7823835</wp:posOffset>
            </wp:positionV>
            <wp:extent cx="6995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7875270</wp:posOffset>
            </wp:positionV>
            <wp:extent cx="699516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3735070</wp:posOffset>
            </wp:positionV>
            <wp:extent cx="2760345" cy="677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60345" cy="6775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following table sets forth the expenses payable by the Registrant expected to be incurred in connection with the distribution of common stock being registered hereby (other than the underwriting discounts and commissions). All of such expenses are estimates, except for the Securities and Exchange Commission, or the SEC, registration fee and the Financial Industry Regulatory Authority Inc., or FINRA, filing fee.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33,364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46,371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100,000</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500,000</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200,000</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Blue Sky fees and expenses (including legal fees)</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20,000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909,735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7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Securities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170"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 These shares were subsequently cancelled on October 1,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 Grants and Vesting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December 9, 2020, we granted 24,041 restricted stock units.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October 1, 2020 to January 2, 2021, we issued 802,498 shares of our common stock upon settlement of the vested restricted stock units.</w:t>
      </w:r>
    </w:p>
    <w:p>
      <w:pPr>
        <w:spacing w:after="0" w:line="24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issuances of restricted stock units and the shares of common stock issuable upon the settlement of restricted stock units described in this Item 15 were issued pursuant to written compensatory plans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1080" w:hanging="532"/>
        <w:spacing w:after="0"/>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the Exhibit Index immediately preceding the signature pages hereto, which is incorporated by reference as if fully set forth herein.</w:t>
      </w:r>
    </w:p>
    <w:p>
      <w:pPr>
        <w:spacing w:after="0" w:line="264" w:lineRule="exact"/>
        <w:rPr>
          <w:sz w:val="20"/>
          <w:szCs w:val="20"/>
          <w:color w:val="auto"/>
        </w:rPr>
      </w:pPr>
    </w:p>
    <w:p>
      <w:pPr>
        <w:ind w:left="1080" w:hanging="532"/>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right="20" w:firstLine="436"/>
        <w:spacing w:after="0" w:line="271" w:lineRule="auto"/>
        <w:tabs>
          <w:tab w:leader="none" w:pos="81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8" w:lineRule="exact"/>
        <w:rPr>
          <w:rFonts w:ascii="Arial" w:cs="Arial" w:eastAsia="Arial" w:hAnsi="Arial"/>
          <w:sz w:val="17"/>
          <w:szCs w:val="17"/>
          <w:color w:val="auto"/>
        </w:rPr>
      </w:pPr>
    </w:p>
    <w:p>
      <w:pPr>
        <w:ind w:left="820" w:hanging="264"/>
        <w:spacing w:after="0"/>
        <w:tabs>
          <w:tab w:leader="none" w:pos="8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120" w:right="160" w:firstLine="436"/>
        <w:spacing w:after="0" w:line="286" w:lineRule="auto"/>
        <w:tabs>
          <w:tab w:leader="none" w:pos="85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120" w:firstLine="436"/>
        <w:spacing w:after="0" w:line="263" w:lineRule="auto"/>
        <w:tabs>
          <w:tab w:leader="none" w:pos="84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00"/>
          </w:cols>
          <w:pgMar w:left="320" w:top="459" w:right="5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00" w:type="dxa"/>
            <w:vAlign w:val="bottom"/>
            <w:gridSpan w:val="15"/>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00" w:type="dxa"/>
            <w:vAlign w:val="bottom"/>
            <w:gridSpan w:val="15"/>
            <w:vMerge w:val="restart"/>
          </w:tcPr>
          <w:p>
            <w:pPr>
              <w:ind w:left="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u w:val="single" w:color="auto"/>
                <w:color w:val="0000EE"/>
              </w:rPr>
            </w:pPr>
            <w:hyperlink w:anchor="page311">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283"/>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880" w:type="dxa"/>
            <w:vAlign w:val="bottom"/>
            <w:tcBorders>
              <w:bottom w:val="single" w:sz="8" w:color="0000EE"/>
            </w:tcBorders>
            <w:gridSpan w:val="18"/>
          </w:tcPr>
          <w:p>
            <w:pPr>
              <w:spacing w:after="0"/>
              <w:rPr>
                <w:rFonts w:ascii="Arial" w:cs="Arial" w:eastAsia="Arial" w:hAnsi="Arial"/>
                <w:sz w:val="18"/>
                <w:szCs w:val="18"/>
                <w:color w:val="0000EE"/>
                <w:w w:val="91"/>
              </w:rPr>
            </w:pPr>
            <w:hyperlink r:id="rId383">
              <w:r>
                <w:rPr>
                  <w:rFonts w:ascii="Arial" w:cs="Arial" w:eastAsia="Arial" w:hAnsi="Arial"/>
                  <w:sz w:val="18"/>
                  <w:szCs w:val="18"/>
                  <w:color w:val="0000EE"/>
                  <w:w w:val="91"/>
                </w:rPr>
                <w:t>Amended and Restated Certificate of Incorporation of the Registrant (incorporated by reference to Exhibit 3.1 to the Registrant’s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383">
              <w:r>
                <w:rPr>
                  <w:rFonts w:ascii="Arial" w:cs="Arial" w:eastAsia="Arial" w:hAnsi="Arial"/>
                  <w:sz w:val="18"/>
                  <w:szCs w:val="18"/>
                  <w:color w:val="0000EE"/>
                  <w:w w:val="92"/>
                </w:rPr>
                <w:t>Report on Form 8-K filed on October 6, 2020 (File No. 001-39589)).</w:t>
              </w:r>
            </w:hyperlink>
          </w:p>
        </w:tc>
        <w:tc>
          <w:tcPr>
            <w:tcW w:w="4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3"/>
              </w:rPr>
            </w:pPr>
            <w:hyperlink r:id="rId384">
              <w:r>
                <w:rPr>
                  <w:rFonts w:ascii="Arial" w:cs="Arial" w:eastAsia="Arial" w:hAnsi="Arial"/>
                  <w:sz w:val="18"/>
                  <w:szCs w:val="18"/>
                  <w:color w:val="0000EE"/>
                  <w:w w:val="93"/>
                </w:rPr>
                <w:t>Amended and Restated Bylaws of the Registrant (incorporated by reference to Exhibit 3.2 to the Registrant’s Current Report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384">
              <w:r>
                <w:rPr>
                  <w:rFonts w:ascii="Arial" w:cs="Arial" w:eastAsia="Arial" w:hAnsi="Arial"/>
                  <w:sz w:val="18"/>
                  <w:szCs w:val="18"/>
                  <w:color w:val="0000EE"/>
                  <w:w w:val="92"/>
                </w:rPr>
                <w:t>8-K filed on October 6, 2020 (File No. 001-39589)).</w:t>
              </w:r>
            </w:hyperlink>
          </w:p>
        </w:tc>
        <w:tc>
          <w:tcPr>
            <w:tcW w:w="5840" w:type="dxa"/>
            <w:vAlign w:val="bottom"/>
            <w:tcBorders>
              <w:top w:val="single" w:sz="8" w:color="0000EE"/>
            </w:tcBorders>
            <w:gridSpan w:val="8"/>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4"/>
              </w:rPr>
            </w:pPr>
            <w:hyperlink r:id="rId385">
              <w:r>
                <w:rPr>
                  <w:rFonts w:ascii="Arial" w:cs="Arial" w:eastAsia="Arial" w:hAnsi="Arial"/>
                  <w:sz w:val="18"/>
                  <w:szCs w:val="18"/>
                  <w:color w:val="0000EE"/>
                  <w:w w:val="94"/>
                </w:rPr>
                <w:t>Amendment to the Registration Rights Agreement, dated as of October 6, 2020, by and among the Registrant, Allstar LLC and New</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6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r:id="rId385">
              <w:r>
                <w:rPr>
                  <w:rFonts w:ascii="Arial" w:cs="Arial" w:eastAsia="Arial" w:hAnsi="Arial"/>
                  <w:sz w:val="18"/>
                  <w:szCs w:val="18"/>
                  <w:color w:val="0000EE"/>
                  <w:w w:val="92"/>
                </w:rPr>
                <w:t>Academy Holding Company, LLC (incorporated by reference to Exhibit 4.1 to the Registrant’s Current Report on Form 8-K filed on</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385">
              <w:r>
                <w:rPr>
                  <w:rFonts w:ascii="Arial" w:cs="Arial" w:eastAsia="Arial" w:hAnsi="Arial"/>
                  <w:sz w:val="18"/>
                  <w:szCs w:val="18"/>
                  <w:color w:val="0000EE"/>
                  <w:w w:val="92"/>
                </w:rPr>
                <w:t>October 6, 2020 (File No. 001-39589)).</w:t>
              </w:r>
            </w:hyperlink>
          </w:p>
        </w:tc>
        <w:tc>
          <w:tcPr>
            <w:tcW w:w="6640" w:type="dxa"/>
            <w:vAlign w:val="bottom"/>
            <w:tcBorders>
              <w:top w:val="single" w:sz="8" w:color="0000EE"/>
            </w:tcBorders>
            <w:gridSpan w:val="7"/>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1"/>
              </w:rPr>
            </w:pPr>
            <w:hyperlink r:id="rId386">
              <w:r>
                <w:rPr>
                  <w:rFonts w:ascii="Arial" w:cs="Arial" w:eastAsia="Arial" w:hAnsi="Arial"/>
                  <w:sz w:val="18"/>
                  <w:szCs w:val="18"/>
                  <w:color w:val="0000EE"/>
                  <w:w w:val="91"/>
                </w:rPr>
                <w:t>Indenture, dated as of November 6, 2020, by and among Academy, Ltd., as issuer, the guarantors named therein and The Bank of New</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386">
              <w:r>
                <w:rPr>
                  <w:rFonts w:ascii="Arial" w:cs="Arial" w:eastAsia="Arial" w:hAnsi="Arial"/>
                  <w:sz w:val="18"/>
                  <w:szCs w:val="18"/>
                  <w:color w:val="0000EE"/>
                  <w:w w:val="90"/>
                </w:rPr>
                <w:t>York Mellon Trust Company, N.A., as trustee and notes collateral agent (incorporated by reference to Exhibit 4.1 to the Registrant’s</w:t>
              </w:r>
            </w:hyperlink>
          </w:p>
        </w:tc>
        <w:tc>
          <w:tcPr>
            <w:tcW w:w="280" w:type="dxa"/>
            <w:vAlign w:val="bottom"/>
            <w:tcBorders>
              <w:top w:val="single" w:sz="8" w:color="0000EE"/>
            </w:tcBorders>
            <w:gridSpan w:val="5"/>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rPr>
            </w:pPr>
            <w:hyperlink r:id="rId386">
              <w:r>
                <w:rPr>
                  <w:rFonts w:ascii="Arial" w:cs="Arial" w:eastAsia="Arial" w:hAnsi="Arial"/>
                  <w:sz w:val="18"/>
                  <w:szCs w:val="18"/>
                  <w:color w:val="0000EE"/>
                </w:rPr>
                <w:t>Current Report on Form 8-K filed on November 6, 2020 (File No. 001-39589)).</w:t>
              </w:r>
            </w:hyperlink>
          </w:p>
        </w:tc>
        <w:tc>
          <w:tcPr>
            <w:tcW w:w="0" w:type="dxa"/>
            <w:vAlign w:val="bottom"/>
          </w:tcPr>
          <w:p>
            <w:pPr>
              <w:spacing w:after="0"/>
              <w:rPr>
                <w:sz w:val="1"/>
                <w:szCs w:val="1"/>
                <w:color w:val="auto"/>
              </w:rPr>
            </w:pPr>
          </w:p>
        </w:tc>
      </w:tr>
      <w:tr>
        <w:trPr>
          <w:trHeight w:val="345"/>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574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w:anchor="page361">
              <w:r>
                <w:rPr>
                  <w:rFonts w:ascii="Arial" w:cs="Arial" w:eastAsia="Arial" w:hAnsi="Arial"/>
                  <w:sz w:val="18"/>
                  <w:szCs w:val="18"/>
                  <w:u w:val="single" w:color="auto"/>
                  <w:color w:val="0000EE"/>
                </w:rPr>
                <w:t>Opinion of Simpson Thacher &amp; Bartlett LLP.</w:t>
              </w:r>
            </w:hyperlink>
          </w:p>
        </w:tc>
        <w:tc>
          <w:tcPr>
            <w:tcW w:w="41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10.1</w:t>
            </w:r>
          </w:p>
        </w:tc>
        <w:tc>
          <w:tcPr>
            <w:tcW w:w="64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2"/>
              </w:rPr>
            </w:pPr>
            <w:hyperlink r:id="rId387">
              <w:r>
                <w:rPr>
                  <w:rFonts w:ascii="Arial" w:cs="Arial" w:eastAsia="Arial" w:hAnsi="Arial"/>
                  <w:sz w:val="18"/>
                  <w:szCs w:val="18"/>
                  <w:color w:val="0000EE"/>
                  <w:w w:val="92"/>
                </w:rPr>
                <w:t>Second Amended and Restated Credit Agreement, dated as of November 6, 2020, among Academy, Ltd., as Borrower, New Academy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2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87">
              <w:r>
                <w:rPr>
                  <w:rFonts w:ascii="Arial" w:cs="Arial" w:eastAsia="Arial" w:hAnsi="Arial"/>
                  <w:sz w:val="18"/>
                  <w:szCs w:val="18"/>
                  <w:color w:val="0000EE"/>
                  <w:w w:val="91"/>
                </w:rPr>
                <w:t>Holding Company, LLC, as Holdings, Associated Investors L.L.C. and Academy Managing Co., L.L.C., as Texas Intermediate Holdcos,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387">
              <w:r>
                <w:rPr>
                  <w:rFonts w:ascii="Arial" w:cs="Arial" w:eastAsia="Arial" w:hAnsi="Arial"/>
                  <w:sz w:val="18"/>
                  <w:szCs w:val="18"/>
                  <w:color w:val="0000EE"/>
                  <w:w w:val="90"/>
                </w:rPr>
                <w:t>the several lenders from time to time party thereto, Credit Suisse AG, Cayman Islands Branch, as the administrative agent and collateral</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80" w:type="dxa"/>
            <w:vAlign w:val="bottom"/>
            <w:gridSpan w:val="18"/>
          </w:tcPr>
          <w:p>
            <w:pPr>
              <w:spacing w:after="0"/>
              <w:rPr>
                <w:rFonts w:ascii="Arial" w:cs="Arial" w:eastAsia="Arial" w:hAnsi="Arial"/>
                <w:sz w:val="18"/>
                <w:szCs w:val="18"/>
                <w:u w:val="single" w:color="auto"/>
                <w:color w:val="0000EE"/>
                <w:w w:val="91"/>
              </w:rPr>
            </w:pPr>
            <w:hyperlink r:id="rId387">
              <w:r>
                <w:rPr>
                  <w:rFonts w:ascii="Arial" w:cs="Arial" w:eastAsia="Arial" w:hAnsi="Arial"/>
                  <w:sz w:val="18"/>
                  <w:szCs w:val="18"/>
                  <w:u w:val="single" w:color="auto"/>
                  <w:color w:val="0000EE"/>
                  <w:w w:val="91"/>
                </w:rPr>
                <w:t>agent and the several other parties named therein (incorporated by reference to Exhibit 10.1 to the Registrant’s Current Report on Form</w:t>
              </w:r>
            </w:hyperlink>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gridSpan w:val="18"/>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8-K filed on November 6, 2020 (File No. 001-39589)).</w:t>
              </w:r>
            </w:hyperlink>
          </w:p>
        </w:tc>
        <w:tc>
          <w:tcPr>
            <w:tcW w:w="0" w:type="dxa"/>
            <w:vAlign w:val="bottom"/>
          </w:tcPr>
          <w:p>
            <w:pPr>
              <w:spacing w:after="0"/>
              <w:rPr>
                <w:sz w:val="1"/>
                <w:szCs w:val="1"/>
                <w:color w:val="auto"/>
              </w:rPr>
            </w:pPr>
          </w:p>
        </w:tc>
      </w:tr>
      <w:tr>
        <w:trPr>
          <w:trHeight w:val="283"/>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10.2</w:t>
            </w:r>
          </w:p>
        </w:tc>
        <w:tc>
          <w:tcPr>
            <w:tcW w:w="640" w:type="dxa"/>
            <w:vAlign w:val="bottom"/>
          </w:tcPr>
          <w:p>
            <w:pPr>
              <w:spacing w:after="0"/>
              <w:rPr>
                <w:sz w:val="24"/>
                <w:szCs w:val="24"/>
                <w:color w:val="auto"/>
              </w:rPr>
            </w:pPr>
          </w:p>
        </w:tc>
        <w:tc>
          <w:tcPr>
            <w:tcW w:w="9380" w:type="dxa"/>
            <w:vAlign w:val="bottom"/>
            <w:tcBorders>
              <w:bottom w:val="single" w:sz="8" w:color="0000EE"/>
            </w:tcBorders>
            <w:gridSpan w:val="6"/>
          </w:tcPr>
          <w:p>
            <w:pPr>
              <w:spacing w:after="0"/>
              <w:rPr>
                <w:rFonts w:ascii="Arial" w:cs="Arial" w:eastAsia="Arial" w:hAnsi="Arial"/>
                <w:sz w:val="18"/>
                <w:szCs w:val="18"/>
                <w:color w:val="0000EE"/>
                <w:w w:val="90"/>
              </w:rPr>
            </w:pPr>
            <w:hyperlink r:id="rId388">
              <w:r>
                <w:rPr>
                  <w:rFonts w:ascii="Arial" w:cs="Arial" w:eastAsia="Arial" w:hAnsi="Arial"/>
                  <w:sz w:val="18"/>
                  <w:szCs w:val="18"/>
                  <w:color w:val="0000EE"/>
                  <w:w w:val="90"/>
                </w:rPr>
                <w:t>Amended and Restated Term Loan Security Agreement, dated as of July 2, 2015, among Academy, Ltd., as Borrower, each of the</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3"/>
              </w:rPr>
            </w:pPr>
            <w:hyperlink r:id="rId388">
              <w:r>
                <w:rPr>
                  <w:rFonts w:ascii="Arial" w:cs="Arial" w:eastAsia="Arial" w:hAnsi="Arial"/>
                  <w:sz w:val="18"/>
                  <w:szCs w:val="18"/>
                  <w:color w:val="0000EE"/>
                  <w:w w:val="93"/>
                </w:rPr>
                <w:t>subsidiaries listed on the signature pages thereto, and Morgan Stanley Senior Funding, Inc., as collateral agent for the benefit of the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320" w:type="dxa"/>
            <w:vAlign w:val="bottom"/>
            <w:gridSpan w:val="6"/>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388">
              <w:r>
                <w:rPr>
                  <w:rFonts w:ascii="Arial" w:cs="Arial" w:eastAsia="Arial" w:hAnsi="Arial"/>
                  <w:sz w:val="18"/>
                  <w:szCs w:val="18"/>
                  <w:color w:val="0000EE"/>
                  <w:w w:val="90"/>
                </w:rPr>
                <w:t>secured parties (incorporated by reference to Exhibit 10.2 to the Registrant’s Registration Statement on Form S-1 filed on September 23,</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388">
              <w:r>
                <w:rPr>
                  <w:rFonts w:ascii="Arial" w:cs="Arial" w:eastAsia="Arial" w:hAnsi="Arial"/>
                  <w:sz w:val="18"/>
                  <w:szCs w:val="18"/>
                  <w:color w:val="0000EE"/>
                  <w:w w:val="91"/>
                </w:rPr>
                <w:t>2020 (File No. 333-248683)).</w:t>
              </w:r>
            </w:hyperlink>
          </w:p>
        </w:tc>
        <w:tc>
          <w:tcPr>
            <w:tcW w:w="77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10.3</w:t>
            </w:r>
          </w:p>
        </w:tc>
        <w:tc>
          <w:tcPr>
            <w:tcW w:w="64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4"/>
              </w:rPr>
            </w:pPr>
            <w:hyperlink r:id="rId389">
              <w:r>
                <w:rPr>
                  <w:rFonts w:ascii="Arial" w:cs="Arial" w:eastAsia="Arial" w:hAnsi="Arial"/>
                  <w:sz w:val="18"/>
                  <w:szCs w:val="18"/>
                  <w:color w:val="0000EE"/>
                  <w:w w:val="94"/>
                </w:rPr>
                <w:t>Amended and Restated Term Loan Pledge Agreement, dated as of July 2, 2015, among New Academy Holding Company, LLC, as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60" w:type="dxa"/>
            <w:vAlign w:val="bottom"/>
            <w:gridSpan w:val="7"/>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1"/>
              </w:rPr>
            </w:pPr>
            <w:hyperlink r:id="rId389">
              <w:r>
                <w:rPr>
                  <w:rFonts w:ascii="Arial" w:cs="Arial" w:eastAsia="Arial" w:hAnsi="Arial"/>
                  <w:sz w:val="18"/>
                  <w:szCs w:val="18"/>
                  <w:color w:val="0000EE"/>
                  <w:w w:val="91"/>
                </w:rPr>
                <w:t>Holdings, Associated Investors L.L.C. and Academy Managing Co., L.L.C, as Texas Intermediate Holdcos, Academy, Ltd., as Borrower,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389">
              <w:r>
                <w:rPr>
                  <w:rFonts w:ascii="Arial" w:cs="Arial" w:eastAsia="Arial" w:hAnsi="Arial"/>
                  <w:sz w:val="18"/>
                  <w:szCs w:val="18"/>
                  <w:color w:val="0000EE"/>
                  <w:w w:val="89"/>
                </w:rPr>
                <w:t>each of the subsidiaries listed on the signature pages thereto and Morgan Stanley Senior Funding, Inc., as collateral agent for the benefit</w:t>
              </w:r>
            </w:hyperlink>
          </w:p>
        </w:tc>
        <w:tc>
          <w:tcPr>
            <w:tcW w:w="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80" w:type="dxa"/>
            <w:vAlign w:val="bottom"/>
            <w:gridSpan w:val="18"/>
          </w:tcPr>
          <w:p>
            <w:pPr>
              <w:spacing w:after="0"/>
              <w:rPr>
                <w:rFonts w:ascii="Arial" w:cs="Arial" w:eastAsia="Arial" w:hAnsi="Arial"/>
                <w:sz w:val="18"/>
                <w:szCs w:val="18"/>
                <w:u w:val="single" w:color="auto"/>
                <w:color w:val="0000EE"/>
                <w:w w:val="97"/>
              </w:rPr>
            </w:pPr>
            <w:hyperlink r:id="rId389">
              <w:r>
                <w:rPr>
                  <w:rFonts w:ascii="Arial" w:cs="Arial" w:eastAsia="Arial" w:hAnsi="Arial"/>
                  <w:sz w:val="18"/>
                  <w:szCs w:val="18"/>
                  <w:u w:val="single" w:color="auto"/>
                  <w:color w:val="0000EE"/>
                  <w:w w:val="97"/>
                </w:rPr>
                <w:t>of the secured parties (incorporated by reference to Exhibit 10.3 to the Registrant’s Registration Statement on Form S-1 filed on</w:t>
              </w:r>
            </w:hyperlink>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gridSpan w:val="18"/>
          </w:tcPr>
          <w:p>
            <w:pPr>
              <w:spacing w:after="0"/>
              <w:rPr>
                <w:rFonts w:ascii="Arial" w:cs="Arial" w:eastAsia="Arial" w:hAnsi="Arial"/>
                <w:sz w:val="18"/>
                <w:szCs w:val="18"/>
                <w:u w:val="single" w:color="auto"/>
                <w:color w:val="0000EE"/>
              </w:rPr>
            </w:pPr>
            <w:hyperlink r:id="rId389">
              <w:r>
                <w:rPr>
                  <w:rFonts w:ascii="Arial" w:cs="Arial" w:eastAsia="Arial" w:hAnsi="Arial"/>
                  <w:sz w:val="18"/>
                  <w:szCs w:val="18"/>
                  <w:u w:val="single" w:color="auto"/>
                  <w:color w:val="0000EE"/>
                </w:rPr>
                <w:t>September 23, 2020 (File No. 333-248683)).</w:t>
              </w:r>
            </w:hyperlink>
          </w:p>
        </w:tc>
        <w:tc>
          <w:tcPr>
            <w:tcW w:w="0" w:type="dxa"/>
            <w:vAlign w:val="bottom"/>
          </w:tcPr>
          <w:p>
            <w:pPr>
              <w:spacing w:after="0"/>
              <w:rPr>
                <w:sz w:val="1"/>
                <w:szCs w:val="1"/>
                <w:color w:val="auto"/>
              </w:rPr>
            </w:pPr>
          </w:p>
        </w:tc>
      </w:tr>
      <w:tr>
        <w:trPr>
          <w:trHeight w:val="283"/>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10.4</w:t>
            </w:r>
          </w:p>
        </w:tc>
        <w:tc>
          <w:tcPr>
            <w:tcW w:w="64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EE"/>
                <w:w w:val="92"/>
              </w:rPr>
            </w:pPr>
            <w:hyperlink r:id="rId390">
              <w:r>
                <w:rPr>
                  <w:rFonts w:ascii="Arial" w:cs="Arial" w:eastAsia="Arial" w:hAnsi="Arial"/>
                  <w:sz w:val="18"/>
                  <w:szCs w:val="18"/>
                  <w:color w:val="0000EE"/>
                  <w:w w:val="92"/>
                </w:rPr>
                <w:t>ABL Intercreditor Agreement, dated July 2, 2015, among JPMorgan Chase Bank, N.A., as agent for the ABL Secured Parties referred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80" w:type="dxa"/>
            <w:vAlign w:val="bottom"/>
            <w:gridSpan w:val="1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0"/>
              </w:rPr>
            </w:pPr>
            <w:hyperlink r:id="rId390">
              <w:r>
                <w:rPr>
                  <w:rFonts w:ascii="Arial" w:cs="Arial" w:eastAsia="Arial" w:hAnsi="Arial"/>
                  <w:sz w:val="18"/>
                  <w:szCs w:val="18"/>
                  <w:color w:val="0000EE"/>
                  <w:w w:val="90"/>
                </w:rPr>
                <w:t>to therein, Morgan Stanley Senior Funding, Inc., as administrative agent and collateral agent for the Term Loan Secured Parties referred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260" w:right="220"/>
        <w:spacing w:after="0" w:line="259" w:lineRule="auto"/>
        <w:rPr>
          <w:rFonts w:ascii="Arial" w:cs="Arial" w:eastAsia="Arial" w:hAnsi="Arial"/>
          <w:sz w:val="18"/>
          <w:szCs w:val="18"/>
          <w:u w:val="single" w:color="auto"/>
          <w:color w:val="0000EE"/>
        </w:rPr>
      </w:pPr>
      <w:hyperlink r:id="rId390">
        <w:r>
          <w:rPr>
            <w:rFonts w:ascii="Arial" w:cs="Arial" w:eastAsia="Arial" w:hAnsi="Arial"/>
            <w:sz w:val="18"/>
            <w:szCs w:val="18"/>
            <w:u w:val="single" w:color="auto"/>
            <w:color w:val="0000EE"/>
          </w:rPr>
          <w:t>to therein, New Academy Holding Company, LLC, as Holdings, Associated Investors L.L.C. and Academy Managing Co., L.L.C, as</w:t>
        </w:r>
      </w:hyperlink>
      <w:r>
        <w:rPr>
          <w:rFonts w:ascii="Arial" w:cs="Arial" w:eastAsia="Arial" w:hAnsi="Arial"/>
          <w:sz w:val="18"/>
          <w:szCs w:val="18"/>
          <w:u w:val="single" w:color="auto"/>
          <w:color w:val="0000EE"/>
        </w:rPr>
        <w:t xml:space="preserve"> </w:t>
      </w:r>
      <w:hyperlink r:id="rId390">
        <w:r>
          <w:rPr>
            <w:rFonts w:ascii="Arial" w:cs="Arial" w:eastAsia="Arial" w:hAnsi="Arial"/>
            <w:sz w:val="18"/>
            <w:szCs w:val="18"/>
            <w:u w:val="single" w:color="auto"/>
            <w:color w:val="0000EE"/>
          </w:rPr>
          <w:t>Texas Intermediate Holdcos, Academy, Ltd., as Borrower, and each of the subsidiaries of the Borrower listed on the signature pages</w:t>
        </w:r>
      </w:hyperlink>
      <w:r>
        <w:rPr>
          <w:rFonts w:ascii="Arial" w:cs="Arial" w:eastAsia="Arial" w:hAnsi="Arial"/>
          <w:sz w:val="18"/>
          <w:szCs w:val="18"/>
          <w:u w:val="single" w:color="auto"/>
          <w:color w:val="0000EE"/>
        </w:rPr>
        <w:t xml:space="preserve"> </w:t>
      </w:r>
      <w:hyperlink r:id="rId390">
        <w:r>
          <w:rPr>
            <w:rFonts w:ascii="Arial" w:cs="Arial" w:eastAsia="Arial" w:hAnsi="Arial"/>
            <w:sz w:val="18"/>
            <w:szCs w:val="18"/>
            <w:u w:val="single" w:color="auto"/>
            <w:color w:val="0000EE"/>
          </w:rPr>
          <w:t>thereto (incorporated by reference to Exhibit 10.4 to the Registrant’s Registration Statement on Form S-1 filed on September 23, 2020</w:t>
        </w:r>
      </w:hyperlink>
      <w:r>
        <w:rPr>
          <w:rFonts w:ascii="Arial" w:cs="Arial" w:eastAsia="Arial" w:hAnsi="Arial"/>
          <w:sz w:val="18"/>
          <w:szCs w:val="18"/>
          <w:u w:val="single" w:color="auto"/>
          <w:color w:val="0000EE"/>
        </w:rPr>
        <w:t xml:space="preserve"> </w:t>
      </w:r>
      <w:hyperlink r:id="rId390">
        <w:r>
          <w:rPr>
            <w:rFonts w:ascii="Arial" w:cs="Arial" w:eastAsia="Arial" w:hAnsi="Arial"/>
            <w:sz w:val="18"/>
            <w:szCs w:val="18"/>
            <w:u w:val="single" w:color="auto"/>
            <w:color w:val="0000EE"/>
          </w:rPr>
          <w:t>(File No. 333-248683)).</w:t>
        </w:r>
      </w:hyperlink>
    </w:p>
    <w:p>
      <w:pPr>
        <w:spacing w:after="0" w:line="119" w:lineRule="exact"/>
        <w:rPr>
          <w:rFonts w:ascii="Arial" w:cs="Arial" w:eastAsia="Arial" w:hAnsi="Arial"/>
          <w:sz w:val="18"/>
          <w:szCs w:val="18"/>
          <w:u w:val="single" w:color="auto"/>
          <w:color w:val="0000EE"/>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40" w:type="dxa"/>
            <w:vAlign w:val="bottom"/>
            <w:gridSpan w:val="18"/>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4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3"/>
                <w:szCs w:val="23"/>
                <w:color w:val="auto"/>
              </w:rPr>
            </w:pPr>
          </w:p>
        </w:tc>
        <w:tc>
          <w:tcPr>
            <w:tcW w:w="97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63">
              <w:r>
                <w:rPr>
                  <w:rFonts w:ascii="Arial" w:cs="Arial" w:eastAsia="Arial" w:hAnsi="Arial"/>
                  <w:sz w:val="18"/>
                  <w:szCs w:val="18"/>
                  <w:color w:val="0000EE"/>
                  <w:w w:val="91"/>
                </w:rPr>
                <w:t>Joinder to ABL Intercreditor Agreement, dated November 6, 2020, among JPMorgan Chase Bank, N.A., as agent for the ABL Secured</w:t>
              </w:r>
            </w:hyperlink>
          </w:p>
        </w:tc>
        <w:tc>
          <w:tcPr>
            <w:tcW w:w="16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63">
              <w:r>
                <w:rPr>
                  <w:rFonts w:ascii="Arial" w:cs="Arial" w:eastAsia="Arial" w:hAnsi="Arial"/>
                  <w:sz w:val="18"/>
                  <w:szCs w:val="18"/>
                  <w:color w:val="0000EE"/>
                  <w:w w:val="89"/>
                </w:rPr>
                <w:t>Parties referred to therein, Credit Suisse AG, Cayman Islands Branch, as agent for the Term Loan Secured Parties referred to therein, and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20" w:type="dxa"/>
            <w:vAlign w:val="bottom"/>
            <w:gridSpan w:val="20"/>
          </w:tcPr>
          <w:p>
            <w:pPr>
              <w:spacing w:after="0"/>
              <w:rPr>
                <w:rFonts w:ascii="Arial" w:cs="Arial" w:eastAsia="Arial" w:hAnsi="Arial"/>
                <w:sz w:val="18"/>
                <w:szCs w:val="18"/>
                <w:u w:val="single" w:color="auto"/>
                <w:color w:val="0000EE"/>
                <w:w w:val="95"/>
              </w:rPr>
            </w:pPr>
            <w:hyperlink w:anchor="page363">
              <w:r>
                <w:rPr>
                  <w:rFonts w:ascii="Arial" w:cs="Arial" w:eastAsia="Arial" w:hAnsi="Arial"/>
                  <w:sz w:val="18"/>
                  <w:szCs w:val="18"/>
                  <w:u w:val="single" w:color="auto"/>
                  <w:color w:val="0000EE"/>
                  <w:w w:val="95"/>
                </w:rPr>
                <w:t>The Bank of New York Mellon Trust Company, N.A., as collateral agent for the Additional Debt Secured Parties referred to therein.</w:t>
              </w:r>
            </w:hyperlink>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68">
              <w:r>
                <w:rPr>
                  <w:rFonts w:ascii="Arial" w:cs="Arial" w:eastAsia="Arial" w:hAnsi="Arial"/>
                  <w:sz w:val="18"/>
                  <w:szCs w:val="18"/>
                  <w:color w:val="0000EE"/>
                  <w:w w:val="90"/>
                </w:rPr>
                <w:t>Joinder to ABL Intercreditor Agreement, dated November 6, 2020, among JPMorgan Chase Bank, N.A., as agent for the ABL Secured</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20" w:type="dxa"/>
            <w:vAlign w:val="bottom"/>
            <w:gridSpan w:val="20"/>
          </w:tcPr>
          <w:p>
            <w:pPr>
              <w:spacing w:after="0"/>
              <w:rPr>
                <w:rFonts w:ascii="Arial" w:cs="Arial" w:eastAsia="Arial" w:hAnsi="Arial"/>
                <w:sz w:val="18"/>
                <w:szCs w:val="18"/>
                <w:color w:val="0000EE"/>
                <w:w w:val="89"/>
              </w:rPr>
            </w:pPr>
            <w:hyperlink w:anchor="page368">
              <w:r>
                <w:rPr>
                  <w:rFonts w:ascii="Arial" w:cs="Arial" w:eastAsia="Arial" w:hAnsi="Arial"/>
                  <w:sz w:val="18"/>
                  <w:szCs w:val="18"/>
                  <w:u w:val="single" w:color="auto"/>
                  <w:color w:val="0000EE"/>
                  <w:w w:val="89"/>
                </w:rPr>
                <w:t>Parties referred to therein, and Credit Suisse AG, Cayman Islands Branch, as agent for the Term Loan Secured Parties referred to therein</w:t>
              </w:r>
              <w:r>
                <w:rPr>
                  <w:rFonts w:ascii="Arial" w:cs="Arial" w:eastAsia="Arial" w:hAnsi="Arial"/>
                  <w:sz w:val="18"/>
                  <w:szCs w:val="18"/>
                  <w:color w:val="0000EE"/>
                  <w:w w:val="89"/>
                </w:rPr>
                <w:t>.</w:t>
              </w:r>
            </w:hyperlink>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8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372">
              <w:r>
                <w:rPr>
                  <w:rFonts w:ascii="Arial" w:cs="Arial" w:eastAsia="Arial" w:hAnsi="Arial"/>
                  <w:sz w:val="18"/>
                  <w:szCs w:val="18"/>
                  <w:color w:val="0000EE"/>
                  <w:w w:val="91"/>
                </w:rPr>
                <w:t>First Lien Intercreditor Agreement, dated November 6, 2020, among Credit Suisse AG, Cayman Islands Branch, as First Lien Collateral</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72">
              <w:r>
                <w:rPr>
                  <w:rFonts w:ascii="Arial" w:cs="Arial" w:eastAsia="Arial" w:hAnsi="Arial"/>
                  <w:sz w:val="18"/>
                  <w:szCs w:val="18"/>
                  <w:color w:val="0000EE"/>
                  <w:w w:val="91"/>
                </w:rPr>
                <w:t>Agent and Authorized Representative for the Credit Agreement Secured Parties referred to therein, The Bank of New York Mellon Trust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72">
              <w:r>
                <w:rPr>
                  <w:rFonts w:ascii="Arial" w:cs="Arial" w:eastAsia="Arial" w:hAnsi="Arial"/>
                  <w:sz w:val="18"/>
                  <w:szCs w:val="18"/>
                  <w:color w:val="0000EE"/>
                  <w:w w:val="92"/>
                </w:rPr>
                <w:t>Company, N.A., as Initial Additional First Lien Collateral Agent and Initial Additional Authorized Representative, and each of the</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7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72">
              <w:r>
                <w:rPr>
                  <w:rFonts w:ascii="Arial" w:cs="Arial" w:eastAsia="Arial" w:hAnsi="Arial"/>
                  <w:sz w:val="18"/>
                  <w:szCs w:val="18"/>
                  <w:color w:val="0000EE"/>
                  <w:w w:val="89"/>
                </w:rPr>
                <w:t>subsidiaries of the Borrower listed on the signature pages thereto.</w:t>
              </w:r>
            </w:hyperlink>
          </w:p>
        </w:tc>
        <w:tc>
          <w:tcPr>
            <w:tcW w:w="5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700" w:type="dxa"/>
            <w:vAlign w:val="bottom"/>
            <w:tcBorders>
              <w:bottom w:val="single" w:sz="8" w:color="0000EE"/>
            </w:tcBorders>
            <w:gridSpan w:val="12"/>
          </w:tcPr>
          <w:p>
            <w:pPr>
              <w:spacing w:after="0"/>
              <w:rPr>
                <w:rFonts w:ascii="Arial" w:cs="Arial" w:eastAsia="Arial" w:hAnsi="Arial"/>
                <w:sz w:val="18"/>
                <w:szCs w:val="18"/>
                <w:color w:val="0000EE"/>
                <w:w w:val="91"/>
              </w:rPr>
            </w:pPr>
            <w:hyperlink r:id="rId392">
              <w:r>
                <w:rPr>
                  <w:rFonts w:ascii="Arial" w:cs="Arial" w:eastAsia="Arial" w:hAnsi="Arial"/>
                  <w:sz w:val="18"/>
                  <w:szCs w:val="18"/>
                  <w:color w:val="0000EE"/>
                  <w:w w:val="91"/>
                </w:rPr>
                <w:t>First Amended and Restated ABL Credit Agreement, dated July 2, 2015, among Academy, Ltd., as Borrower, New Academy Holding</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392">
              <w:r>
                <w:rPr>
                  <w:rFonts w:ascii="Arial" w:cs="Arial" w:eastAsia="Arial" w:hAnsi="Arial"/>
                  <w:sz w:val="18"/>
                  <w:szCs w:val="18"/>
                  <w:color w:val="0000EE"/>
                  <w:w w:val="91"/>
                </w:rPr>
                <w:t>Company, LLC, as Holdings, Associated Investors L.L.C. and Academy Managing Co., L.L.C, as Texas Intermediate Holdcos, the</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92">
              <w:r>
                <w:rPr>
                  <w:rFonts w:ascii="Arial" w:cs="Arial" w:eastAsia="Arial" w:hAnsi="Arial"/>
                  <w:sz w:val="18"/>
                  <w:szCs w:val="18"/>
                  <w:color w:val="0000EE"/>
                  <w:w w:val="91"/>
                </w:rPr>
                <w:t>lending institutions from time to time party thereto and JPMorgan Chase Bank, N.A., as the Administrative Agent, the Collateral Agent,</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920" w:type="dxa"/>
            <w:vAlign w:val="bottom"/>
            <w:gridSpan w:val="20"/>
          </w:tcPr>
          <w:p>
            <w:pPr>
              <w:spacing w:after="0"/>
              <w:rPr>
                <w:rFonts w:ascii="Arial" w:cs="Arial" w:eastAsia="Arial" w:hAnsi="Arial"/>
                <w:sz w:val="18"/>
                <w:szCs w:val="18"/>
                <w:u w:val="single" w:color="auto"/>
                <w:color w:val="0000EE"/>
                <w:w w:val="91"/>
              </w:rPr>
            </w:pPr>
            <w:hyperlink r:id="rId392">
              <w:r>
                <w:rPr>
                  <w:rFonts w:ascii="Arial" w:cs="Arial" w:eastAsia="Arial" w:hAnsi="Arial"/>
                  <w:sz w:val="18"/>
                  <w:szCs w:val="18"/>
                  <w:u w:val="single" w:color="auto"/>
                  <w:color w:val="0000EE"/>
                  <w:w w:val="91"/>
                </w:rPr>
                <w:t>the Letter of Credit Issuer and the Swingline Lender (incorporated by reference to Exhibit 10.5 to the Registrant’s Registration Statement</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20" w:type="dxa"/>
            <w:vAlign w:val="bottom"/>
            <w:gridSpan w:val="20"/>
          </w:tcPr>
          <w:p>
            <w:pPr>
              <w:spacing w:after="0"/>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on Form S-1 filed on September 23, 2020 (File No. 333-248683)).</w:t>
              </w:r>
            </w:hyperlink>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7"/>
              </w:rPr>
            </w:pPr>
            <w:hyperlink r:id="rId393">
              <w:r>
                <w:rPr>
                  <w:rFonts w:ascii="Arial" w:cs="Arial" w:eastAsia="Arial" w:hAnsi="Arial"/>
                  <w:sz w:val="18"/>
                  <w:szCs w:val="18"/>
                  <w:color w:val="0000EE"/>
                  <w:w w:val="97"/>
                </w:rPr>
                <w:t>Amendment No. 1 to First Amended and Restated ABL Credit Agreement, dated as of May 22, 2018, among Academy, Ltd.,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5"/>
              </w:rPr>
            </w:pPr>
            <w:hyperlink r:id="rId393">
              <w:r>
                <w:rPr>
                  <w:rFonts w:ascii="Arial" w:cs="Arial" w:eastAsia="Arial" w:hAnsi="Arial"/>
                  <w:sz w:val="18"/>
                  <w:szCs w:val="18"/>
                  <w:color w:val="0000EE"/>
                  <w:w w:val="95"/>
                </w:rPr>
                <w:t>Borrower, New Academy Holding Company, LLC, as Holdings, Associated Investors L.L.C. and Academy Managing Co., L.L.C,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393">
              <w:r>
                <w:rPr>
                  <w:rFonts w:ascii="Arial" w:cs="Arial" w:eastAsia="Arial" w:hAnsi="Arial"/>
                  <w:sz w:val="18"/>
                  <w:szCs w:val="18"/>
                  <w:color w:val="0000EE"/>
                  <w:w w:val="89"/>
                </w:rPr>
                <w:t>Texas Intermediate Holdcos, each of the Guarantors party thereto, each of the lenders party thereto and JPMorgan Chase Bank, N.A., as</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920" w:type="dxa"/>
            <w:vAlign w:val="bottom"/>
            <w:gridSpan w:val="20"/>
          </w:tcPr>
          <w:p>
            <w:pPr>
              <w:spacing w:after="0"/>
              <w:rPr>
                <w:rFonts w:ascii="Arial" w:cs="Arial" w:eastAsia="Arial" w:hAnsi="Arial"/>
                <w:sz w:val="18"/>
                <w:szCs w:val="18"/>
                <w:u w:val="single" w:color="auto"/>
                <w:color w:val="0000EE"/>
                <w:w w:val="97"/>
              </w:rPr>
            </w:pPr>
            <w:hyperlink r:id="rId393">
              <w:r>
                <w:rPr>
                  <w:rFonts w:ascii="Arial" w:cs="Arial" w:eastAsia="Arial" w:hAnsi="Arial"/>
                  <w:sz w:val="18"/>
                  <w:szCs w:val="18"/>
                  <w:u w:val="single" w:color="auto"/>
                  <w:color w:val="0000EE"/>
                  <w:w w:val="97"/>
                </w:rPr>
                <w:t>the Administrative Agent, the Collateral Agent, the Letter of Credit Issuer and the Swingline Lender (incorporated by reference to</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20" w:type="dxa"/>
            <w:vAlign w:val="bottom"/>
            <w:gridSpan w:val="20"/>
          </w:tcPr>
          <w:p>
            <w:pPr>
              <w:spacing w:after="0"/>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Exhibit 10.6 to the 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4"/>
              </w:rPr>
            </w:pPr>
            <w:hyperlink r:id="rId394">
              <w:r>
                <w:rPr>
                  <w:rFonts w:ascii="Arial" w:cs="Arial" w:eastAsia="Arial" w:hAnsi="Arial"/>
                  <w:sz w:val="18"/>
                  <w:szCs w:val="18"/>
                  <w:color w:val="0000EE"/>
                  <w:w w:val="94"/>
                </w:rPr>
                <w:t>Amendment No. 2 to First Amended and Restated ABL Credit Agreement, dated as of November 6, 2020, among Academy, Ltd.,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94">
              <w:r>
                <w:rPr>
                  <w:rFonts w:ascii="Arial" w:cs="Arial" w:eastAsia="Arial" w:hAnsi="Arial"/>
                  <w:sz w:val="18"/>
                  <w:szCs w:val="18"/>
                  <w:color w:val="0000EE"/>
                  <w:w w:val="92"/>
                </w:rPr>
                <w:t>Borrower, New Academy Holding Company, LLC, as Holdings, Associated Investors, L.L.C. and Academy Managing Co., L.L.C., as</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4"/>
              </w:rPr>
            </w:pPr>
            <w:hyperlink r:id="rId394">
              <w:r>
                <w:rPr>
                  <w:rFonts w:ascii="Arial" w:cs="Arial" w:eastAsia="Arial" w:hAnsi="Arial"/>
                  <w:sz w:val="18"/>
                  <w:szCs w:val="18"/>
                  <w:color w:val="0000EE"/>
                  <w:w w:val="94"/>
                </w:rPr>
                <w:t>Texas Intermediate Holdcos, the several lenders from time to time party thereto, JPMorgan Chase Bank, N.A., as the letter of credit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920" w:type="dxa"/>
            <w:vAlign w:val="bottom"/>
            <w:gridSpan w:val="20"/>
          </w:tcPr>
          <w:p>
            <w:pPr>
              <w:spacing w:after="0"/>
              <w:rPr>
                <w:rFonts w:ascii="Arial" w:cs="Arial" w:eastAsia="Arial" w:hAnsi="Arial"/>
                <w:sz w:val="18"/>
                <w:szCs w:val="18"/>
                <w:u w:val="single" w:color="auto"/>
                <w:color w:val="0000EE"/>
                <w:w w:val="93"/>
              </w:rPr>
            </w:pPr>
            <w:hyperlink r:id="rId394">
              <w:r>
                <w:rPr>
                  <w:rFonts w:ascii="Arial" w:cs="Arial" w:eastAsia="Arial" w:hAnsi="Arial"/>
                  <w:sz w:val="18"/>
                  <w:szCs w:val="18"/>
                  <w:u w:val="single" w:color="auto"/>
                  <w:color w:val="0000EE"/>
                  <w:w w:val="93"/>
                </w:rPr>
                <w:t>issuer, administrative agent and collateral agent (incorporated by reference to Exhibit 10.2 to the Registrant’s Current Report on Form</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20" w:type="dxa"/>
            <w:vAlign w:val="bottom"/>
            <w:gridSpan w:val="20"/>
          </w:tcPr>
          <w:p>
            <w:pPr>
              <w:spacing w:after="0"/>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8-K filed on November 6, 2020 (File No. 001-39589)).</w:t>
              </w:r>
            </w:hyperlink>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90"/>
              </w:rPr>
            </w:pPr>
            <w:hyperlink r:id="rId395">
              <w:r>
                <w:rPr>
                  <w:rFonts w:ascii="Arial" w:cs="Arial" w:eastAsia="Arial" w:hAnsi="Arial"/>
                  <w:sz w:val="18"/>
                  <w:szCs w:val="18"/>
                  <w:color w:val="0000EE"/>
                  <w:w w:val="90"/>
                </w:rPr>
                <w:t>Amended and Restated ABL Security Agreement, dated as of July 2, 2015, among Academy, Ltd., as Borrower, each of the subsidiaries</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95">
              <w:r>
                <w:rPr>
                  <w:rFonts w:ascii="Arial" w:cs="Arial" w:eastAsia="Arial" w:hAnsi="Arial"/>
                  <w:sz w:val="18"/>
                  <w:szCs w:val="18"/>
                  <w:color w:val="0000EE"/>
                  <w:w w:val="89"/>
                </w:rPr>
                <w:t>listed on the signature pages thereto, and JPMorgan Chase Bank, N.A., as collateral agent for the benefit of the secured parties</w:t>
              </w:r>
            </w:hyperlink>
          </w:p>
        </w:tc>
        <w:tc>
          <w:tcPr>
            <w:tcW w:w="8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4"/>
              </w:rPr>
            </w:pPr>
            <w:hyperlink r:id="rId395">
              <w:r>
                <w:rPr>
                  <w:rFonts w:ascii="Arial" w:cs="Arial" w:eastAsia="Arial" w:hAnsi="Arial"/>
                  <w:sz w:val="18"/>
                  <w:szCs w:val="18"/>
                  <w:color w:val="0000EE"/>
                  <w:w w:val="94"/>
                </w:rPr>
                <w:t>(incorporated by reference to Exhibit 10.7 to the Registrant’s Registration Statement on Form S-1 filed on September 23, 2020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95">
              <w:r>
                <w:rPr>
                  <w:rFonts w:ascii="Arial" w:cs="Arial" w:eastAsia="Arial" w:hAnsi="Arial"/>
                  <w:sz w:val="18"/>
                  <w:szCs w:val="18"/>
                  <w:color w:val="0000EE"/>
                </w:rPr>
                <w:t>No. 333-248683)).</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4"/>
                <w:szCs w:val="24"/>
                <w:color w:val="auto"/>
              </w:rPr>
            </w:pPr>
          </w:p>
        </w:tc>
        <w:tc>
          <w:tcPr>
            <w:tcW w:w="9400" w:type="dxa"/>
            <w:vAlign w:val="bottom"/>
            <w:tcBorders>
              <w:bottom w:val="single" w:sz="8" w:color="0000EE"/>
            </w:tcBorders>
            <w:gridSpan w:val="6"/>
          </w:tcPr>
          <w:p>
            <w:pPr>
              <w:spacing w:after="0"/>
              <w:rPr>
                <w:rFonts w:ascii="Arial" w:cs="Arial" w:eastAsia="Arial" w:hAnsi="Arial"/>
                <w:sz w:val="18"/>
                <w:szCs w:val="18"/>
                <w:color w:val="0000EE"/>
                <w:w w:val="91"/>
              </w:rPr>
            </w:pPr>
            <w:hyperlink r:id="rId396">
              <w:r>
                <w:rPr>
                  <w:rFonts w:ascii="Arial" w:cs="Arial" w:eastAsia="Arial" w:hAnsi="Arial"/>
                  <w:sz w:val="18"/>
                  <w:szCs w:val="18"/>
                  <w:color w:val="0000EE"/>
                  <w:w w:val="91"/>
                </w:rPr>
                <w:t>Amended and Restated ABL Pledge Agreement, dated July 2, 2015, among New Academy Holding Company, LLC, as Holdings,</w:t>
              </w:r>
            </w:hyperlink>
          </w:p>
        </w:tc>
        <w:tc>
          <w:tcPr>
            <w:tcW w:w="5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3"/>
              </w:rPr>
            </w:pPr>
            <w:hyperlink r:id="rId396">
              <w:r>
                <w:rPr>
                  <w:rFonts w:ascii="Arial" w:cs="Arial" w:eastAsia="Arial" w:hAnsi="Arial"/>
                  <w:sz w:val="18"/>
                  <w:szCs w:val="18"/>
                  <w:color w:val="0000EE"/>
                  <w:w w:val="93"/>
                </w:rPr>
                <w:t>Associated Investors L.L.C. and Academy Managing Co., L.L.C, as Texas Intermediate Holdcos, Academy, Ltd., as Borrower, each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3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1"/>
              </w:rPr>
            </w:pPr>
            <w:hyperlink r:id="rId396">
              <w:r>
                <w:rPr>
                  <w:rFonts w:ascii="Arial" w:cs="Arial" w:eastAsia="Arial" w:hAnsi="Arial"/>
                  <w:sz w:val="18"/>
                  <w:szCs w:val="18"/>
                  <w:color w:val="0000EE"/>
                  <w:w w:val="91"/>
                </w:rPr>
                <w:t>the subsidiaries listed on the signature pages thereto and JPMorgan Chase Bank, N.A., as collateral agent for the benefit of the secured</w:t>
              </w:r>
            </w:hyperlink>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80" w:type="dxa"/>
            <w:vAlign w:val="bottom"/>
            <w:tcBorders>
              <w:top w:val="single" w:sz="8" w:color="0000EE"/>
            </w:tcBorders>
            <w:gridSpan w:val="11"/>
          </w:tcPr>
          <w:p>
            <w:pPr>
              <w:spacing w:after="0"/>
              <w:rPr>
                <w:rFonts w:ascii="Arial" w:cs="Arial" w:eastAsia="Arial" w:hAnsi="Arial"/>
                <w:sz w:val="18"/>
                <w:szCs w:val="18"/>
                <w:u w:val="single" w:color="auto"/>
                <w:color w:val="0000EE"/>
                <w:w w:val="90"/>
              </w:rPr>
            </w:pPr>
            <w:hyperlink r:id="rId396">
              <w:r>
                <w:rPr>
                  <w:rFonts w:ascii="Arial" w:cs="Arial" w:eastAsia="Arial" w:hAnsi="Arial"/>
                  <w:sz w:val="18"/>
                  <w:szCs w:val="18"/>
                  <w:u w:val="single" w:color="auto"/>
                  <w:color w:val="0000EE"/>
                  <w:w w:val="90"/>
                </w:rPr>
                <w:t>parties (incorporated by reference to Exhibit 10.8 to the Registrant’s Registration Statement on Form S-1 filed on September 23, 2020</w:t>
              </w:r>
            </w:hyperlink>
          </w:p>
        </w:tc>
        <w:tc>
          <w:tcPr>
            <w:tcW w:w="2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20" w:type="dxa"/>
            <w:vAlign w:val="bottom"/>
            <w:gridSpan w:val="20"/>
          </w:tcPr>
          <w:p>
            <w:pPr>
              <w:spacing w:after="0"/>
              <w:rPr>
                <w:rFonts w:ascii="Arial" w:cs="Arial" w:eastAsia="Arial" w:hAnsi="Arial"/>
                <w:sz w:val="18"/>
                <w:szCs w:val="18"/>
                <w:u w:val="single" w:color="auto"/>
                <w:color w:val="0000EE"/>
              </w:rPr>
            </w:pPr>
            <w:hyperlink r:id="rId396">
              <w:r>
                <w:rPr>
                  <w:rFonts w:ascii="Arial" w:cs="Arial" w:eastAsia="Arial" w:hAnsi="Arial"/>
                  <w:sz w:val="18"/>
                  <w:szCs w:val="18"/>
                  <w:u w:val="single" w:color="auto"/>
                  <w:color w:val="0000EE"/>
                </w:rPr>
                <w:t>(File No. 333-248683)).</w:t>
              </w:r>
            </w:hyperlink>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10.13*</w:t>
            </w:r>
          </w:p>
        </w:tc>
        <w:tc>
          <w:tcPr>
            <w:tcW w:w="560" w:type="dxa"/>
            <w:vAlign w:val="bottom"/>
          </w:tcPr>
          <w:p>
            <w:pPr>
              <w:spacing w:after="0"/>
              <w:rPr>
                <w:sz w:val="24"/>
                <w:szCs w:val="24"/>
                <w:color w:val="auto"/>
              </w:rPr>
            </w:pPr>
          </w:p>
        </w:tc>
        <w:tc>
          <w:tcPr>
            <w:tcW w:w="92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02">
              <w:r>
                <w:rPr>
                  <w:rFonts w:ascii="Arial" w:cs="Arial" w:eastAsia="Arial" w:hAnsi="Arial"/>
                  <w:sz w:val="18"/>
                  <w:szCs w:val="18"/>
                  <w:color w:val="0000EE"/>
                  <w:w w:val="89"/>
                </w:rPr>
                <w:t>Notes Security Agreement, dated as of November 6, 2020, among Academy, Ltd., as Issuer, each of the guarantors listed on the</w:t>
              </w:r>
            </w:hyperlink>
          </w:p>
        </w:tc>
        <w:tc>
          <w:tcPr>
            <w:tcW w:w="6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02">
              <w:r>
                <w:rPr>
                  <w:rFonts w:ascii="Arial" w:cs="Arial" w:eastAsia="Arial" w:hAnsi="Arial"/>
                  <w:sz w:val="18"/>
                  <w:szCs w:val="18"/>
                  <w:color w:val="0000EE"/>
                  <w:w w:val="90"/>
                </w:rPr>
                <w:t>signature pages thereto, and The Bank of New York Mellon Trust Company, N.A., as collateral agent for the benefit of the Secured</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w:anchor="page402">
              <w:r>
                <w:rPr>
                  <w:rFonts w:ascii="Arial" w:cs="Arial" w:eastAsia="Arial" w:hAnsi="Arial"/>
                  <w:sz w:val="18"/>
                  <w:szCs w:val="18"/>
                  <w:color w:val="0000EE"/>
                </w:rPr>
                <w:t>Parties referred to therein.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00" w:type="dxa"/>
            <w:vAlign w:val="bottom"/>
            <w:gridSpan w:val="13"/>
            <w:vMerge w:val="restart"/>
          </w:tcPr>
          <w:p>
            <w:pPr>
              <w:ind w:left="1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70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10.14*</w:t>
            </w:r>
          </w:p>
        </w:tc>
        <w:tc>
          <w:tcPr>
            <w:tcW w:w="520" w:type="dxa"/>
            <w:vAlign w:val="bottom"/>
          </w:tcPr>
          <w:p>
            <w:pPr>
              <w:spacing w:after="0"/>
              <w:rPr>
                <w:sz w:val="23"/>
                <w:szCs w:val="23"/>
                <w:color w:val="auto"/>
              </w:rPr>
            </w:pPr>
          </w:p>
        </w:tc>
        <w:tc>
          <w:tcPr>
            <w:tcW w:w="98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29">
              <w:r>
                <w:rPr>
                  <w:rFonts w:ascii="Arial" w:cs="Arial" w:eastAsia="Arial" w:hAnsi="Arial"/>
                  <w:sz w:val="18"/>
                  <w:szCs w:val="18"/>
                  <w:color w:val="0000EE"/>
                  <w:w w:val="89"/>
                </w:rPr>
                <w:t>Notes Pledge Agreement, dated as of November 6, 2020, among Academy, Ltd., as Issuer, each of the guarantors listed on the signature</w:t>
              </w:r>
            </w:hyperlink>
          </w:p>
        </w:tc>
        <w:tc>
          <w:tcPr>
            <w:tcW w:w="1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29">
              <w:r>
                <w:rPr>
                  <w:rFonts w:ascii="Arial" w:cs="Arial" w:eastAsia="Arial" w:hAnsi="Arial"/>
                  <w:sz w:val="18"/>
                  <w:szCs w:val="18"/>
                  <w:color w:val="0000EE"/>
                  <w:w w:val="90"/>
                </w:rPr>
                <w:t>pages thereto, and The Bank of New York Mellon Trust Company, N.A., as collateral agent for the benefit of the Secured Parties referred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29">
              <w:r>
                <w:rPr>
                  <w:rFonts w:ascii="Arial" w:cs="Arial" w:eastAsia="Arial" w:hAnsi="Arial"/>
                  <w:sz w:val="18"/>
                  <w:szCs w:val="18"/>
                  <w:color w:val="0000EE"/>
                  <w:w w:val="89"/>
                </w:rPr>
                <w:t>to therein.</w:t>
              </w:r>
            </w:hyperlink>
          </w:p>
        </w:tc>
        <w:tc>
          <w:tcPr>
            <w:tcW w:w="91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10.15†</w:t>
            </w:r>
          </w:p>
        </w:tc>
        <w:tc>
          <w:tcPr>
            <w:tcW w:w="520" w:type="dxa"/>
            <w:vAlign w:val="bottom"/>
          </w:tcPr>
          <w:p>
            <w:pPr>
              <w:spacing w:after="0"/>
              <w:rPr>
                <w:sz w:val="24"/>
                <w:szCs w:val="24"/>
                <w:color w:val="auto"/>
              </w:rPr>
            </w:pPr>
          </w:p>
        </w:tc>
        <w:tc>
          <w:tcPr>
            <w:tcW w:w="9540" w:type="dxa"/>
            <w:vAlign w:val="bottom"/>
            <w:tcBorders>
              <w:bottom w:val="single" w:sz="8" w:color="0000EE"/>
            </w:tcBorders>
            <w:gridSpan w:val="11"/>
          </w:tcPr>
          <w:p>
            <w:pPr>
              <w:spacing w:after="0"/>
              <w:rPr>
                <w:rFonts w:ascii="Arial" w:cs="Arial" w:eastAsia="Arial" w:hAnsi="Arial"/>
                <w:sz w:val="18"/>
                <w:szCs w:val="18"/>
                <w:color w:val="0000EE"/>
                <w:w w:val="91"/>
              </w:rPr>
            </w:pPr>
            <w:hyperlink r:id="rId398">
              <w:r>
                <w:rPr>
                  <w:rFonts w:ascii="Arial" w:cs="Arial" w:eastAsia="Arial" w:hAnsi="Arial"/>
                  <w:sz w:val="18"/>
                  <w:szCs w:val="18"/>
                  <w:color w:val="0000EE"/>
                  <w:w w:val="91"/>
                </w:rPr>
                <w:t>2020 Omnibus Incentive Plan (incorporated by reference to Exhibit 10.2 to the Registrant’s Quarterly Report on Form 10-Q filed on</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398">
              <w:r>
                <w:rPr>
                  <w:rFonts w:ascii="Arial" w:cs="Arial" w:eastAsia="Arial" w:hAnsi="Arial"/>
                  <w:sz w:val="18"/>
                  <w:szCs w:val="18"/>
                  <w:color w:val="0000EE"/>
                </w:rPr>
                <w:t>December 10, 2020 (File No. 001-39589)).</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10.16†</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2"/>
              </w:rPr>
            </w:pPr>
            <w:hyperlink r:id="rId399">
              <w:r>
                <w:rPr>
                  <w:rFonts w:ascii="Arial" w:cs="Arial" w:eastAsia="Arial" w:hAnsi="Arial"/>
                  <w:sz w:val="18"/>
                  <w:szCs w:val="18"/>
                  <w:color w:val="0000EE"/>
                  <w:w w:val="92"/>
                </w:rPr>
                <w:t>Form of Time-Based Option Agreement under 2020 Omnibus Incentive Plan (incorporated by reference to Exhibit 10.10 to Amendment</w:t>
              </w:r>
            </w:hyperlink>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2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399">
              <w:r>
                <w:rPr>
                  <w:rFonts w:ascii="Arial" w:cs="Arial" w:eastAsia="Arial" w:hAnsi="Arial"/>
                  <w:sz w:val="18"/>
                  <w:szCs w:val="18"/>
                  <w:u w:val="single" w:color="auto"/>
                  <w:color w:val="0000EE"/>
                </w:rPr>
                <w:t>No. 1 to the Registrant’s Registration Statement on Form S-1 filed on September 23, 2020 (File No. 333-248683)).</w:t>
              </w:r>
            </w:hyperlink>
          </w:p>
        </w:tc>
        <w:tc>
          <w:tcPr>
            <w:tcW w:w="1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10.17†</w:t>
            </w:r>
          </w:p>
        </w:tc>
        <w:tc>
          <w:tcPr>
            <w:tcW w:w="520" w:type="dxa"/>
            <w:vAlign w:val="bottom"/>
          </w:tcPr>
          <w:p>
            <w:pPr>
              <w:spacing w:after="0"/>
              <w:rPr>
                <w:sz w:val="24"/>
                <w:szCs w:val="24"/>
                <w:color w:val="auto"/>
              </w:rPr>
            </w:pPr>
          </w:p>
        </w:tc>
        <w:tc>
          <w:tcPr>
            <w:tcW w:w="9600" w:type="dxa"/>
            <w:vAlign w:val="bottom"/>
            <w:tcBorders>
              <w:bottom w:val="single" w:sz="8" w:color="0000EE"/>
            </w:tcBorders>
            <w:gridSpan w:val="13"/>
          </w:tcPr>
          <w:p>
            <w:pPr>
              <w:spacing w:after="0"/>
              <w:rPr>
                <w:rFonts w:ascii="Arial" w:cs="Arial" w:eastAsia="Arial" w:hAnsi="Arial"/>
                <w:sz w:val="18"/>
                <w:szCs w:val="18"/>
                <w:color w:val="0000EE"/>
                <w:w w:val="91"/>
              </w:rPr>
            </w:pPr>
            <w:hyperlink r:id="rId400">
              <w:r>
                <w:rPr>
                  <w:rFonts w:ascii="Arial" w:cs="Arial" w:eastAsia="Arial" w:hAnsi="Arial"/>
                  <w:sz w:val="18"/>
                  <w:szCs w:val="18"/>
                  <w:color w:val="0000EE"/>
                  <w:w w:val="91"/>
                </w:rPr>
                <w:t>Form of Non-Employee Director Restricted Stock Unit Agreement under 2020 Omnibus Incentive Plan (incorporated by reference to</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00">
              <w:r>
                <w:rPr>
                  <w:rFonts w:ascii="Arial" w:cs="Arial" w:eastAsia="Arial" w:hAnsi="Arial"/>
                  <w:sz w:val="18"/>
                  <w:szCs w:val="18"/>
                  <w:color w:val="0000EE"/>
                  <w:w w:val="91"/>
                </w:rPr>
                <w:t>Exhibit 10.11 to Amendment No. 1 to the Registrant’s Registration Statement on Form S-1 filed on September 23, 2020 (File</w:t>
              </w:r>
            </w:hyperlink>
          </w:p>
        </w:tc>
        <w:tc>
          <w:tcPr>
            <w:tcW w:w="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400">
              <w:r>
                <w:rPr>
                  <w:rFonts w:ascii="Arial" w:cs="Arial" w:eastAsia="Arial" w:hAnsi="Arial"/>
                  <w:sz w:val="18"/>
                  <w:szCs w:val="18"/>
                  <w:color w:val="0000EE"/>
                </w:rPr>
                <w:t>No. 333-248683)).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10.18†</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1"/>
              </w:rPr>
            </w:pPr>
            <w:hyperlink r:id="rId401">
              <w:r>
                <w:rPr>
                  <w:rFonts w:ascii="Arial" w:cs="Arial" w:eastAsia="Arial" w:hAnsi="Arial"/>
                  <w:sz w:val="18"/>
                  <w:szCs w:val="18"/>
                  <w:color w:val="0000EE"/>
                  <w:w w:val="91"/>
                </w:rPr>
                <w:t>Form of Performance-Based Restricted Stock Unit Agreement under 2020 Omnibus Incentive Plan (incorporated by reference to Exhibit</w:t>
              </w:r>
            </w:hyperlink>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40" w:type="dxa"/>
            <w:vAlign w:val="bottom"/>
            <w:tcBorders>
              <w:top w:val="single" w:sz="8" w:color="0000EE"/>
            </w:tcBorders>
            <w:gridSpan w:val="15"/>
          </w:tcPr>
          <w:p>
            <w:pPr>
              <w:spacing w:after="0"/>
              <w:rPr>
                <w:rFonts w:ascii="Arial" w:cs="Arial" w:eastAsia="Arial" w:hAnsi="Arial"/>
                <w:sz w:val="18"/>
                <w:szCs w:val="18"/>
                <w:u w:val="single" w:color="auto"/>
                <w:color w:val="0000EE"/>
                <w:w w:val="90"/>
              </w:rPr>
            </w:pPr>
            <w:hyperlink r:id="rId401">
              <w:r>
                <w:rPr>
                  <w:rFonts w:ascii="Arial" w:cs="Arial" w:eastAsia="Arial" w:hAnsi="Arial"/>
                  <w:sz w:val="18"/>
                  <w:szCs w:val="18"/>
                  <w:u w:val="single" w:color="auto"/>
                  <w:color w:val="0000EE"/>
                  <w:w w:val="90"/>
                </w:rPr>
                <w:t>10.12 to Amendment No. 1 to the Registrant’s Registration Statement on Form S-1 filed on September 23, 2020 (File No. 333-248683)).</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10.19†</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4"/>
              </w:rPr>
            </w:pPr>
            <w:hyperlink r:id="rId402">
              <w:r>
                <w:rPr>
                  <w:rFonts w:ascii="Arial" w:cs="Arial" w:eastAsia="Arial" w:hAnsi="Arial"/>
                  <w:sz w:val="18"/>
                  <w:szCs w:val="18"/>
                  <w:color w:val="0000EE"/>
                  <w:w w:val="94"/>
                </w:rPr>
                <w:t>2011 Unit Incentive Plan (incorporated by reference to Exhibit 10.13 to the Registrant’s Registration Statement on Form S-1 filed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402">
              <w:r>
                <w:rPr>
                  <w:rFonts w:ascii="Arial" w:cs="Arial" w:eastAsia="Arial" w:hAnsi="Arial"/>
                  <w:sz w:val="18"/>
                  <w:szCs w:val="18"/>
                  <w:color w:val="0000EE"/>
                </w:rPr>
                <w:t>September 23, 2020 (File No. 333-248683)).</w:t>
              </w:r>
            </w:hyperlink>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10.20†</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4"/>
              </w:rPr>
            </w:pPr>
            <w:hyperlink r:id="rId403">
              <w:r>
                <w:rPr>
                  <w:rFonts w:ascii="Arial" w:cs="Arial" w:eastAsia="Arial" w:hAnsi="Arial"/>
                  <w:sz w:val="18"/>
                  <w:szCs w:val="18"/>
                  <w:color w:val="0000EE"/>
                  <w:w w:val="94"/>
                </w:rPr>
                <w:t>Form of 2020 CEO Option Agreement under 2011 Unit Incentive Plan (incorporated by reference to Exhibit 10.14 to the Registrant’s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03">
              <w:r>
                <w:rPr>
                  <w:rFonts w:ascii="Arial" w:cs="Arial" w:eastAsia="Arial" w:hAnsi="Arial"/>
                  <w:sz w:val="18"/>
                  <w:szCs w:val="18"/>
                  <w:color w:val="0000EE"/>
                </w:rPr>
                <w:t>Registration Statement on Form S-1 filed on September 23, 2020 (File No. 333-248683)).</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60" w:type="dxa"/>
            <w:vAlign w:val="bottom"/>
            <w:gridSpan w:val="5"/>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10.21†</w:t>
            </w:r>
          </w:p>
        </w:tc>
        <w:tc>
          <w:tcPr>
            <w:tcW w:w="52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1"/>
              </w:rPr>
            </w:pPr>
            <w:hyperlink r:id="rId404">
              <w:r>
                <w:rPr>
                  <w:rFonts w:ascii="Arial" w:cs="Arial" w:eastAsia="Arial" w:hAnsi="Arial"/>
                  <w:sz w:val="18"/>
                  <w:szCs w:val="18"/>
                  <w:color w:val="0000EE"/>
                  <w:w w:val="91"/>
                </w:rPr>
                <w:t>Form of 2020 Executive Option Agreement under 2011 Unit Incentive Plan (incorporated by reference to Exhibit 10.15 to the</w:t>
              </w:r>
            </w:hyperlink>
          </w:p>
        </w:tc>
        <w:tc>
          <w:tcPr>
            <w:tcW w:w="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404">
              <w:r>
                <w:rPr>
                  <w:rFonts w:ascii="Arial" w:cs="Arial" w:eastAsia="Arial" w:hAnsi="Arial"/>
                  <w:sz w:val="18"/>
                  <w:szCs w:val="18"/>
                  <w:color w:val="0000EE"/>
                </w:rPr>
                <w:t>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60" w:type="dxa"/>
            <w:vAlign w:val="bottom"/>
            <w:gridSpan w:val="6"/>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10.22†</w:t>
            </w:r>
          </w:p>
        </w:tc>
        <w:tc>
          <w:tcPr>
            <w:tcW w:w="520" w:type="dxa"/>
            <w:vAlign w:val="bottom"/>
          </w:tcPr>
          <w:p>
            <w:pPr>
              <w:spacing w:after="0"/>
              <w:rPr>
                <w:sz w:val="24"/>
                <w:szCs w:val="24"/>
                <w:color w:val="auto"/>
              </w:rPr>
            </w:pPr>
          </w:p>
        </w:tc>
        <w:tc>
          <w:tcPr>
            <w:tcW w:w="9520" w:type="dxa"/>
            <w:vAlign w:val="bottom"/>
            <w:tcBorders>
              <w:bottom w:val="single" w:sz="8" w:color="0000EE"/>
            </w:tcBorders>
            <w:gridSpan w:val="10"/>
          </w:tcPr>
          <w:p>
            <w:pPr>
              <w:spacing w:after="0"/>
              <w:rPr>
                <w:rFonts w:ascii="Arial" w:cs="Arial" w:eastAsia="Arial" w:hAnsi="Arial"/>
                <w:sz w:val="18"/>
                <w:szCs w:val="18"/>
                <w:color w:val="0000EE"/>
                <w:w w:val="91"/>
              </w:rPr>
            </w:pPr>
            <w:hyperlink r:id="rId396">
              <w:r>
                <w:rPr>
                  <w:rFonts w:ascii="Arial" w:cs="Arial" w:eastAsia="Arial" w:hAnsi="Arial"/>
                  <w:sz w:val="18"/>
                  <w:szCs w:val="18"/>
                  <w:color w:val="0000EE"/>
                  <w:w w:val="91"/>
                </w:rPr>
                <w:t>Form of 2019 CEO Option Agreement under 2011 Unit Incentive Plan (incorporated by reference to Exhibit 10.8 to the Registrant’s</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396">
              <w:r>
                <w:rPr>
                  <w:rFonts w:ascii="Arial" w:cs="Arial" w:eastAsia="Arial" w:hAnsi="Arial"/>
                  <w:sz w:val="18"/>
                  <w:szCs w:val="18"/>
                  <w:color w:val="0000EE"/>
                </w:rPr>
                <w:t>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60" w:type="dxa"/>
            <w:vAlign w:val="bottom"/>
            <w:gridSpan w:val="5"/>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10.23†</w:t>
            </w:r>
          </w:p>
        </w:tc>
        <w:tc>
          <w:tcPr>
            <w:tcW w:w="52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1"/>
              </w:rPr>
            </w:pPr>
            <w:hyperlink r:id="rId405">
              <w:r>
                <w:rPr>
                  <w:rFonts w:ascii="Arial" w:cs="Arial" w:eastAsia="Arial" w:hAnsi="Arial"/>
                  <w:sz w:val="18"/>
                  <w:szCs w:val="18"/>
                  <w:color w:val="0000EE"/>
                  <w:w w:val="91"/>
                </w:rPr>
                <w:t>Form of 2019 Executive Option Agreement under 2011 Unit Incentive Plan (incorporated by reference to Exhibit 10.17 to the</w:t>
              </w:r>
            </w:hyperlink>
          </w:p>
        </w:tc>
        <w:tc>
          <w:tcPr>
            <w:tcW w:w="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405">
              <w:r>
                <w:rPr>
                  <w:rFonts w:ascii="Arial" w:cs="Arial" w:eastAsia="Arial" w:hAnsi="Arial"/>
                  <w:sz w:val="18"/>
                  <w:szCs w:val="18"/>
                  <w:color w:val="0000EE"/>
                </w:rPr>
                <w:t>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60" w:type="dxa"/>
            <w:vAlign w:val="bottom"/>
            <w:gridSpan w:val="6"/>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10.24†</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4"/>
              </w:rPr>
            </w:pPr>
            <w:hyperlink r:id="rId406">
              <w:r>
                <w:rPr>
                  <w:rFonts w:ascii="Arial" w:cs="Arial" w:eastAsia="Arial" w:hAnsi="Arial"/>
                  <w:sz w:val="18"/>
                  <w:szCs w:val="18"/>
                  <w:color w:val="0000EE"/>
                  <w:w w:val="94"/>
                </w:rPr>
                <w:t>Form of 2018 CEO Option Agreement under 2011 Unit Incentive Plan (incorporated by reference to Exhibit 10.18 to the Registrant’s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06">
              <w:r>
                <w:rPr>
                  <w:rFonts w:ascii="Arial" w:cs="Arial" w:eastAsia="Arial" w:hAnsi="Arial"/>
                  <w:sz w:val="18"/>
                  <w:szCs w:val="18"/>
                  <w:color w:val="0000EE"/>
                </w:rPr>
                <w:t>Registration Statement on Form S-1 filed on September 23, 2020 (File No. 333-248683)).</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60" w:type="dxa"/>
            <w:vAlign w:val="bottom"/>
            <w:gridSpan w:val="5"/>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10.25†</w:t>
            </w:r>
          </w:p>
        </w:tc>
        <w:tc>
          <w:tcPr>
            <w:tcW w:w="52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1"/>
              </w:rPr>
            </w:pPr>
            <w:hyperlink r:id="rId407">
              <w:r>
                <w:rPr>
                  <w:rFonts w:ascii="Arial" w:cs="Arial" w:eastAsia="Arial" w:hAnsi="Arial"/>
                  <w:sz w:val="18"/>
                  <w:szCs w:val="18"/>
                  <w:color w:val="0000EE"/>
                  <w:w w:val="91"/>
                </w:rPr>
                <w:t>Form of 2018 Executive Option Agreement under 2011 Unit Incentive Plan (incorporated by reference to Exhibit 10.19 to the</w:t>
              </w:r>
            </w:hyperlink>
          </w:p>
        </w:tc>
        <w:tc>
          <w:tcPr>
            <w:tcW w:w="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407">
              <w:r>
                <w:rPr>
                  <w:rFonts w:ascii="Arial" w:cs="Arial" w:eastAsia="Arial" w:hAnsi="Arial"/>
                  <w:sz w:val="18"/>
                  <w:szCs w:val="18"/>
                  <w:color w:val="0000EE"/>
                </w:rPr>
                <w:t>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60" w:type="dxa"/>
            <w:vAlign w:val="bottom"/>
            <w:gridSpan w:val="6"/>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10.26†</w:t>
            </w:r>
          </w:p>
        </w:tc>
        <w:tc>
          <w:tcPr>
            <w:tcW w:w="52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1"/>
              </w:rPr>
            </w:pPr>
            <w:hyperlink r:id="rId408">
              <w:r>
                <w:rPr>
                  <w:rFonts w:ascii="Arial" w:cs="Arial" w:eastAsia="Arial" w:hAnsi="Arial"/>
                  <w:sz w:val="18"/>
                  <w:szCs w:val="18"/>
                  <w:color w:val="0000EE"/>
                  <w:w w:val="91"/>
                </w:rPr>
                <w:t>Form of 2017 Executive Option Agreement under 2011 Unit Incentive Plan (incorporated by reference to Exhibit 10.20 to the</w:t>
              </w:r>
            </w:hyperlink>
          </w:p>
        </w:tc>
        <w:tc>
          <w:tcPr>
            <w:tcW w:w="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408">
              <w:r>
                <w:rPr>
                  <w:rFonts w:ascii="Arial" w:cs="Arial" w:eastAsia="Arial" w:hAnsi="Arial"/>
                  <w:sz w:val="18"/>
                  <w:szCs w:val="18"/>
                  <w:color w:val="0000EE"/>
                </w:rPr>
                <w:t>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60" w:type="dxa"/>
            <w:vAlign w:val="bottom"/>
            <w:gridSpan w:val="6"/>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10.27†</w:t>
            </w:r>
          </w:p>
        </w:tc>
        <w:tc>
          <w:tcPr>
            <w:tcW w:w="52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1"/>
              </w:rPr>
            </w:pPr>
            <w:hyperlink r:id="rId408">
              <w:r>
                <w:rPr>
                  <w:rFonts w:ascii="Arial" w:cs="Arial" w:eastAsia="Arial" w:hAnsi="Arial"/>
                  <w:sz w:val="18"/>
                  <w:szCs w:val="18"/>
                  <w:color w:val="0000EE"/>
                  <w:w w:val="91"/>
                </w:rPr>
                <w:t>Form of 2016 Executive Option Agreement under 2011 Unit Incentive Plan (incorporated by reference to Exhibit 10.21 to the</w:t>
              </w:r>
            </w:hyperlink>
          </w:p>
        </w:tc>
        <w:tc>
          <w:tcPr>
            <w:tcW w:w="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408">
              <w:r>
                <w:rPr>
                  <w:rFonts w:ascii="Arial" w:cs="Arial" w:eastAsia="Arial" w:hAnsi="Arial"/>
                  <w:sz w:val="18"/>
                  <w:szCs w:val="18"/>
                  <w:color w:val="0000EE"/>
                </w:rPr>
                <w:t>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60" w:type="dxa"/>
            <w:vAlign w:val="bottom"/>
            <w:gridSpan w:val="6"/>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10.28†</w:t>
            </w:r>
          </w:p>
        </w:tc>
        <w:tc>
          <w:tcPr>
            <w:tcW w:w="520" w:type="dxa"/>
            <w:vAlign w:val="bottom"/>
          </w:tcPr>
          <w:p>
            <w:pPr>
              <w:spacing w:after="0"/>
              <w:rPr>
                <w:sz w:val="24"/>
                <w:szCs w:val="24"/>
                <w:color w:val="auto"/>
              </w:rPr>
            </w:pPr>
          </w:p>
        </w:tc>
        <w:tc>
          <w:tcPr>
            <w:tcW w:w="9460" w:type="dxa"/>
            <w:vAlign w:val="bottom"/>
            <w:tcBorders>
              <w:bottom w:val="single" w:sz="8" w:color="0000EE"/>
            </w:tcBorders>
            <w:gridSpan w:val="9"/>
          </w:tcPr>
          <w:p>
            <w:pPr>
              <w:spacing w:after="0"/>
              <w:rPr>
                <w:rFonts w:ascii="Arial" w:cs="Arial" w:eastAsia="Arial" w:hAnsi="Arial"/>
                <w:sz w:val="18"/>
                <w:szCs w:val="18"/>
                <w:color w:val="0000EE"/>
                <w:w w:val="91"/>
              </w:rPr>
            </w:pPr>
            <w:hyperlink r:id="rId409">
              <w:r>
                <w:rPr>
                  <w:rFonts w:ascii="Arial" w:cs="Arial" w:eastAsia="Arial" w:hAnsi="Arial"/>
                  <w:sz w:val="18"/>
                  <w:szCs w:val="18"/>
                  <w:color w:val="0000EE"/>
                  <w:w w:val="91"/>
                </w:rPr>
                <w:t>Form of August 2020 Restricted Unit Agreement under 2011 Unit Incentive Plan (incorporated by reference to Exhibit 10.22 to the</w:t>
              </w:r>
            </w:hyperlink>
          </w:p>
        </w:tc>
        <w:tc>
          <w:tcPr>
            <w:tcW w:w="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409">
              <w:r>
                <w:rPr>
                  <w:rFonts w:ascii="Arial" w:cs="Arial" w:eastAsia="Arial" w:hAnsi="Arial"/>
                  <w:sz w:val="18"/>
                  <w:szCs w:val="18"/>
                  <w:color w:val="0000EE"/>
                </w:rPr>
                <w:t>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80" w:type="dxa"/>
            <w:vAlign w:val="bottom"/>
            <w:gridSpan w:val="17"/>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10.29†</w:t>
            </w:r>
          </w:p>
        </w:tc>
        <w:tc>
          <w:tcPr>
            <w:tcW w:w="520" w:type="dxa"/>
            <w:vAlign w:val="bottom"/>
          </w:tcPr>
          <w:p>
            <w:pPr>
              <w:spacing w:after="0"/>
              <w:rPr>
                <w:sz w:val="23"/>
                <w:szCs w:val="23"/>
                <w:color w:val="auto"/>
              </w:rPr>
            </w:pPr>
          </w:p>
        </w:tc>
        <w:tc>
          <w:tcPr>
            <w:tcW w:w="9300" w:type="dxa"/>
            <w:vAlign w:val="bottom"/>
            <w:tcBorders>
              <w:bottom w:val="single" w:sz="8" w:color="0000EE"/>
            </w:tcBorders>
            <w:gridSpan w:val="10"/>
          </w:tcPr>
          <w:p>
            <w:pPr>
              <w:spacing w:after="0"/>
              <w:rPr>
                <w:rFonts w:ascii="Arial" w:cs="Arial" w:eastAsia="Arial" w:hAnsi="Arial"/>
                <w:sz w:val="18"/>
                <w:szCs w:val="18"/>
                <w:color w:val="0000EE"/>
                <w:w w:val="91"/>
              </w:rPr>
            </w:pPr>
            <w:hyperlink r:id="rId411">
              <w:r>
                <w:rPr>
                  <w:rFonts w:ascii="Arial" w:cs="Arial" w:eastAsia="Arial" w:hAnsi="Arial"/>
                  <w:sz w:val="18"/>
                  <w:szCs w:val="18"/>
                  <w:color w:val="0000EE"/>
                  <w:w w:val="91"/>
                </w:rPr>
                <w:t>Form of 2020 CEO Restricted Unit Agreement under 2011 Unit Incentive Plan (incorporated by reference to Exhibit 10.23 to the</w:t>
              </w:r>
            </w:hyperlink>
          </w:p>
        </w:tc>
        <w:tc>
          <w:tcPr>
            <w:tcW w:w="62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411">
              <w:r>
                <w:rPr>
                  <w:rFonts w:ascii="Arial" w:cs="Arial" w:eastAsia="Arial" w:hAnsi="Arial"/>
                  <w:sz w:val="18"/>
                  <w:szCs w:val="18"/>
                  <w:color w:val="0000EE"/>
                </w:rPr>
                <w:t>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10.30†</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4"/>
              </w:rPr>
            </w:pPr>
            <w:hyperlink r:id="rId412">
              <w:r>
                <w:rPr>
                  <w:rFonts w:ascii="Arial" w:cs="Arial" w:eastAsia="Arial" w:hAnsi="Arial"/>
                  <w:sz w:val="18"/>
                  <w:szCs w:val="18"/>
                  <w:color w:val="0000EE"/>
                  <w:w w:val="94"/>
                </w:rPr>
                <w:t>Form of 2020 Executive Restricted Unit Agreement under 2011 Unit Incentive Plan (incorporated by reference to Exhibit 10.24 to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12">
              <w:r>
                <w:rPr>
                  <w:rFonts w:ascii="Arial" w:cs="Arial" w:eastAsia="Arial" w:hAnsi="Arial"/>
                  <w:sz w:val="18"/>
                  <w:szCs w:val="18"/>
                  <w:color w:val="0000EE"/>
                </w:rPr>
                <w:t>Registrant’s Registration Statement on Form S-1 filed on September 23, 2020 (File No. 333-248683)).</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10.31†</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4"/>
              </w:rPr>
            </w:pPr>
            <w:hyperlink r:id="rId413">
              <w:r>
                <w:rPr>
                  <w:rFonts w:ascii="Arial" w:cs="Arial" w:eastAsia="Arial" w:hAnsi="Arial"/>
                  <w:sz w:val="18"/>
                  <w:szCs w:val="18"/>
                  <w:color w:val="0000EE"/>
                  <w:w w:val="94"/>
                </w:rPr>
                <w:t>Form of 2019 Executive Restricted Unit Agreement under 2011 Unit Incentive Plan (incorporated by reference to Exhibit 10.25 to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13">
              <w:r>
                <w:rPr>
                  <w:rFonts w:ascii="Arial" w:cs="Arial" w:eastAsia="Arial" w:hAnsi="Arial"/>
                  <w:sz w:val="18"/>
                  <w:szCs w:val="18"/>
                  <w:color w:val="0000EE"/>
                </w:rPr>
                <w:t>Registrant’s Registration Statement on Form S-1 filed on September 23, 2020 (File No. 333-248683)).</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10.32†</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1"/>
              </w:rPr>
            </w:pPr>
            <w:hyperlink r:id="rId414">
              <w:r>
                <w:rPr>
                  <w:rFonts w:ascii="Arial" w:cs="Arial" w:eastAsia="Arial" w:hAnsi="Arial"/>
                  <w:sz w:val="18"/>
                  <w:szCs w:val="18"/>
                  <w:color w:val="0000EE"/>
                  <w:w w:val="91"/>
                </w:rPr>
                <w:t>Form of 2018 CEO Restricted Unit Agreement under 2011 Unit Incentive Plan (as amended) (incorporated by reference to Exhibit 10.26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414">
              <w:r>
                <w:rPr>
                  <w:rFonts w:ascii="Arial" w:cs="Arial" w:eastAsia="Arial" w:hAnsi="Arial"/>
                  <w:sz w:val="18"/>
                  <w:szCs w:val="18"/>
                  <w:color w:val="0000EE"/>
                  <w:w w:val="90"/>
                </w:rPr>
                <w:t>to the Registrant’s Registration Statement on Form S-1 filed on September 23, 2020 (File No. 333-248683)).</w:t>
              </w:r>
            </w:hyperlink>
          </w:p>
        </w:tc>
        <w:tc>
          <w:tcPr>
            <w:tcW w:w="2020" w:type="dxa"/>
            <w:vAlign w:val="bottom"/>
            <w:tcBorders>
              <w:top w:val="single" w:sz="8" w:color="0000EE"/>
            </w:tcBorders>
            <w:gridSpan w:val="11"/>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10.33†</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3"/>
              </w:rPr>
            </w:pPr>
            <w:hyperlink r:id="rId415">
              <w:r>
                <w:rPr>
                  <w:rFonts w:ascii="Arial" w:cs="Arial" w:eastAsia="Arial" w:hAnsi="Arial"/>
                  <w:sz w:val="18"/>
                  <w:szCs w:val="18"/>
                  <w:color w:val="0000EE"/>
                  <w:w w:val="93"/>
                </w:rPr>
                <w:t>Form of Independent Non-Employee Director Restricted Unit Agreement under 2011 Unit Incentive Plan (incorporated by reference to</w:t>
              </w:r>
            </w:hyperlink>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20" w:type="dxa"/>
            <w:vAlign w:val="bottom"/>
            <w:tcBorders>
              <w:top w:val="single" w:sz="8" w:color="0000EE"/>
            </w:tcBorders>
            <w:gridSpan w:val="15"/>
          </w:tcPr>
          <w:p>
            <w:pPr>
              <w:spacing w:after="0"/>
              <w:rPr>
                <w:rFonts w:ascii="Arial" w:cs="Arial" w:eastAsia="Arial" w:hAnsi="Arial"/>
                <w:sz w:val="18"/>
                <w:szCs w:val="18"/>
                <w:u w:val="single" w:color="auto"/>
                <w:color w:val="0000EE"/>
              </w:rPr>
            </w:pPr>
            <w:hyperlink r:id="rId415">
              <w:r>
                <w:rPr>
                  <w:rFonts w:ascii="Arial" w:cs="Arial" w:eastAsia="Arial" w:hAnsi="Arial"/>
                  <w:sz w:val="18"/>
                  <w:szCs w:val="18"/>
                  <w:u w:val="single" w:color="auto"/>
                  <w:color w:val="0000EE"/>
                </w:rPr>
                <w:t>Exhibit 10.27 to the Registrant’s Registration Statement on Form S-1 filed on September 23, 2020 (File No. 333-248683)).</w:t>
              </w:r>
            </w:hyperlink>
          </w:p>
        </w:tc>
        <w:tc>
          <w:tcPr>
            <w:tcW w:w="20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10.34†</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4"/>
              </w:rPr>
            </w:pPr>
            <w:hyperlink r:id="rId416">
              <w:r>
                <w:rPr>
                  <w:rFonts w:ascii="Arial" w:cs="Arial" w:eastAsia="Arial" w:hAnsi="Arial"/>
                  <w:sz w:val="18"/>
                  <w:szCs w:val="18"/>
                  <w:color w:val="0000EE"/>
                  <w:w w:val="94"/>
                </w:rPr>
                <w:t>Form of 2018 Executive Restricted Unit Agreement under 2011 Unit Incentive Plan (incorporated by reference to Exhibit 10.28 to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16">
              <w:r>
                <w:rPr>
                  <w:rFonts w:ascii="Arial" w:cs="Arial" w:eastAsia="Arial" w:hAnsi="Arial"/>
                  <w:sz w:val="18"/>
                  <w:szCs w:val="18"/>
                  <w:color w:val="0000EE"/>
                </w:rPr>
                <w:t>Registrant’s Registration Statement on Form S-1 filed on September 23, 2020 (File No. 333-248683)).</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10.35†</w:t>
            </w:r>
          </w:p>
        </w:tc>
        <w:tc>
          <w:tcPr>
            <w:tcW w:w="520" w:type="dxa"/>
            <w:vAlign w:val="bottom"/>
          </w:tcPr>
          <w:p>
            <w:pPr>
              <w:spacing w:after="0"/>
              <w:rPr>
                <w:sz w:val="24"/>
                <w:szCs w:val="24"/>
                <w:color w:val="auto"/>
              </w:rPr>
            </w:pPr>
          </w:p>
        </w:tc>
        <w:tc>
          <w:tcPr>
            <w:tcW w:w="9920" w:type="dxa"/>
            <w:vAlign w:val="bottom"/>
            <w:tcBorders>
              <w:bottom w:val="single" w:sz="8" w:color="0000EE"/>
            </w:tcBorders>
            <w:gridSpan w:val="20"/>
          </w:tcPr>
          <w:p>
            <w:pPr>
              <w:spacing w:after="0"/>
              <w:rPr>
                <w:rFonts w:ascii="Arial" w:cs="Arial" w:eastAsia="Arial" w:hAnsi="Arial"/>
                <w:sz w:val="18"/>
                <w:szCs w:val="18"/>
                <w:color w:val="0000EE"/>
                <w:w w:val="91"/>
              </w:rPr>
            </w:pPr>
            <w:hyperlink r:id="rId417">
              <w:r>
                <w:rPr>
                  <w:rFonts w:ascii="Arial" w:cs="Arial" w:eastAsia="Arial" w:hAnsi="Arial"/>
                  <w:sz w:val="18"/>
                  <w:szCs w:val="18"/>
                  <w:color w:val="0000EE"/>
                  <w:w w:val="91"/>
                </w:rPr>
                <w:t>Ken C. Hicks Employment Agreement, dated August 2, 2018 (incorporated by reference to Exhibit 10.29 to the Registrant’s Registration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417">
              <w:r>
                <w:rPr>
                  <w:rFonts w:ascii="Arial" w:cs="Arial" w:eastAsia="Arial" w:hAnsi="Arial"/>
                  <w:sz w:val="18"/>
                  <w:szCs w:val="18"/>
                  <w:color w:val="0000EE"/>
                  <w:w w:val="90"/>
                </w:rPr>
                <w:t>Statement on Form S-1 filed on September 23, 2020 (File No. 333-248683)).</w:t>
              </w:r>
            </w:hyperlink>
          </w:p>
        </w:tc>
        <w:tc>
          <w:tcPr>
            <w:tcW w:w="43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10.36†</w:t>
            </w:r>
          </w:p>
        </w:tc>
        <w:tc>
          <w:tcPr>
            <w:tcW w:w="520" w:type="dxa"/>
            <w:vAlign w:val="bottom"/>
          </w:tcPr>
          <w:p>
            <w:pPr>
              <w:spacing w:after="0"/>
              <w:rPr>
                <w:sz w:val="24"/>
                <w:szCs w:val="24"/>
                <w:color w:val="auto"/>
              </w:rPr>
            </w:pPr>
          </w:p>
        </w:tc>
        <w:tc>
          <w:tcPr>
            <w:tcW w:w="9820" w:type="dxa"/>
            <w:vAlign w:val="bottom"/>
            <w:tcBorders>
              <w:bottom w:val="single" w:sz="8" w:color="0000EE"/>
            </w:tcBorders>
            <w:gridSpan w:val="18"/>
          </w:tcPr>
          <w:p>
            <w:pPr>
              <w:spacing w:after="0"/>
              <w:rPr>
                <w:rFonts w:ascii="Arial" w:cs="Arial" w:eastAsia="Arial" w:hAnsi="Arial"/>
                <w:sz w:val="18"/>
                <w:szCs w:val="18"/>
                <w:color w:val="0000EE"/>
                <w:w w:val="90"/>
              </w:rPr>
            </w:pPr>
            <w:hyperlink r:id="rId418">
              <w:r>
                <w:rPr>
                  <w:rFonts w:ascii="Arial" w:cs="Arial" w:eastAsia="Arial" w:hAnsi="Arial"/>
                  <w:sz w:val="18"/>
                  <w:szCs w:val="18"/>
                  <w:color w:val="0000EE"/>
                  <w:w w:val="90"/>
                </w:rPr>
                <w:t>Michael P. Mullican Employment Agreement, dated January 6, 2017 and amended on December 21, 2017 (incorporated by reference to</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20" w:type="dxa"/>
            <w:vAlign w:val="bottom"/>
            <w:gridSpan w:val="20"/>
          </w:tcPr>
          <w:p>
            <w:pPr>
              <w:spacing w:after="0"/>
              <w:rPr>
                <w:rFonts w:ascii="Arial" w:cs="Arial" w:eastAsia="Arial" w:hAnsi="Arial"/>
                <w:sz w:val="18"/>
                <w:szCs w:val="18"/>
                <w:u w:val="single" w:color="auto"/>
                <w:color w:val="0000EE"/>
              </w:rPr>
            </w:pPr>
            <w:hyperlink r:id="rId418">
              <w:r>
                <w:rPr>
                  <w:rFonts w:ascii="Arial" w:cs="Arial" w:eastAsia="Arial" w:hAnsi="Arial"/>
                  <w:sz w:val="18"/>
                  <w:szCs w:val="18"/>
                  <w:u w:val="single" w:color="auto"/>
                  <w:color w:val="0000EE"/>
                </w:rPr>
                <w:t>Exhibit 10.30 to the 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10.37†</w:t>
            </w:r>
          </w:p>
        </w:tc>
        <w:tc>
          <w:tcPr>
            <w:tcW w:w="520" w:type="dxa"/>
            <w:vAlign w:val="bottom"/>
          </w:tcPr>
          <w:p>
            <w:pPr>
              <w:spacing w:after="0"/>
              <w:rPr>
                <w:sz w:val="24"/>
                <w:szCs w:val="24"/>
                <w:color w:val="auto"/>
              </w:rPr>
            </w:pPr>
          </w:p>
        </w:tc>
        <w:tc>
          <w:tcPr>
            <w:tcW w:w="9220" w:type="dxa"/>
            <w:vAlign w:val="bottom"/>
            <w:tcBorders>
              <w:bottom w:val="single" w:sz="8" w:color="0000EE"/>
            </w:tcBorders>
            <w:gridSpan w:val="9"/>
          </w:tcPr>
          <w:p>
            <w:pPr>
              <w:spacing w:after="0"/>
              <w:rPr>
                <w:rFonts w:ascii="Arial" w:cs="Arial" w:eastAsia="Arial" w:hAnsi="Arial"/>
                <w:sz w:val="18"/>
                <w:szCs w:val="18"/>
                <w:color w:val="0000EE"/>
                <w:w w:val="90"/>
              </w:rPr>
            </w:pPr>
            <w:hyperlink r:id="rId419">
              <w:r>
                <w:rPr>
                  <w:rFonts w:ascii="Arial" w:cs="Arial" w:eastAsia="Arial" w:hAnsi="Arial"/>
                  <w:sz w:val="18"/>
                  <w:szCs w:val="18"/>
                  <w:color w:val="0000EE"/>
                  <w:w w:val="90"/>
                </w:rPr>
                <w:t>Steven (Steve) P. Lawrence Employment Agreement, dated January 29, 2019 (incorporated by reference to Exhibit 10.31 to the</w:t>
              </w:r>
            </w:hyperlink>
          </w:p>
        </w:tc>
        <w:tc>
          <w:tcPr>
            <w:tcW w:w="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19">
              <w:r>
                <w:rPr>
                  <w:rFonts w:ascii="Arial" w:cs="Arial" w:eastAsia="Arial" w:hAnsi="Arial"/>
                  <w:sz w:val="18"/>
                  <w:szCs w:val="18"/>
                  <w:color w:val="0000EE"/>
                  <w:w w:val="91"/>
                </w:rPr>
                <w:t>Registrant’s Registration Statement on Form S-1 filed on September 23, 2020 (File No. 333-248683)).</w:t>
              </w:r>
            </w:hyperlink>
          </w:p>
        </w:tc>
        <w:tc>
          <w:tcPr>
            <w:tcW w:w="2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10.38†</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2"/>
              </w:rPr>
            </w:pPr>
            <w:hyperlink r:id="rId420">
              <w:r>
                <w:rPr>
                  <w:rFonts w:ascii="Arial" w:cs="Arial" w:eastAsia="Arial" w:hAnsi="Arial"/>
                  <w:sz w:val="18"/>
                  <w:szCs w:val="18"/>
                  <w:color w:val="0000EE"/>
                  <w:w w:val="92"/>
                </w:rPr>
                <w:t>Samuel (Sam) J. Johnson Employment Agreement, dated April 17, 2017 (incorporated by reference to Exhibit 10.32 to the Registrant’s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20">
              <w:r>
                <w:rPr>
                  <w:rFonts w:ascii="Arial" w:cs="Arial" w:eastAsia="Arial" w:hAnsi="Arial"/>
                  <w:sz w:val="18"/>
                  <w:szCs w:val="18"/>
                  <w:color w:val="0000EE"/>
                </w:rPr>
                <w:t>Registration Statement on Form S-1 filed on September 23, 2020 (File No. 333-248683)).</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10.39†</w:t>
            </w:r>
          </w:p>
        </w:tc>
        <w:tc>
          <w:tcPr>
            <w:tcW w:w="520" w:type="dxa"/>
            <w:vAlign w:val="bottom"/>
          </w:tcPr>
          <w:p>
            <w:pPr>
              <w:spacing w:after="0"/>
              <w:rPr>
                <w:sz w:val="24"/>
                <w:szCs w:val="24"/>
                <w:color w:val="auto"/>
              </w:rPr>
            </w:pPr>
          </w:p>
        </w:tc>
        <w:tc>
          <w:tcPr>
            <w:tcW w:w="9380" w:type="dxa"/>
            <w:vAlign w:val="bottom"/>
            <w:tcBorders>
              <w:bottom w:val="single" w:sz="8" w:color="0000EE"/>
            </w:tcBorders>
            <w:gridSpan w:val="11"/>
          </w:tcPr>
          <w:p>
            <w:pPr>
              <w:spacing w:after="0"/>
              <w:rPr>
                <w:rFonts w:ascii="Arial" w:cs="Arial" w:eastAsia="Arial" w:hAnsi="Arial"/>
                <w:sz w:val="18"/>
                <w:szCs w:val="18"/>
                <w:color w:val="0000EE"/>
                <w:w w:val="90"/>
              </w:rPr>
            </w:pPr>
            <w:hyperlink r:id="rId421">
              <w:r>
                <w:rPr>
                  <w:rFonts w:ascii="Arial" w:cs="Arial" w:eastAsia="Arial" w:hAnsi="Arial"/>
                  <w:sz w:val="18"/>
                  <w:szCs w:val="18"/>
                  <w:color w:val="0000EE"/>
                  <w:w w:val="90"/>
                </w:rPr>
                <w:t>Kenneth (Ken) D. Attaway Employment Agreement, dated July 1, 2009, as amended and restated on August 30, 2011 and further</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1"/>
              </w:rPr>
            </w:pPr>
            <w:hyperlink r:id="rId421">
              <w:r>
                <w:rPr>
                  <w:rFonts w:ascii="Arial" w:cs="Arial" w:eastAsia="Arial" w:hAnsi="Arial"/>
                  <w:sz w:val="18"/>
                  <w:szCs w:val="18"/>
                  <w:color w:val="0000EE"/>
                  <w:w w:val="91"/>
                </w:rPr>
                <w:t>amended on August 6, 2012 (incorporated by reference to Exhibit 10.33 to the Registrant’s Registration Statement on Form S-1 filed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21">
              <w:r>
                <w:rPr>
                  <w:rFonts w:ascii="Arial" w:cs="Arial" w:eastAsia="Arial" w:hAnsi="Arial"/>
                  <w:sz w:val="18"/>
                  <w:szCs w:val="18"/>
                  <w:color w:val="0000EE"/>
                </w:rPr>
                <w:t>September 23, 2020 (File No. 333-248683)).</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10.40†</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5"/>
              </w:rPr>
            </w:pPr>
            <w:hyperlink r:id="rId422">
              <w:r>
                <w:rPr>
                  <w:rFonts w:ascii="Arial" w:cs="Arial" w:eastAsia="Arial" w:hAnsi="Arial"/>
                  <w:sz w:val="18"/>
                  <w:szCs w:val="18"/>
                  <w:color w:val="0000EE"/>
                  <w:w w:val="95"/>
                </w:rPr>
                <w:t>Separation and Release Agreement, dated as of January 19, 2021, between Academy Managing Co., L.L.C. and Kenneth (Ken) 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92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w w:val="93"/>
              </w:rPr>
            </w:pPr>
            <w:hyperlink r:id="rId422">
              <w:r>
                <w:rPr>
                  <w:rFonts w:ascii="Arial" w:cs="Arial" w:eastAsia="Arial" w:hAnsi="Arial"/>
                  <w:sz w:val="18"/>
                  <w:szCs w:val="18"/>
                  <w:color w:val="0000EE"/>
                  <w:w w:val="93"/>
                </w:rPr>
                <w:t>Attaway (incorporated by reference to Exhibit 10.1 to the Registrant’s Current Report on Form 8-K filed on January 19, 2021 (File No.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422">
              <w:r>
                <w:rPr>
                  <w:rFonts w:ascii="Arial" w:cs="Arial" w:eastAsia="Arial" w:hAnsi="Arial"/>
                  <w:sz w:val="18"/>
                  <w:szCs w:val="18"/>
                  <w:color w:val="0000EE"/>
                  <w:w w:val="88"/>
                </w:rPr>
                <w:t>001-39589).</w:t>
              </w:r>
            </w:hyperlink>
          </w:p>
        </w:tc>
        <w:tc>
          <w:tcPr>
            <w:tcW w:w="23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10.41†</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6"/>
              </w:rPr>
            </w:pPr>
            <w:hyperlink r:id="rId423">
              <w:r>
                <w:rPr>
                  <w:rFonts w:ascii="Arial" w:cs="Arial" w:eastAsia="Arial" w:hAnsi="Arial"/>
                  <w:sz w:val="18"/>
                  <w:szCs w:val="18"/>
                  <w:color w:val="0000EE"/>
                  <w:w w:val="96"/>
                </w:rPr>
                <w:t>Form of 2020 Employee Stock Purchase Plan (incorporated by reference to Exhibit 10.34 to Amendment No. 1 to the Registrant’s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423">
              <w:r>
                <w:rPr>
                  <w:rFonts w:ascii="Arial" w:cs="Arial" w:eastAsia="Arial" w:hAnsi="Arial"/>
                  <w:sz w:val="18"/>
                  <w:szCs w:val="18"/>
                  <w:color w:val="0000EE"/>
                </w:rPr>
                <w:t>Registration Statement on Form S-1 filed on September 23, 2020 (File No. 333-248683)).</w:t>
              </w:r>
            </w:hyperlink>
          </w:p>
        </w:tc>
        <w:tc>
          <w:tcPr>
            <w:tcW w:w="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10.42</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3"/>
              </w:rPr>
            </w:pPr>
            <w:hyperlink r:id="rId424">
              <w:r>
                <w:rPr>
                  <w:rFonts w:ascii="Arial" w:cs="Arial" w:eastAsia="Arial" w:hAnsi="Arial"/>
                  <w:sz w:val="18"/>
                  <w:szCs w:val="18"/>
                  <w:color w:val="0000EE"/>
                  <w:w w:val="93"/>
                </w:rPr>
                <w:t>Stockholders Agreement, dated as of October 6, 2020, by and among the Registrant, Allstar LLC, KKR 2006 Allstar Blocker L.P. and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5340" w:type="dxa"/>
            <w:vAlign w:val="bottom"/>
            <w:tcBorders>
              <w:right w:val="single" w:sz="8" w:color="0000EE"/>
            </w:tcBorders>
            <w:gridSpan w:val="8"/>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424">
              <w:r>
                <w:rPr>
                  <w:rFonts w:ascii="Arial" w:cs="Arial" w:eastAsia="Arial" w:hAnsi="Arial"/>
                  <w:sz w:val="18"/>
                  <w:szCs w:val="18"/>
                  <w:color w:val="0000EE"/>
                  <w:w w:val="92"/>
                </w:rPr>
                <w:t>Allstar Co-Invest Blocker L.P. (incorporated by reference to Exhibit 10.1 to the Registrant’s Current Report on Form 8-K filed with the</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424">
              <w:r>
                <w:rPr>
                  <w:rFonts w:ascii="Arial" w:cs="Arial" w:eastAsia="Arial" w:hAnsi="Arial"/>
                  <w:sz w:val="18"/>
                  <w:szCs w:val="18"/>
                  <w:color w:val="0000EE"/>
                  <w:w w:val="91"/>
                </w:rPr>
                <w:t>Commission on October 6, 2020 (File No. 001-39589)).</w:t>
              </w:r>
            </w:hyperlink>
          </w:p>
        </w:tc>
        <w:tc>
          <w:tcPr>
            <w:tcW w:w="58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10.43</w:t>
            </w:r>
          </w:p>
        </w:tc>
        <w:tc>
          <w:tcPr>
            <w:tcW w:w="520" w:type="dxa"/>
            <w:vAlign w:val="bottom"/>
          </w:tcPr>
          <w:p>
            <w:pPr>
              <w:spacing w:after="0"/>
              <w:rPr>
                <w:sz w:val="24"/>
                <w:szCs w:val="24"/>
                <w:color w:val="auto"/>
              </w:rPr>
            </w:pPr>
          </w:p>
        </w:tc>
        <w:tc>
          <w:tcPr>
            <w:tcW w:w="9380" w:type="dxa"/>
            <w:vAlign w:val="bottom"/>
            <w:tcBorders>
              <w:bottom w:val="single" w:sz="8" w:color="0000EE"/>
            </w:tcBorders>
            <w:gridSpan w:val="11"/>
          </w:tcPr>
          <w:p>
            <w:pPr>
              <w:spacing w:after="0"/>
              <w:rPr>
                <w:rFonts w:ascii="Arial" w:cs="Arial" w:eastAsia="Arial" w:hAnsi="Arial"/>
                <w:sz w:val="18"/>
                <w:szCs w:val="18"/>
                <w:color w:val="0000EE"/>
                <w:w w:val="92"/>
              </w:rPr>
            </w:pPr>
            <w:hyperlink r:id="rId425">
              <w:r>
                <w:rPr>
                  <w:rFonts w:ascii="Arial" w:cs="Arial" w:eastAsia="Arial" w:hAnsi="Arial"/>
                  <w:sz w:val="18"/>
                  <w:szCs w:val="18"/>
                  <w:color w:val="0000EE"/>
                  <w:w w:val="92"/>
                </w:rPr>
                <w:t>Form of Director and Officer Indemnification Agreement (incorporated by reference to Exhibit 10.37 to Amendment No. 1 to the</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425">
              <w:r>
                <w:rPr>
                  <w:rFonts w:ascii="Arial" w:cs="Arial" w:eastAsia="Arial" w:hAnsi="Arial"/>
                  <w:sz w:val="18"/>
                  <w:szCs w:val="18"/>
                  <w:color w:val="0000EE"/>
                </w:rPr>
                <w:t>Registrant’s Registration Statement on Form S-1 filed on September 23, 2020 (File No. 333-248683)).</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7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67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3"/>
                <w:szCs w:val="23"/>
                <w:color w:val="auto"/>
              </w:rPr>
            </w:pPr>
          </w:p>
        </w:tc>
        <w:tc>
          <w:tcPr>
            <w:tcW w:w="9800" w:type="dxa"/>
            <w:vAlign w:val="bottom"/>
            <w:tcBorders>
              <w:bottom w:val="single" w:sz="8" w:color="0000EE"/>
            </w:tcBorders>
            <w:gridSpan w:val="2"/>
          </w:tcPr>
          <w:p>
            <w:pPr>
              <w:spacing w:after="0"/>
              <w:rPr>
                <w:rFonts w:ascii="Arial" w:cs="Arial" w:eastAsia="Arial" w:hAnsi="Arial"/>
                <w:sz w:val="18"/>
                <w:szCs w:val="18"/>
                <w:color w:val="0000EE"/>
                <w:w w:val="90"/>
              </w:rPr>
            </w:pPr>
            <w:hyperlink r:id="rId427">
              <w:r>
                <w:rPr>
                  <w:rFonts w:ascii="Arial" w:cs="Arial" w:eastAsia="Arial" w:hAnsi="Arial"/>
                  <w:sz w:val="18"/>
                  <w:szCs w:val="18"/>
                  <w:color w:val="0000EE"/>
                  <w:w w:val="90"/>
                </w:rPr>
                <w:t>Subsidiaries of the Registrant (incorporated by reference to Exhibit 21.1 to the Registrant’s Registration Statement on Form S-1 filed on</w:t>
              </w:r>
            </w:hyperlink>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
          </w:tcPr>
          <w:p>
            <w:pPr>
              <w:spacing w:after="0" w:line="196" w:lineRule="exact"/>
              <w:rPr>
                <w:rFonts w:ascii="Arial" w:cs="Arial" w:eastAsia="Arial" w:hAnsi="Arial"/>
                <w:sz w:val="18"/>
                <w:szCs w:val="18"/>
                <w:color w:val="0000EE"/>
              </w:rPr>
            </w:pPr>
            <w:hyperlink r:id="rId427">
              <w:r>
                <w:rPr>
                  <w:rFonts w:ascii="Arial" w:cs="Arial" w:eastAsia="Arial" w:hAnsi="Arial"/>
                  <w:sz w:val="18"/>
                  <w:szCs w:val="18"/>
                  <w:color w:val="0000EE"/>
                </w:rPr>
                <w:t>September 23, 2020 (File No. 333-248683)).</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9920" w:type="dxa"/>
            <w:vAlign w:val="bottom"/>
            <w:gridSpan w:val="3"/>
          </w:tcPr>
          <w:p>
            <w:pPr>
              <w:spacing w:after="0"/>
              <w:rPr>
                <w:rFonts w:ascii="Arial" w:cs="Arial" w:eastAsia="Arial" w:hAnsi="Arial"/>
                <w:sz w:val="18"/>
                <w:szCs w:val="18"/>
                <w:u w:val="single" w:color="auto"/>
                <w:color w:val="0000EE"/>
              </w:rPr>
            </w:pPr>
            <w:hyperlink w:anchor="page447">
              <w:r>
                <w:rPr>
                  <w:rFonts w:ascii="Arial" w:cs="Arial" w:eastAsia="Arial" w:hAnsi="Arial"/>
                  <w:sz w:val="18"/>
                  <w:szCs w:val="18"/>
                  <w:u w:val="single" w:color="auto"/>
                  <w:color w:val="0000EE"/>
                </w:rPr>
                <w:t>Consent of Deloitte &amp; Touche LLP (with respect to the financial statements of New Academy Holding Company, LLC).</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24"/>
                <w:szCs w:val="24"/>
                <w:color w:val="auto"/>
              </w:rPr>
            </w:pPr>
          </w:p>
        </w:tc>
        <w:tc>
          <w:tcPr>
            <w:tcW w:w="9920" w:type="dxa"/>
            <w:vAlign w:val="bottom"/>
            <w:gridSpan w:val="3"/>
          </w:tcPr>
          <w:p>
            <w:pPr>
              <w:spacing w:after="0"/>
              <w:rPr>
                <w:rFonts w:ascii="Arial" w:cs="Arial" w:eastAsia="Arial" w:hAnsi="Arial"/>
                <w:sz w:val="18"/>
                <w:szCs w:val="18"/>
                <w:color w:val="0000EE"/>
              </w:rPr>
            </w:pPr>
            <w:hyperlink w:anchor="page448">
              <w:r>
                <w:rPr>
                  <w:rFonts w:ascii="Arial" w:cs="Arial" w:eastAsia="Arial" w:hAnsi="Arial"/>
                  <w:sz w:val="18"/>
                  <w:szCs w:val="18"/>
                  <w:u w:val="single" w:color="auto"/>
                  <w:color w:val="0000EE"/>
                </w:rPr>
                <w:t>Consent of Deloitte &amp; Touche LLP (with respect to the financial statements of Academy Sports and Outdoors,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24"/>
                <w:szCs w:val="24"/>
                <w:color w:val="auto"/>
              </w:rPr>
            </w:pPr>
          </w:p>
        </w:tc>
        <w:tc>
          <w:tcPr>
            <w:tcW w:w="9920" w:type="dxa"/>
            <w:vAlign w:val="bottom"/>
            <w:gridSpan w:val="3"/>
          </w:tcPr>
          <w:p>
            <w:pPr>
              <w:spacing w:after="0"/>
              <w:rPr>
                <w:rFonts w:ascii="Arial" w:cs="Arial" w:eastAsia="Arial" w:hAnsi="Arial"/>
                <w:sz w:val="18"/>
                <w:szCs w:val="18"/>
                <w:u w:val="single" w:color="auto"/>
                <w:color w:val="0000EE"/>
              </w:rPr>
            </w:pPr>
            <w:hyperlink w:anchor="page361">
              <w:r>
                <w:rPr>
                  <w:rFonts w:ascii="Arial" w:cs="Arial" w:eastAsia="Arial" w:hAnsi="Arial"/>
                  <w:sz w:val="18"/>
                  <w:szCs w:val="18"/>
                  <w:u w:val="single" w:color="auto"/>
                  <w:color w:val="0000EE"/>
                </w:rPr>
                <w:t>Consent of Simpson Thacher &amp; Bartlett LLP (included as part of Exhibit 5.1).</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24"/>
                <w:szCs w:val="24"/>
                <w:color w:val="auto"/>
              </w:rPr>
            </w:pPr>
          </w:p>
        </w:tc>
        <w:tc>
          <w:tcPr>
            <w:tcW w:w="9920" w:type="dxa"/>
            <w:vAlign w:val="bottom"/>
            <w:gridSpan w:val="3"/>
          </w:tcPr>
          <w:p>
            <w:pPr>
              <w:spacing w:after="0"/>
              <w:rPr>
                <w:rFonts w:ascii="Arial" w:cs="Arial" w:eastAsia="Arial" w:hAnsi="Arial"/>
                <w:sz w:val="18"/>
                <w:szCs w:val="18"/>
                <w:u w:val="single" w:color="auto"/>
                <w:color w:val="0000EE"/>
              </w:rPr>
            </w:pPr>
            <w:hyperlink w:anchor="page309">
              <w:r>
                <w:rPr>
                  <w:rFonts w:ascii="Arial" w:cs="Arial" w:eastAsia="Arial" w:hAnsi="Arial"/>
                  <w:sz w:val="18"/>
                  <w:szCs w:val="18"/>
                  <w:u w:val="single" w:color="auto"/>
                  <w:color w:val="0000EE"/>
                </w:rPr>
                <w:t>Power of Attorney (included on signature pages to this Registration Statement).</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40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40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40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40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40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80" w:right="5380" w:hanging="5364"/>
        <w:spacing w:after="0" w:line="517" w:lineRule="auto"/>
        <w:tabs>
          <w:tab w:leader="none" w:pos="53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Compensatory arrangements for director(s) and/or executive officer(s). II-8</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Katy, Texas, on January 25,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Academy Sports and Outdoors,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Ken C. Hicks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Title: Chairman, President and Chief Executive Officer</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6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January 25,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Signatures</w:t>
            </w:r>
          </w:p>
        </w:tc>
        <w:tc>
          <w:tcPr>
            <w:tcW w:w="440" w:type="dxa"/>
            <w:vAlign w:val="bottom"/>
          </w:tcPr>
          <w:p>
            <w:pPr>
              <w:spacing w:after="0"/>
              <w:rPr>
                <w:sz w:val="16"/>
                <w:szCs w:val="16"/>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Ken C. Hicks</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2"/>
              </w:rPr>
              <w:t>Ken C. Hicks</w:t>
            </w:r>
          </w:p>
        </w:tc>
        <w:tc>
          <w:tcPr>
            <w:tcW w:w="4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P. Mullican</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2"/>
              </w:rPr>
              <w:t>Michael P. Mullican</w:t>
            </w:r>
          </w:p>
        </w:tc>
        <w:tc>
          <w:tcPr>
            <w:tcW w:w="4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6"/>
              </w:rPr>
              <w:t>(principal financial officer)</w:t>
            </w: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Heather A. Davis</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Senior Vice President, Accounting, Treasury &amp; Tax</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1"/>
              </w:rPr>
              <w:t>Heather A. Davis</w:t>
            </w:r>
          </w:p>
        </w:tc>
        <w:tc>
          <w:tcPr>
            <w:tcW w:w="4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Wendy A. Beck</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2"/>
              </w:rPr>
              <w:t>Wendy A. Beck</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Brian T. Marley</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5"/>
              </w:rPr>
              <w:t>Brian T. Marley</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Vishal V. Patel</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0"/>
              </w:rPr>
              <w:t>Vishal V. Patel</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Signatures</w:t>
            </w:r>
          </w:p>
        </w:tc>
        <w:tc>
          <w:tcPr>
            <w:tcW w:w="440" w:type="dxa"/>
            <w:vAlign w:val="bottom"/>
          </w:tcPr>
          <w:p>
            <w:pPr>
              <w:spacing w:after="0"/>
              <w:rPr>
                <w:sz w:val="16"/>
                <w:szCs w:val="16"/>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Allen I. Questrom</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4"/>
              </w:rPr>
              <w:t>Allen I. Questrom</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S. Simon</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4"/>
              </w:rPr>
              <w:t>William S. Simon</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Nathaniel H. Taylor</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3"/>
              </w:rPr>
              <w:t>Nathaniel H. Taylor</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Jeffrey C. Tweedy</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0"/>
              </w:rPr>
              <w:t>Jeffrey C. Tweedy</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Aileen X. Yan</w:t>
            </w: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5"/>
              </w:rPr>
              <w:t>Aileen X. Yan</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Academy Sports and Outdoors, Inc.</w:t>
      </w:r>
    </w:p>
    <w:p>
      <w:pPr>
        <w:spacing w:after="0" w:line="194" w:lineRule="exact"/>
        <w:rPr>
          <w:sz w:val="20"/>
          <w:szCs w:val="20"/>
          <w:color w:val="auto"/>
        </w:rPr>
      </w:pPr>
    </w:p>
    <w:p>
      <w:pPr>
        <w:ind w:left="5360" w:hanging="304"/>
        <w:spacing w:after="0"/>
        <w:tabs>
          <w:tab w:leader="none" w:pos="5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Shares</w:t>
      </w:r>
    </w:p>
    <w:p>
      <w:pPr>
        <w:spacing w:after="0" w:line="5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Common Stock</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($0.01 par value)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94"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January [</w:t>
      </w:r>
      <w:r>
        <w:rPr>
          <w:sz w:val="20"/>
          <w:szCs w:val="20"/>
          <w:color w:val="auto"/>
        </w:rPr>
        <w:tab/>
      </w:r>
      <w:r>
        <w:rPr>
          <w:rFonts w:ascii="Arial" w:cs="Arial" w:eastAsia="Arial" w:hAnsi="Arial"/>
          <w:sz w:val="16"/>
          <w:szCs w:val="16"/>
          <w:color w:val="auto"/>
        </w:rPr>
        <w:t>],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I hereto,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991"/>
        <w:spacing w:after="0" w:line="274" w:lineRule="auto"/>
        <w:rPr>
          <w:sz w:val="20"/>
          <w:szCs w:val="20"/>
          <w:color w:val="auto"/>
        </w:rPr>
      </w:pPr>
      <w:r>
        <w:rPr>
          <w:rFonts w:ascii="Arial" w:cs="Arial" w:eastAsia="Arial" w:hAnsi="Arial"/>
          <w:sz w:val="16"/>
          <w:szCs w:val="16"/>
          <w:color w:val="auto"/>
        </w:rPr>
        <w:t>Each of (i) Allstar LLC, Allstar Co-Invest Blocker L.P. and KKR 2006 Allstar Blocker L.P. (collectively, the “KKR Selling Stockholders”), (ii) MSI 2011 LLC and MG Family Limited Partnership (collectively, the “Gochman Selling Stockholders”) and (iii) the other selling stockholder named on Schedule I(B) hereto (the “Management Selling Stockholder” and together with the KKR Selling Stockholders and the Gochman Selling Stockholders, the “Selling Stockholders”), as a stockholder of Academy Sports and Outdoors, Inc., a Delaware corporation (the “Company”), proposes to sell to the several underwriters named in Schedule I(A) hereto (the “Underwriters”), for whom you (the “Representatives”) are acting as representatives, the number of shares of the Company’s common stock, $0.01 par value (“Common Stock”), set forth next to such Selling Stockholder’s name on Schedule I(B) hereto. The aggregate [ ] shares to be sold by the Selling Stockholders are herein called the “Underwritten Securities”. The</w:t>
      </w:r>
    </w:p>
    <w:p>
      <w:pPr>
        <w:spacing w:after="0" w:line="11"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Selling Stockholders also propose to grant to the Underwriters an option to purchase up to [</w:t>
      </w:r>
      <w:r>
        <w:rPr>
          <w:sz w:val="20"/>
          <w:szCs w:val="20"/>
          <w:color w:val="auto"/>
        </w:rPr>
        <w:tab/>
      </w:r>
      <w:r>
        <w:rPr>
          <w:rFonts w:ascii="Arial" w:cs="Arial" w:eastAsia="Arial" w:hAnsi="Arial"/>
          <w:sz w:val="16"/>
          <w:szCs w:val="16"/>
          <w:color w:val="auto"/>
        </w:rPr>
        <w:t>] additional shares of Common Stock (the “Option</w:t>
      </w:r>
    </w:p>
    <w:p>
      <w:pPr>
        <w:spacing w:after="0" w:line="5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Securities”; the Option Securities, together with the Underwritten Securities, being hereinafter called the “Securities”). Certain capitalized terms used herein are defined in Section 25 hereof.</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the Selling Stockholders hereby confirm their respective agreements with the Underwriters as follows:</w:t>
      </w:r>
    </w:p>
    <w:p>
      <w:pPr>
        <w:spacing w:after="0" w:line="117" w:lineRule="exact"/>
        <w:rPr>
          <w:sz w:val="20"/>
          <w:szCs w:val="20"/>
          <w:color w:val="auto"/>
        </w:rPr>
      </w:pPr>
    </w:p>
    <w:p>
      <w:pPr>
        <w:ind w:right="480" w:firstLine="436"/>
        <w:spacing w:after="0" w:line="277" w:lineRule="auto"/>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as set forth below in this Section 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11" w:name="page312"/>
    <w:bookmarkEnd w:id="311"/>
    <w:p>
      <w:pPr>
        <w:ind w:left="440"/>
        <w:spacing w:after="0"/>
        <w:tabs>
          <w:tab w:leader="none" w:pos="8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The Company has prepared and filed with the Commission a registration statement (file number 333-[</w:t>
      </w:r>
      <w:r>
        <w:rPr>
          <w:sz w:val="20"/>
          <w:szCs w:val="20"/>
          <w:color w:val="auto"/>
        </w:rPr>
        <w:tab/>
      </w:r>
      <w:r>
        <w:rPr>
          <w:rFonts w:ascii="Arial" w:cs="Arial" w:eastAsia="Arial" w:hAnsi="Arial"/>
          <w:sz w:val="16"/>
          <w:szCs w:val="16"/>
          <w:color w:val="auto"/>
        </w:rPr>
        <w:t>]) on Form S-1, including a related</w:t>
      </w:r>
    </w:p>
    <w:p>
      <w:pPr>
        <w:spacing w:after="0" w:line="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preliminary prospectus, for registration under the Act of the offering and sale of the Securities. Such Registration Statement, including any amendments thereto filed prior to the Execution Time, has become effective. No order suspending the effectiveness of the Registration Statement has been issued by the Commission, and no proceeding for that purpose or pursuant to Section 8A of the Act against the Company or related to the offering of the Securities has been initiated or threatened by the Commission.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63" w:lineRule="exact"/>
        <w:rPr>
          <w:sz w:val="20"/>
          <w:szCs w:val="20"/>
          <w:color w:val="auto"/>
        </w:rPr>
      </w:pPr>
    </w:p>
    <w:p>
      <w:pPr>
        <w:ind w:right="20" w:firstLine="436"/>
        <w:spacing w:after="0" w:line="287" w:lineRule="auto"/>
        <w:tabs>
          <w:tab w:leader="none" w:pos="69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below)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and any settlement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w:t>
      </w:r>
    </w:p>
    <w:p>
      <w:pPr>
        <w:spacing w:after="0" w:line="63" w:lineRule="exact"/>
        <w:rPr>
          <w:rFonts w:ascii="Arial" w:cs="Arial" w:eastAsia="Arial" w:hAnsi="Arial"/>
          <w:sz w:val="16"/>
          <w:szCs w:val="16"/>
          <w:color w:val="auto"/>
        </w:rPr>
      </w:pPr>
    </w:p>
    <w:p>
      <w:pPr>
        <w:ind w:right="160" w:firstLine="436"/>
        <w:spacing w:after="0" w:line="257" w:lineRule="auto"/>
        <w:tabs>
          <w:tab w:leader="none" w:pos="68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or any electronic roadshow based upon and in conformity with written information furnished to the Company by or on behalf of any Underwriter through the Representatives specifically for use therein.</w:t>
      </w:r>
    </w:p>
    <w:p>
      <w:pPr>
        <w:spacing w:after="0" w:line="79" w:lineRule="exact"/>
        <w:rPr>
          <w:rFonts w:ascii="Arial" w:cs="Arial" w:eastAsia="Arial" w:hAnsi="Arial"/>
          <w:sz w:val="18"/>
          <w:szCs w:val="18"/>
          <w:color w:val="auto"/>
        </w:rPr>
      </w:pPr>
    </w:p>
    <w:p>
      <w:pPr>
        <w:jc w:val="both"/>
        <w:ind w:right="180" w:firstLine="436"/>
        <w:spacing w:after="0" w:line="286" w:lineRule="auto"/>
        <w:tabs>
          <w:tab w:leader="none" w:pos="69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43" w:right="439" w:bottom="1440" w:gutter="0" w:footer="0" w:header="0"/>
        </w:sectPr>
      </w:pPr>
    </w:p>
    <w:bookmarkStart w:id="312" w:name="page313"/>
    <w:bookmarkEnd w:id="312"/>
    <w:p>
      <w:pPr>
        <w:ind w:right="120" w:firstLine="436"/>
        <w:spacing w:after="0" w:line="311" w:lineRule="auto"/>
        <w:tabs>
          <w:tab w:leader="none" w:pos="685" w:val="left"/>
        </w:tabs>
        <w:numPr>
          <w:ilvl w:val="0"/>
          <w:numId w:val="2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40" w:lineRule="exact"/>
        <w:rPr>
          <w:rFonts w:ascii="Arial" w:cs="Arial" w:eastAsia="Arial" w:hAnsi="Arial"/>
          <w:sz w:val="16"/>
          <w:szCs w:val="16"/>
          <w:color w:val="auto"/>
        </w:rPr>
      </w:pPr>
    </w:p>
    <w:p>
      <w:pPr>
        <w:ind w:left="660" w:hanging="224"/>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None of the Company or any Significant Subsidiary (as defined below) is an “investment company” as defined in the Investment Company Act, without taking account of any exemption arising out of the number of holders of the Company’s securities.</w:t>
      </w:r>
    </w:p>
    <w:p>
      <w:pPr>
        <w:spacing w:after="0" w:line="62"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62" w:lineRule="exact"/>
        <w:rPr>
          <w:rFonts w:ascii="Arial" w:cs="Arial" w:eastAsia="Arial" w:hAnsi="Arial"/>
          <w:sz w:val="18"/>
          <w:szCs w:val="18"/>
          <w:color w:val="auto"/>
        </w:rPr>
      </w:pPr>
    </w:p>
    <w:p>
      <w:pPr>
        <w:jc w:val="both"/>
        <w:ind w:right="420" w:firstLine="436"/>
        <w:spacing w:after="0" w:line="311" w:lineRule="auto"/>
        <w:tabs>
          <w:tab w:leader="none" w:pos="65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40" w:lineRule="exact"/>
        <w:rPr>
          <w:rFonts w:ascii="Arial" w:cs="Arial" w:eastAsia="Arial" w:hAnsi="Arial"/>
          <w:sz w:val="16"/>
          <w:szCs w:val="16"/>
          <w:color w:val="auto"/>
        </w:rPr>
      </w:pPr>
    </w:p>
    <w:p>
      <w:pPr>
        <w:ind w:firstLine="436"/>
        <w:spacing w:after="0" w:line="271" w:lineRule="auto"/>
        <w:tabs>
          <w:tab w:leader="none" w:pos="65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70" w:lineRule="exact"/>
        <w:rPr>
          <w:rFonts w:ascii="Arial" w:cs="Arial" w:eastAsia="Arial" w:hAnsi="Arial"/>
          <w:sz w:val="17"/>
          <w:szCs w:val="17"/>
          <w:color w:val="auto"/>
        </w:rPr>
      </w:pPr>
    </w:p>
    <w:p>
      <w:pPr>
        <w:ind w:right="60" w:firstLine="436"/>
        <w:spacing w:after="0" w:line="277" w:lineRule="auto"/>
        <w:tabs>
          <w:tab w:leader="none" w:pos="69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has no “significant subsidiary,” as defined in Rule 1-02(w) of Regulation S-X under the Act, other than those subsidiaries listed on Schedule III (each, a “Significant Subsidiary”).</w:t>
      </w:r>
    </w:p>
    <w:p>
      <w:pPr>
        <w:spacing w:after="0" w:line="62" w:lineRule="exact"/>
        <w:rPr>
          <w:rFonts w:ascii="Arial" w:cs="Arial" w:eastAsia="Arial" w:hAnsi="Arial"/>
          <w:sz w:val="18"/>
          <w:szCs w:val="18"/>
          <w:color w:val="auto"/>
        </w:rPr>
      </w:pPr>
    </w:p>
    <w:p>
      <w:pPr>
        <w:ind w:right="180" w:firstLine="436"/>
        <w:spacing w:after="0" w:line="279" w:lineRule="auto"/>
        <w:tabs>
          <w:tab w:leader="none" w:pos="65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As of October 31, 2020, the Company and its subsidiaries had the issued and outstanding capitalization as set forth in the Disclosure Package and the Prospectus under the heading “Capitalization”, and all the outstanding membership interests or shares of capital stock, as applicable, of the Company (including the Securities to be sold by the Selling Stockholders) and each subsidiary listed on Exhibit 21 of the Registration Statement have been duly authorized and validly issued, are fully paid and nonassessable, if applicable, and were not issued 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3" w:name="page314"/>
    <w:bookmarkEnd w:id="31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(A) that certain Indenture, dated as of November 6, 2020 (the “Indenture”), by and among Academy, Ltd., as issuer, the guarantors named therein and The Bank of New York Mellon Trust Company, N.A., as trustee and notes collateral agent, (B) that certain Second Amended and Restated Credit Agreement, dated as of November 6, 2020, among Academy, Ltd., as Borrower, New Academy Holding Company, LLC, as Holdings, Associated Investors L.L.C. and Academy Managing Co., L.L.C, as Texas Intermediate Holdcos, the several lenders from time to time party thereto and Credit Suisse AG, Cayman Islands Branch, as the Administrative Agent and the Collateral Agent and the several other parties named therein (as amended, the “Term Loan Facility”) and (C) that certain First Amended and Restated ABL Credit Agreement, dated as of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amended, the “ABL Facility” and, together with the Indenture and the Term Loan Facility, the “Debt Documents”) or permitted under the Debt Documents or by the Act). Except as disclosed in the Disclosure Package and the Prospectus, or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66" w:lineRule="exact"/>
        <w:rPr>
          <w:sz w:val="20"/>
          <w:szCs w:val="20"/>
          <w:color w:val="auto"/>
        </w:rPr>
      </w:pPr>
    </w:p>
    <w:p>
      <w:pPr>
        <w:ind w:left="744" w:hanging="304"/>
        <w:spacing w:after="0"/>
        <w:tabs>
          <w:tab w:leader="none" w:pos="74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 w:right="420" w:firstLine="436"/>
        <w:spacing w:after="0" w:line="287" w:lineRule="auto"/>
        <w:tabs>
          <w:tab w:leader="none" w:pos="699" w:val="left"/>
        </w:tabs>
        <w:numPr>
          <w:ilvl w:val="1"/>
          <w:numId w:val="252"/>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w:t>
      </w:r>
    </w:p>
    <w:p>
      <w:pPr>
        <w:spacing w:after="0" w:line="2" w:lineRule="exact"/>
        <w:rPr>
          <w:rFonts w:ascii="Arial" w:cs="Arial" w:eastAsia="Arial" w:hAnsi="Arial"/>
          <w:sz w:val="16"/>
          <w:szCs w:val="16"/>
          <w:color w:val="auto"/>
        </w:rPr>
      </w:pPr>
    </w:p>
    <w:p>
      <w:pPr>
        <w:ind w:left="4" w:hanging="4"/>
        <w:spacing w:after="0" w:line="253" w:lineRule="auto"/>
        <w:tabs>
          <w:tab w:leader="none" w:pos="21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registration of the Securities under the Act, (ii) 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84" w:lineRule="exact"/>
        <w:rPr>
          <w:rFonts w:ascii="Arial" w:cs="Arial" w:eastAsia="Arial" w:hAnsi="Arial"/>
          <w:sz w:val="18"/>
          <w:szCs w:val="18"/>
          <w:color w:val="auto"/>
        </w:rPr>
      </w:pPr>
    </w:p>
    <w:p>
      <w:pPr>
        <w:jc w:val="both"/>
        <w:ind w:left="4" w:firstLine="436"/>
        <w:spacing w:after="0" w:line="263" w:lineRule="auto"/>
        <w:tabs>
          <w:tab w:leader="none" w:pos="699" w:val="left"/>
        </w:tabs>
        <w:numPr>
          <w:ilvl w:val="1"/>
          <w:numId w:val="253"/>
        </w:numPr>
        <w:rPr>
          <w:rFonts w:ascii="Arial" w:cs="Arial" w:eastAsia="Arial" w:hAnsi="Arial"/>
          <w:sz w:val="18"/>
          <w:szCs w:val="18"/>
          <w:color w:val="auto"/>
        </w:rPr>
      </w:pPr>
      <w:r>
        <w:rPr>
          <w:rFonts w:ascii="Arial" w:cs="Arial" w:eastAsia="Arial" w:hAnsi="Arial"/>
          <w:sz w:val="18"/>
          <w:szCs w:val="18"/>
          <w:color w:val="auto"/>
        </w:rPr>
        <w:t>Neither the consummation of the transactions contemplated hereby,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314" w:name="page315"/>
    <w:bookmarkEnd w:id="314"/>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70" w:lineRule="exact"/>
        <w:rPr>
          <w:sz w:val="20"/>
          <w:szCs w:val="20"/>
          <w:color w:val="auto"/>
        </w:rPr>
      </w:pPr>
    </w:p>
    <w:p>
      <w:pPr>
        <w:ind w:left="4" w:right="80" w:firstLine="436"/>
        <w:spacing w:after="0" w:line="275" w:lineRule="auto"/>
        <w:tabs>
          <w:tab w:leader="none" w:pos="699" w:val="left"/>
        </w:tabs>
        <w:numPr>
          <w:ilvl w:val="1"/>
          <w:numId w:val="254"/>
        </w:numPr>
        <w:rPr>
          <w:rFonts w:ascii="Arial" w:cs="Arial" w:eastAsia="Arial" w:hAnsi="Arial"/>
          <w:sz w:val="17"/>
          <w:szCs w:val="17"/>
          <w:color w:val="auto"/>
        </w:rPr>
      </w:pPr>
      <w:r>
        <w:rPr>
          <w:rFonts w:ascii="Arial" w:cs="Arial" w:eastAsia="Arial" w:hAnsi="Arial"/>
          <w:sz w:val="17"/>
          <w:szCs w:val="17"/>
          <w:color w:val="auto"/>
        </w:rPr>
        <w:t>There is no contract or other document of a character required to be described in the Registration Statement or Prospectus, or to be filed as an exhibit thereto, which is not described or filed as required. The statements in the Preliminary Prospectus and the Prospectus under the headings “Material U.S. Federal Income and Estate Tax Consequences to Non-U.S. Holders,” “Business—Governmental Regulations,” “Business—Legal Proceedings” and “Business—Intellectual Property” insofar as such statements summarize legal matters, agreements, documents or proceedings discussed therein, are accurate and fair summaries of such legal matters, agreements, documents or proceedings.</w:t>
      </w:r>
    </w:p>
    <w:p>
      <w:pPr>
        <w:spacing w:after="0" w:line="68" w:lineRule="exact"/>
        <w:rPr>
          <w:rFonts w:ascii="Arial" w:cs="Arial" w:eastAsia="Arial" w:hAnsi="Arial"/>
          <w:sz w:val="17"/>
          <w:szCs w:val="17"/>
          <w:color w:val="auto"/>
        </w:rPr>
      </w:pPr>
    </w:p>
    <w:p>
      <w:pPr>
        <w:ind w:left="4" w:right="280" w:firstLine="436"/>
        <w:spacing w:after="0" w:line="286" w:lineRule="auto"/>
        <w:tabs>
          <w:tab w:leader="none" w:pos="699" w:val="left"/>
        </w:tabs>
        <w:numPr>
          <w:ilvl w:val="1"/>
          <w:numId w:val="254"/>
        </w:numPr>
        <w:rPr>
          <w:rFonts w:ascii="Arial" w:cs="Arial" w:eastAsia="Arial" w:hAnsi="Arial"/>
          <w:sz w:val="17"/>
          <w:szCs w:val="17"/>
          <w:color w:val="auto"/>
        </w:rPr>
      </w:pPr>
      <w:r>
        <w:rPr>
          <w:rFonts w:ascii="Arial" w:cs="Arial" w:eastAsia="Arial" w:hAnsi="Arial"/>
          <w:sz w:val="17"/>
          <w:szCs w:val="17"/>
          <w:color w:val="auto"/>
        </w:rPr>
        <w:t>No holders of securities of the Company have rights to the registration of such securities under the Registration Statement, other than as required by the Amended and Restated Registration Rights Agreement, dated as of October 6, 2020, among the Company and the shareholders party thereto (as amended, supplemented or otherwise modified from time to time prior to the date hereof).</w:t>
      </w:r>
    </w:p>
    <w:p>
      <w:pPr>
        <w:spacing w:after="0" w:line="57" w:lineRule="exact"/>
        <w:rPr>
          <w:rFonts w:ascii="Arial" w:cs="Arial" w:eastAsia="Arial" w:hAnsi="Arial"/>
          <w:sz w:val="17"/>
          <w:szCs w:val="17"/>
          <w:color w:val="auto"/>
        </w:rPr>
      </w:pPr>
    </w:p>
    <w:p>
      <w:pPr>
        <w:ind w:left="4" w:firstLine="436"/>
        <w:spacing w:after="0" w:line="290" w:lineRule="auto"/>
        <w:tabs>
          <w:tab w:leader="none" w:pos="669"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Except as set forth in the Disclosure Package and the Prospectus, the consolidated historical financial statements included in the Disclosure Package and the Prospectus present fairly in all material respects the consolidated financial position, results of operations and cash flows of the entities to which they relate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Historical Consolidated Financial Data” in the Disclosure Package and the Prospectus fairly presents in all material respects, on the basis stated in the Disclosure Package and the Prospectus, the information included therein; the summary historical financial data set forth under the heading “Summary—Summary Historical Consolidated Financial and Other Data” in the Disclosure Package and the Prospectus fairly presents in all material respects, on the basis stated in the Disclosure Package and the Prospectus, the information included therein.</w:t>
      </w:r>
    </w:p>
    <w:p>
      <w:pPr>
        <w:spacing w:after="0" w:line="57" w:lineRule="exact"/>
        <w:rPr>
          <w:rFonts w:ascii="Arial" w:cs="Arial" w:eastAsia="Arial" w:hAnsi="Arial"/>
          <w:sz w:val="16"/>
          <w:szCs w:val="16"/>
          <w:color w:val="auto"/>
        </w:rPr>
      </w:pPr>
    </w:p>
    <w:p>
      <w:pPr>
        <w:ind w:left="684" w:hanging="244"/>
        <w:spacing w:after="0"/>
        <w:tabs>
          <w:tab w:leader="none" w:pos="684"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Except as otherwise set forth therein, since the respective dates as of which information is given in the Disclosure Package or the Prospectus,</w:t>
      </w:r>
    </w:p>
    <w:p>
      <w:pPr>
        <w:spacing w:after="0" w:line="46" w:lineRule="exact"/>
        <w:rPr>
          <w:rFonts w:ascii="Arial" w:cs="Arial" w:eastAsia="Arial" w:hAnsi="Arial"/>
          <w:sz w:val="16"/>
          <w:szCs w:val="16"/>
          <w:color w:val="auto"/>
        </w:rPr>
      </w:pPr>
    </w:p>
    <w:p>
      <w:pPr>
        <w:ind w:left="4" w:right="60" w:hanging="4"/>
        <w:spacing w:after="0" w:line="253" w:lineRule="auto"/>
        <w:tabs>
          <w:tab w:leader="none" w:pos="21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315" w:name="page316"/>
    <w:bookmarkEnd w:id="315"/>
    <w:p>
      <w:pPr>
        <w:ind w:left="4" w:firstLine="436"/>
        <w:spacing w:after="0" w:line="286" w:lineRule="auto"/>
        <w:tabs>
          <w:tab w:leader="none" w:pos="659" w:val="left"/>
        </w:tabs>
        <w:numPr>
          <w:ilvl w:val="1"/>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would reasonably be expected to have a Material Adverse Effect.</w:t>
      </w:r>
    </w:p>
    <w:p>
      <w:pPr>
        <w:spacing w:after="0" w:line="102" w:lineRule="exact"/>
        <w:rPr>
          <w:rFonts w:ascii="Arial" w:cs="Arial" w:eastAsia="Arial" w:hAnsi="Arial"/>
          <w:sz w:val="18"/>
          <w:szCs w:val="18"/>
          <w:color w:val="auto"/>
        </w:rPr>
      </w:pPr>
    </w:p>
    <w:p>
      <w:pPr>
        <w:ind w:left="4" w:right="180" w:firstLine="436"/>
        <w:spacing w:after="0" w:line="275" w:lineRule="auto"/>
        <w:tabs>
          <w:tab w:leader="none" w:pos="699" w:val="left"/>
        </w:tabs>
        <w:numPr>
          <w:ilvl w:val="1"/>
          <w:numId w:val="257"/>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owned by them and good and marketable title to all personal property owned by them, in each case free and clear of all liens, encumbrances and defects except (i) pursuant to the Debt Documents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68" w:lineRule="exact"/>
        <w:rPr>
          <w:rFonts w:ascii="Arial" w:cs="Arial" w:eastAsia="Arial" w:hAnsi="Arial"/>
          <w:sz w:val="17"/>
          <w:szCs w:val="17"/>
          <w:color w:val="auto"/>
        </w:rPr>
      </w:pPr>
    </w:p>
    <w:p>
      <w:pPr>
        <w:ind w:left="4" w:right="40" w:firstLine="436"/>
        <w:spacing w:after="0" w:line="254" w:lineRule="auto"/>
        <w:tabs>
          <w:tab w:leader="none" w:pos="69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83" w:lineRule="exact"/>
        <w:rPr>
          <w:rFonts w:ascii="Arial" w:cs="Arial" w:eastAsia="Arial" w:hAnsi="Arial"/>
          <w:sz w:val="18"/>
          <w:szCs w:val="18"/>
          <w:color w:val="auto"/>
        </w:rPr>
      </w:pPr>
    </w:p>
    <w:p>
      <w:pPr>
        <w:jc w:val="both"/>
        <w:ind w:left="4" w:right="100" w:firstLine="436"/>
        <w:spacing w:after="0" w:line="301" w:lineRule="auto"/>
        <w:tabs>
          <w:tab w:leader="none" w:pos="739" w:val="left"/>
        </w:tabs>
        <w:numPr>
          <w:ilvl w:val="1"/>
          <w:numId w:val="257"/>
        </w:numPr>
        <w:rPr>
          <w:rFonts w:ascii="Arial" w:cs="Arial" w:eastAsia="Arial" w:hAnsi="Arial"/>
          <w:sz w:val="16"/>
          <w:szCs w:val="16"/>
          <w:color w:val="auto"/>
        </w:rPr>
      </w:pPr>
      <w:r>
        <w:rPr>
          <w:rFonts w:ascii="Arial" w:cs="Arial" w:eastAsia="Arial" w:hAnsi="Arial"/>
          <w:sz w:val="16"/>
          <w:szCs w:val="16"/>
          <w:color w:val="auto"/>
        </w:rPr>
        <w:t>Deloitte &amp; Touche LLP, who has audited the consolidated financial statements of New Academy Holding Company, LLC and its subsidiaries as of February 1, 2020 and February 2, 2019 and for each of the three years in the period ended February 1, 2020 and the consolidated balance sheet of the Company as of June 30, 2020, each included in the Disclosure Package and the Prospectus, are independent registered public accountants with respect to the Company within the meaning of the Exchange Act and the rules of the Public Company Accounting Oversight Board.</w:t>
      </w:r>
    </w:p>
    <w:p>
      <w:pPr>
        <w:spacing w:after="0" w:line="49" w:lineRule="exact"/>
        <w:rPr>
          <w:rFonts w:ascii="Arial" w:cs="Arial" w:eastAsia="Arial" w:hAnsi="Arial"/>
          <w:sz w:val="16"/>
          <w:szCs w:val="16"/>
          <w:color w:val="auto"/>
        </w:rPr>
      </w:pPr>
    </w:p>
    <w:p>
      <w:pPr>
        <w:ind w:left="4" w:right="20" w:firstLine="436"/>
        <w:spacing w:after="0" w:line="255" w:lineRule="auto"/>
        <w:tabs>
          <w:tab w:leader="none" w:pos="69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16" w:name="page317"/>
    <w:bookmarkEnd w:id="316"/>
    <w:p>
      <w:pPr>
        <w:ind w:left="4" w:right="220" w:firstLine="436"/>
        <w:spacing w:after="0" w:line="263" w:lineRule="auto"/>
        <w:tabs>
          <w:tab w:leader="none" w:pos="699"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75" w:lineRule="exact"/>
        <w:rPr>
          <w:rFonts w:ascii="Arial" w:cs="Arial" w:eastAsia="Arial" w:hAnsi="Arial"/>
          <w:sz w:val="18"/>
          <w:szCs w:val="18"/>
          <w:color w:val="auto"/>
        </w:rPr>
      </w:pPr>
    </w:p>
    <w:p>
      <w:pPr>
        <w:ind w:left="4" w:right="20" w:firstLine="436"/>
        <w:spacing w:after="0" w:line="279" w:lineRule="auto"/>
        <w:tabs>
          <w:tab w:leader="none" w:pos="68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Company and its subsidiaries, take as a whole, have insurance in amounts and against such losses and risks as such party believes to be customary for companies engaged in similar business in similar industries and markets; and neither the Company nor any of its subsidiaries has received written notice from any insurer or agent of such insurer that capital improvements or other expenditures are required or necessary to be made in order to continue such insurance, except, in each case, that would not reasonably be expected to have a Material Adverse Effect.</w:t>
      </w:r>
    </w:p>
    <w:p>
      <w:pPr>
        <w:spacing w:after="0" w:line="63" w:lineRule="exact"/>
        <w:rPr>
          <w:sz w:val="20"/>
          <w:szCs w:val="20"/>
          <w:color w:val="auto"/>
        </w:rPr>
      </w:pPr>
    </w:p>
    <w:p>
      <w:pPr>
        <w:ind w:left="4" w:right="40" w:firstLine="436"/>
        <w:spacing w:after="0" w:line="272" w:lineRule="auto"/>
        <w:tabs>
          <w:tab w:leader="none" w:pos="769" w:val="left"/>
        </w:tabs>
        <w:numPr>
          <w:ilvl w:val="1"/>
          <w:numId w:val="259"/>
        </w:numPr>
        <w:rPr>
          <w:rFonts w:ascii="Arial" w:cs="Arial" w:eastAsia="Arial" w:hAnsi="Arial"/>
          <w:sz w:val="17"/>
          <w:szCs w:val="17"/>
          <w:color w:val="auto"/>
        </w:rPr>
      </w:pPr>
      <w:r>
        <w:rPr>
          <w:rFonts w:ascii="Arial" w:cs="Arial" w:eastAsia="Arial" w:hAnsi="Arial"/>
          <w:sz w:val="17"/>
          <w:szCs w:val="17"/>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Debt Documents.</w:t>
      </w:r>
    </w:p>
    <w:p>
      <w:pPr>
        <w:spacing w:after="0" w:line="69" w:lineRule="exact"/>
        <w:rPr>
          <w:rFonts w:ascii="Arial" w:cs="Arial" w:eastAsia="Arial" w:hAnsi="Arial"/>
          <w:sz w:val="17"/>
          <w:szCs w:val="17"/>
          <w:color w:val="auto"/>
        </w:rPr>
      </w:pPr>
    </w:p>
    <w:p>
      <w:pPr>
        <w:ind w:left="4" w:right="40" w:firstLine="436"/>
        <w:spacing w:after="0" w:line="293" w:lineRule="auto"/>
        <w:tabs>
          <w:tab w:leader="none" w:pos="789" w:val="left"/>
        </w:tabs>
        <w:numPr>
          <w:ilvl w:val="1"/>
          <w:numId w:val="259"/>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56" w:lineRule="exact"/>
        <w:rPr>
          <w:rFonts w:ascii="Arial" w:cs="Arial" w:eastAsia="Arial" w:hAnsi="Arial"/>
          <w:sz w:val="16"/>
          <w:szCs w:val="16"/>
          <w:color w:val="auto"/>
        </w:rPr>
      </w:pPr>
    </w:p>
    <w:p>
      <w:pPr>
        <w:ind w:left="764" w:hanging="324"/>
        <w:spacing w:after="0"/>
        <w:tabs>
          <w:tab w:leader="none" w:pos="764"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Company and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4" w:hanging="4"/>
        <w:spacing w:after="0" w:line="292" w:lineRule="auto"/>
        <w:tabs>
          <w:tab w:leader="none" w:pos="21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Disclosure Package and the Prospectus, the Company is not aware of any material weakness in the Company and its subsidiaries’ internal controls over financial reporting.</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17" w:name="page318"/>
    <w:bookmarkEnd w:id="317"/>
    <w:p>
      <w:pPr>
        <w:ind w:left="4" w:right="620" w:firstLine="436"/>
        <w:spacing w:after="0" w:line="277" w:lineRule="auto"/>
        <w:tabs>
          <w:tab w:leader="none" w:pos="789" w:val="left"/>
        </w:tabs>
        <w:numPr>
          <w:ilvl w:val="1"/>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its subsidiaries maintain “disclosure controls and procedures” (as such term is defined in Rule 13a-15(e) under the Exchange Act); such disclosure controls and procedures are effective.</w:t>
      </w:r>
    </w:p>
    <w:p>
      <w:pPr>
        <w:spacing w:after="0" w:line="62" w:lineRule="exact"/>
        <w:rPr>
          <w:rFonts w:ascii="Arial" w:cs="Arial" w:eastAsia="Arial" w:hAnsi="Arial"/>
          <w:sz w:val="18"/>
          <w:szCs w:val="18"/>
          <w:color w:val="auto"/>
        </w:rPr>
      </w:pPr>
    </w:p>
    <w:p>
      <w:pPr>
        <w:jc w:val="both"/>
        <w:ind w:left="4" w:right="80" w:firstLine="436"/>
        <w:spacing w:after="0" w:line="286" w:lineRule="auto"/>
        <w:tabs>
          <w:tab w:leader="none" w:pos="769" w:val="left"/>
        </w:tabs>
        <w:numPr>
          <w:ilvl w:val="1"/>
          <w:numId w:val="261"/>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w:t>
      </w:r>
    </w:p>
    <w:p>
      <w:pPr>
        <w:spacing w:after="0" w:line="1" w:lineRule="exact"/>
        <w:rPr>
          <w:rFonts w:ascii="Arial" w:cs="Arial" w:eastAsia="Arial" w:hAnsi="Arial"/>
          <w:sz w:val="16"/>
          <w:szCs w:val="16"/>
          <w:color w:val="auto"/>
        </w:rPr>
      </w:pPr>
    </w:p>
    <w:p>
      <w:pPr>
        <w:ind w:left="4" w:right="20" w:hanging="4"/>
        <w:spacing w:after="0" w:line="252" w:lineRule="auto"/>
        <w:tabs>
          <w:tab w:leader="none" w:pos="26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85" w:lineRule="exact"/>
        <w:rPr>
          <w:rFonts w:ascii="Arial" w:cs="Arial" w:eastAsia="Arial" w:hAnsi="Arial"/>
          <w:sz w:val="18"/>
          <w:szCs w:val="18"/>
          <w:color w:val="auto"/>
        </w:rPr>
      </w:pPr>
    </w:p>
    <w:p>
      <w:pPr>
        <w:jc w:val="both"/>
        <w:ind w:left="4" w:right="300" w:firstLine="436"/>
        <w:spacing w:after="0" w:line="263" w:lineRule="auto"/>
        <w:tabs>
          <w:tab w:leader="none" w:pos="726" w:val="left"/>
        </w:tabs>
        <w:numPr>
          <w:ilvl w:val="1"/>
          <w:numId w:val="26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w:t>
      </w:r>
    </w:p>
    <w:p>
      <w:pPr>
        <w:spacing w:after="0" w:line="75" w:lineRule="exact"/>
        <w:rPr>
          <w:rFonts w:ascii="Arial" w:cs="Arial" w:eastAsia="Arial" w:hAnsi="Arial"/>
          <w:sz w:val="18"/>
          <w:szCs w:val="18"/>
          <w:color w:val="auto"/>
        </w:rPr>
      </w:pPr>
    </w:p>
    <w:p>
      <w:pPr>
        <w:ind w:left="4" w:firstLine="436"/>
        <w:spacing w:after="0" w:line="286" w:lineRule="auto"/>
        <w:tabs>
          <w:tab w:leader="none" w:pos="789"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Debt Documents;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18" w:name="page319"/>
    <w:bookmarkEnd w:id="318"/>
    <w:p>
      <w:pPr>
        <w:ind w:left="760" w:hanging="344"/>
        <w:spacing w:after="0"/>
        <w:tabs>
          <w:tab w:leader="none" w:pos="7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jc w:val="both"/>
        <w:ind w:left="-20" w:right="400" w:firstLine="436"/>
        <w:spacing w:after="0" w:line="263" w:lineRule="auto"/>
        <w:tabs>
          <w:tab w:leader="none" w:pos="6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w:t>
      </w:r>
    </w:p>
    <w:p>
      <w:pPr>
        <w:spacing w:after="0" w:line="75" w:lineRule="exact"/>
        <w:rPr>
          <w:rFonts w:ascii="Arial" w:cs="Arial" w:eastAsia="Arial" w:hAnsi="Arial"/>
          <w:sz w:val="18"/>
          <w:szCs w:val="18"/>
          <w:color w:val="auto"/>
        </w:rPr>
      </w:pPr>
    </w:p>
    <w:p>
      <w:pPr>
        <w:ind w:left="-20" w:firstLine="436"/>
        <w:spacing w:after="0" w:line="263" w:lineRule="auto"/>
        <w:tabs>
          <w:tab w:leader="none" w:pos="6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or presentation of market-related or statistical data contained in the Disclosure Package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left="-20" w:right="140" w:firstLine="436"/>
        <w:spacing w:after="0" w:line="291" w:lineRule="auto"/>
        <w:tabs>
          <w:tab w:leader="none" w:pos="76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58" w:lineRule="exact"/>
        <w:rPr>
          <w:rFonts w:ascii="Arial" w:cs="Arial" w:eastAsia="Arial" w:hAnsi="Arial"/>
          <w:sz w:val="16"/>
          <w:szCs w:val="16"/>
          <w:color w:val="auto"/>
        </w:rPr>
      </w:pPr>
    </w:p>
    <w:p>
      <w:pPr>
        <w:ind w:left="-20" w:right="20" w:firstLine="436"/>
        <w:spacing w:after="0" w:line="253" w:lineRule="auto"/>
        <w:tabs>
          <w:tab w:leader="none" w:pos="6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or controlled Affiliate of the Company or any of its subsidiaries is currently subject or target of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the Swiss Secretariat of Economic Affairs, the Hong Kong Monetary Authority, the Monetary Authority of Singapore, or other relevant sanctions authority (collectively, “Sanctions”), nor is the Company or any of its subsidiaries located, organized or resident in a country or territory that is the subject or target of Sanctions including, without limitation, Cuba, Iran, North Korea, Syria and Crimea (each a “Sanctioned Country”). For the past five years, the Company and its subsidiaries have not knowingly engaged in, and are not now knowingly engaged in, any dealings or transactions with any Person, or in any country or territory, that at the time of the dealing or transaction is or was the subject or target of Sanctions.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319" w:name="page320"/>
    <w:bookmarkEnd w:id="319"/>
    <w:p>
      <w:pPr>
        <w:ind w:firstLine="436"/>
        <w:spacing w:after="0" w:line="268" w:lineRule="auto"/>
        <w:tabs>
          <w:tab w:leader="none" w:pos="885" w:val="left"/>
        </w:tabs>
        <w:numPr>
          <w:ilvl w:val="0"/>
          <w:numId w:val="2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of its subsidiaries, nor, to the knowledge of the Company or any of its subsidiaries, any director, officer, agent, employee, controlled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have conducted their businesses in compliance with applicable anti-corruption laws and have instituted and maintain and will continue to maintain policies and procedures designed to promote and achieve compliance with all applicable anti-bribery and anti-corruption laws.</w:t>
      </w:r>
    </w:p>
    <w:p>
      <w:pPr>
        <w:spacing w:after="0" w:line="76" w:lineRule="exact"/>
        <w:rPr>
          <w:rFonts w:ascii="Arial" w:cs="Arial" w:eastAsia="Arial" w:hAnsi="Arial"/>
          <w:sz w:val="17"/>
          <w:szCs w:val="17"/>
          <w:color w:val="auto"/>
        </w:rPr>
      </w:pPr>
    </w:p>
    <w:p>
      <w:pPr>
        <w:ind w:firstLine="436"/>
        <w:spacing w:after="0" w:line="286" w:lineRule="auto"/>
        <w:tabs>
          <w:tab w:leader="none" w:pos="78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Each of the Company and its subsidiaries (i) conducts its business and is in compliance with all federal, state and local laws governing or otherwise regulating the importation, transportation, purchase or other acquisition, possession or sale or other transfer of firearms, ammunition or explosives, including without limitation the Gun Control Act of 1968 (Chapter 44 of Title 18, United States Code), the National Firearms Act of 1934 (Chapter 53 of Title 26, United States Code), and the Arms Export Control Act (22 U.S.C. § 2778), as well as all applicable rules and regulations of the Bureau of Alcohol, Tobacco, Firearms and Explosives (the “ATF”)) (collectively, the “Firearms, Ammunition and Explosives Laws”); and (ii) possesses, and is in compliance with the terms of, all licenses, registrations and permits required in order for the Company and its subsidiaries to conduct their respective businesses (as currently conducted and as proposed to be conducted) with respect to the sale of firearms, ammunition and explosives, except, in the case of each of clause (i) or (ii), where the failure to so comply or be in possession would not reasonably be expected to have a Material Adverse Effect. Neither the Company nor any of its subsidiaries has received, during the three year period preceding the date of this Agreement, from the ATF or any other regulatory authority any notice of revocation of any such license, registration or permit and has no reason to believe that the ATF or any other regulatory authority may issue any such notice, except for any such notice or revocation that would not reasonably be expected to have a Material Adverse Effect. Neither the Company nor any of its subsidiaries (1) has received from the ATF or any other regulatory authority any notice of violation of any Firearms, Ammunition and Explosives Law or (2) has any reason to believe that the ATF or any other regulatory authority may issue any such notice, except, in the case of clauses (1) and (2), where such notices or violations would not reasonably be expected to have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20" w:name="page321"/>
    <w:bookmarkEnd w:id="320"/>
    <w:p>
      <w:pPr>
        <w:ind w:firstLine="436"/>
        <w:spacing w:after="0" w:line="269" w:lineRule="auto"/>
        <w:tabs>
          <w:tab w:leader="none" w:pos="785" w:val="left"/>
        </w:tabs>
        <w:numPr>
          <w:ilvl w:val="0"/>
          <w:numId w:val="2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would not reasonably be expected to have a Material Adverse Effect, the Company and its subsidiaries’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and its subsidiaries as currently conducted and, to the knowledge of the Company, is free and clear of all material bugs, errors, defects, Trojan horses, time bombs, malware and other corruptants. Except as would not reasonably be expected to have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9" w:lineRule="exact"/>
        <w:rPr>
          <w:sz w:val="20"/>
          <w:szCs w:val="20"/>
          <w:color w:val="auto"/>
        </w:rPr>
      </w:pPr>
    </w:p>
    <w:p>
      <w:pPr>
        <w:jc w:val="both"/>
        <w:ind w:right="200" w:firstLine="991"/>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6" w:lineRule="exact"/>
        <w:rPr>
          <w:sz w:val="20"/>
          <w:szCs w:val="20"/>
          <w:color w:val="auto"/>
        </w:rPr>
      </w:pPr>
    </w:p>
    <w:p>
      <w:pPr>
        <w:ind w:right="640" w:firstLine="987"/>
        <w:spacing w:after="0" w:line="277" w:lineRule="auto"/>
        <w:tabs>
          <w:tab w:leader="none" w:pos="1171"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xml:space="preserve"> Each Selling Stockholder represents, warrants and covenants to the Company and the Underwriters, severally and not jointly, as follows:</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Stockholder.</w:t>
      </w:r>
    </w:p>
    <w:p>
      <w:pPr>
        <w:spacing w:after="0" w:line="117" w:lineRule="exact"/>
        <w:rPr>
          <w:rFonts w:ascii="Arial" w:cs="Arial" w:eastAsia="Arial" w:hAnsi="Arial"/>
          <w:sz w:val="18"/>
          <w:szCs w:val="18"/>
          <w:color w:val="auto"/>
        </w:rPr>
      </w:pPr>
    </w:p>
    <w:p>
      <w:pPr>
        <w:ind w:firstLine="436"/>
        <w:spacing w:after="0" w:line="269" w:lineRule="auto"/>
        <w:tabs>
          <w:tab w:leader="none" w:pos="69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If such Selling Stockholder is a Gochman Selling Stockholder or the Management Selling Stockholder, (i) book-entry entitlements representing all of the Securities to be sold by such Selling Stockholder hereunder have been placed in custody under a Custody Agreement, in the form heretofore furnished to you (the “Custody Agreement”), duly executed and delivered by such Selling Stockholder to Broadridge Corporate Issuer Solutions, Inc., as custodian (the “Custodian”), and (ii) such Selling Stockholder shall have duly executed and delivered a Power of Attorney, in the form heretofore furnished to you (the “Power of Attorney”), appointing Ken Hicks, Michael Mullican, and Rene Casares,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3 hereof, to execute and deliver a Stock Power relating to the Underwritten Securities to be sold by such Selling Stockholder (the “Stock Power”), to authorize the delivery of the Securities to be sold by such Selling Stockholder hereunder and to otherwise to act on behalf of such Selling Stockholder in connection with the transactions contemplated by this Agreement and the Custody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21" w:name="page322"/>
    <w:bookmarkEnd w:id="321"/>
    <w:p>
      <w:pPr>
        <w:ind w:left="4" w:firstLine="436"/>
        <w:spacing w:after="0" w:line="284" w:lineRule="auto"/>
        <w:tabs>
          <w:tab w:leader="none" w:pos="689" w:val="left"/>
        </w:tabs>
        <w:numPr>
          <w:ilvl w:val="1"/>
          <w:numId w:val="2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payment for the Underwritten Securities to be sold by such Selling Stockholders pursuant to this Agreement, delivery of such Underwritten Securities, as directed by the Representatives, to Cede &amp; Co. (“Cede”) or such other nominee as may be designated by The Depository Trust Company (“DTC”), registration of such Underwritten Securities in the name of Cede or such other nominee and the crediting of such Shares on the books of DTC to the securities account of the Underwriters (assuming that neither DTC nor the Underwriters has notice of any adverse claim (within the meaning of Section 8-105 of the New York Uniform Commercial Code (the “UCC”)) to such Shares), (A) DTC shall be a “protected purchaser” of such Underwritten Securities within the meaning of Section 8-303 of the UCC, (B) under Section 8-501 of the UCC, the Underwriters will acquire a valid security entitlement in respect of such Underwritten Securities and (C) no action based on any “adverse claim”, within the meaning of</w:t>
      </w:r>
    </w:p>
    <w:p>
      <w:pPr>
        <w:spacing w:after="0" w:line="2" w:lineRule="exact"/>
        <w:rPr>
          <w:rFonts w:ascii="Arial" w:cs="Arial" w:eastAsia="Arial" w:hAnsi="Arial"/>
          <w:sz w:val="16"/>
          <w:szCs w:val="16"/>
          <w:color w:val="auto"/>
        </w:rPr>
      </w:pPr>
    </w:p>
    <w:p>
      <w:pPr>
        <w:ind w:left="4" w:right="60"/>
        <w:spacing w:after="0" w:line="252" w:lineRule="auto"/>
        <w:rPr>
          <w:rFonts w:ascii="Arial" w:cs="Arial" w:eastAsia="Arial" w:hAnsi="Arial"/>
          <w:sz w:val="16"/>
          <w:szCs w:val="16"/>
          <w:color w:val="auto"/>
        </w:rPr>
      </w:pPr>
      <w:r>
        <w:rPr>
          <w:rFonts w:ascii="Arial" w:cs="Arial" w:eastAsia="Arial" w:hAnsi="Arial"/>
          <w:sz w:val="18"/>
          <w:szCs w:val="18"/>
          <w:color w:val="auto"/>
        </w:rPr>
        <w:t>Section 8-102 of the UCC, to such Underwritten Securities may be successfully asserted against the Underwriters with respect to such security entitlement; for purposes of this representation, such Selling Stockholder may assume that when such payment, delivery and crediting occur, (x) such Underwritten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85" w:lineRule="exact"/>
        <w:rPr>
          <w:rFonts w:ascii="Arial" w:cs="Arial" w:eastAsia="Arial" w:hAnsi="Arial"/>
          <w:sz w:val="16"/>
          <w:szCs w:val="16"/>
          <w:color w:val="auto"/>
        </w:rPr>
      </w:pPr>
    </w:p>
    <w:p>
      <w:pPr>
        <w:ind w:left="4" w:right="20" w:firstLine="436"/>
        <w:spacing w:after="0" w:line="286" w:lineRule="auto"/>
        <w:tabs>
          <w:tab w:leader="none" w:pos="699"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execution and delivery by such Selling Stockholder, or such Selling Stockholder’s Attorneys-in-Fact, as applicable, of, and the performance by such Selling Stockholder of its obligations under, this Agreement, and, if such Selling Stockholder is a Gochman Selling Stockholder or the Management Selling Stockholder, the Power of Attorney, the Custody Agreement and Stock Power, will not contravene or conflict with, result in a breach of, or constitute a default (or, with the giving of notice or lapse of time, would be in default) under, or require the consent of any other party to,</w:t>
      </w:r>
    </w:p>
    <w:p>
      <w:pPr>
        <w:spacing w:after="0" w:line="1" w:lineRule="exact"/>
        <w:rPr>
          <w:rFonts w:ascii="Arial" w:cs="Arial" w:eastAsia="Arial" w:hAnsi="Arial"/>
          <w:sz w:val="16"/>
          <w:szCs w:val="16"/>
          <w:color w:val="auto"/>
        </w:rPr>
      </w:pPr>
    </w:p>
    <w:p>
      <w:pPr>
        <w:ind w:left="4" w:hanging="4"/>
        <w:spacing w:after="0" w:line="285" w:lineRule="auto"/>
        <w:tabs>
          <w:tab w:leader="none" w:pos="21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in the case of the KKR Selling Stockholders, the limited partnership agreement or the limited liability company agreement, as applicable, of the KKR Selling Stockholders, (ii) in the case of the Gochman Selling Stockholders, the limited partnership agreement or limited liability company agreement, as applicable, of the Gochman Selling Stockholders, (iii) any other agreement or instrument to which such Selling Stockholder is a party or by which it is bound or (iv)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(iii) and (iv)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Gochman Selling Stockholder or the Management Selling Stockholder, under the Power of Attorney, the Custody Agreement and the Stock Power, except such as may be required under the Securities Act, the Exchange Act, applicable state securities or blue sky laws and from the FINRA and such other approvals as have been or will be made or obtained on or prior to the Closing Date.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322" w:name="page323"/>
    <w:bookmarkEnd w:id="322"/>
    <w:p>
      <w:pPr>
        <w:ind w:right="60" w:firstLine="436"/>
        <w:spacing w:after="0" w:line="272" w:lineRule="auto"/>
        <w:tabs>
          <w:tab w:leader="none" w:pos="685" w:val="left"/>
        </w:tabs>
        <w:numPr>
          <w:ilvl w:val="0"/>
          <w:numId w:val="2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name of such Selling Stockholder, the number of total shares beneficially owned, the number of offered shares and the address and other information with respect to such Selling Stockholder (excluding percentages) under the caption “Selling Stockholders” in the Registration Statement, the Disclosure Package and the Prospectus (such information, the “Selling Stockholders Information”).</w:t>
      </w:r>
    </w:p>
    <w:p>
      <w:pPr>
        <w:spacing w:after="0" w:line="69" w:lineRule="exact"/>
        <w:rPr>
          <w:rFonts w:ascii="Arial" w:cs="Arial" w:eastAsia="Arial" w:hAnsi="Arial"/>
          <w:sz w:val="17"/>
          <w:szCs w:val="17"/>
          <w:color w:val="auto"/>
        </w:rPr>
      </w:pPr>
    </w:p>
    <w:p>
      <w:pPr>
        <w:ind w:right="40" w:firstLine="436"/>
        <w:spacing w:after="0" w:line="255" w:lineRule="auto"/>
        <w:tabs>
          <w:tab w:leader="none" w:pos="6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Other than the Registration Statement, the Preliminary Prospectus, the Disclosure Package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in Schedule II hereto, each electronic road show and any other written communications approved in writing in advance by the Company and the Representatives.</w:t>
      </w:r>
    </w:p>
    <w:p>
      <w:pPr>
        <w:spacing w:after="0" w:line="84" w:lineRule="exact"/>
        <w:rPr>
          <w:rFonts w:ascii="Arial" w:cs="Arial" w:eastAsia="Arial" w:hAnsi="Arial"/>
          <w:sz w:val="18"/>
          <w:szCs w:val="18"/>
          <w:color w:val="auto"/>
        </w:rPr>
      </w:pPr>
    </w:p>
    <w:p>
      <w:pPr>
        <w:ind w:firstLine="436"/>
        <w:spacing w:after="0" w:line="263" w:lineRule="auto"/>
        <w:tabs>
          <w:tab w:leader="none" w:pos="69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Any certificate signed by or on behalf of such Selling Stockholder and delivered to the Representatives or to counsel for the Underwriters in connection with the offering of the Securities shall be deemed a representation and warranty by such Selling Stockholder to the Underwriters as to the matters covered thereby with respect to such Selling Stockholder. 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70" w:lineRule="exact"/>
        <w:rPr>
          <w:sz w:val="20"/>
          <w:szCs w:val="20"/>
          <w:color w:val="auto"/>
        </w:rPr>
      </w:pPr>
    </w:p>
    <w:p>
      <w:pPr>
        <w:ind w:left="620" w:hanging="184"/>
        <w:spacing w:after="0"/>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117" w:lineRule="exact"/>
        <w:rPr>
          <w:sz w:val="20"/>
          <w:szCs w:val="20"/>
          <w:color w:val="auto"/>
        </w:rPr>
      </w:pPr>
    </w:p>
    <w:p>
      <w:pPr>
        <w:ind w:right="220" w:firstLine="436"/>
        <w:spacing w:after="0" w:line="291" w:lineRule="auto"/>
        <w:tabs>
          <w:tab w:leader="none" w:pos="68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w:t>
      </w:r>
    </w:p>
    <w:p>
      <w:pPr>
        <w:spacing w:after="0" w:line="211" w:lineRule="auto"/>
        <w:tabs>
          <w:tab w:leader="none" w:pos="2920" w:val="left"/>
        </w:tabs>
        <w:rPr>
          <w:sz w:val="20"/>
          <w:szCs w:val="20"/>
          <w:color w:val="auto"/>
        </w:rPr>
      </w:pPr>
      <w:r>
        <w:rPr>
          <w:rFonts w:ascii="Arial" w:cs="Arial" w:eastAsia="Arial" w:hAnsi="Arial"/>
          <w:sz w:val="18"/>
          <w:szCs w:val="18"/>
          <w:color w:val="auto"/>
        </w:rPr>
        <w:t>Stockholder, at a purchase price of $[</w:t>
      </w:r>
      <w:r>
        <w:rPr>
          <w:sz w:val="20"/>
          <w:szCs w:val="20"/>
          <w:color w:val="auto"/>
        </w:rPr>
        <w:tab/>
      </w:r>
      <w:r>
        <w:rPr>
          <w:rFonts w:ascii="Arial" w:cs="Arial" w:eastAsia="Arial" w:hAnsi="Arial"/>
          <w:sz w:val="16"/>
          <w:szCs w:val="16"/>
          <w:color w:val="auto"/>
        </w:rPr>
        <w:t>] per share, the amount of the Underwritten Securities determined by multiplying the aggregate number of</w:t>
      </w:r>
    </w:p>
    <w:p>
      <w:pPr>
        <w:spacing w:after="0" w:line="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Underwritten Securities to be sold by each of the Selling Stockholders as set forth opposite its name in Schedule I(B) hereto by a fraction, the numerator of which is the aggregate number of Underwritten Securities to be purchased by such Underwriter as set forth opposite such Underwriter’s name in Schedule I(A) hereto and the denominator of which is the aggregate number of the Underwritten Securities to be purchased by all of the Underwriters from all of the Selling Stockholders hereunder.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23" w:name="page324"/>
    <w:bookmarkEnd w:id="323"/>
    <w:p>
      <w:pPr>
        <w:ind w:right="240" w:firstLine="440"/>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Subject to the terms and conditions and in reliance upon the representations and warranties herein set forth, the Selling Stockholders hereby grant an option to the several Underwriters to purchase, severally and not jointly, up to [ ] Option Securities at the same purchase price per share as</w:t>
      </w:r>
    </w:p>
    <w:p>
      <w:pPr>
        <w:spacing w:after="0" w:line="5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(but not more than twice) on or before the 30th day after the date of the Prospectus upon written or telegraphic notice by the Representatives to the Selling Stockholders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70" w:lineRule="exact"/>
        <w:rPr>
          <w:sz w:val="20"/>
          <w:szCs w:val="20"/>
          <w:color w:val="auto"/>
        </w:rPr>
      </w:pPr>
    </w:p>
    <w:p>
      <w:pPr>
        <w:ind w:firstLine="436"/>
        <w:spacing w:after="0" w:line="268" w:lineRule="auto"/>
        <w:tabs>
          <w:tab w:leader="none" w:pos="68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Each of the Company and each Selling Stockholder acknowledges and agrees that the Representatives and the other Underwriters are acting solely in the capacity of an arm’s length contractual counterparty to the Company and the Selling Stockholders with respect to the offering of Underwritten Securities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 or the Selling Stockholders. Moreover, each Selling Shareholder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Stockholders to participate in the offering, enter into a “lock-up” agreement, or sell any Securities at the price determined in the offering, and nothing set forth in such disclosures is intended to suggest that the Representatives or any Underwriter is making such a recommendation.</w:t>
      </w:r>
    </w:p>
    <w:p>
      <w:pPr>
        <w:spacing w:after="0" w:line="74" w:lineRule="exact"/>
        <w:rPr>
          <w:sz w:val="20"/>
          <w:szCs w:val="20"/>
          <w:color w:val="auto"/>
        </w:rPr>
      </w:pPr>
    </w:p>
    <w:p>
      <w:pPr>
        <w:ind w:right="500" w:firstLine="436"/>
        <w:spacing w:after="0" w:line="291" w:lineRule="auto"/>
        <w:tabs>
          <w:tab w:leader="none" w:pos="620"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Underwritten Securities and the Option Securities (if the option provided for in Section 3(b) hereof shall have been exercised on or before the second Business Day immediately preceding the Closing Date) shall be made at the</w:t>
      </w:r>
    </w:p>
    <w:p>
      <w:pPr>
        <w:spacing w:after="0" w:line="211" w:lineRule="auto"/>
        <w:tabs>
          <w:tab w:leader="none" w:pos="10100" w:val="left"/>
        </w:tabs>
        <w:rPr>
          <w:sz w:val="20"/>
          <w:szCs w:val="20"/>
          <w:color w:val="auto"/>
        </w:rPr>
      </w:pPr>
      <w:r>
        <w:rPr>
          <w:rFonts w:ascii="Arial" w:cs="Arial" w:eastAsia="Arial" w:hAnsi="Arial"/>
          <w:sz w:val="18"/>
          <w:szCs w:val="18"/>
          <w:color w:val="auto"/>
        </w:rPr>
        <w:t>offices of Simpson Thacher &amp; Bartlett LLP, 425 Lexington Avenue, New York, New York 10017 at 10:00 AM, New York City time, on [</w:t>
      </w:r>
      <w:r>
        <w:rPr>
          <w:sz w:val="20"/>
          <w:szCs w:val="20"/>
          <w:color w:val="auto"/>
        </w:rPr>
        <w:tab/>
      </w:r>
      <w:r>
        <w:rPr>
          <w:rFonts w:ascii="Arial" w:cs="Arial" w:eastAsia="Arial" w:hAnsi="Arial"/>
          <w:sz w:val="16"/>
          <w:szCs w:val="16"/>
          <w:color w:val="auto"/>
        </w:rPr>
        <w:t>], 2021, or</w:t>
      </w:r>
    </w:p>
    <w:p>
      <w:pPr>
        <w:spacing w:after="0" w:line="56"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at such time on such later date not more than two Business Days after the foregoing date as the Representatives shall designate, which date and time may be postponed by agreement between the Representatives,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24" w:name="page325"/>
    <w:bookmarkEnd w:id="324"/>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and the Selling Stockholders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in writing to the Representatives. Delivery of the Underwritten Securities and the Option Securities shall be made through the facilities of DTC unless the Representatives shall otherwise instruct.</w:t>
      </w:r>
    </w:p>
    <w:p>
      <w:pPr>
        <w:spacing w:after="0" w:line="178"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If the option provided for in Section 3(b) hereof is exercised after the second Business Day immediately preceding the Closing Date, the Selling Stockholders will deliver the Option Securities to the Representatives on the date specified by the Representatives (which shall be within two Business Days after exercise of said option, which date may be postponed by agreement between the Representatives, the Company and the Selling Stockholders)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If settlement for the Option Securities occurs after the Closing Date, the Selling Stockholders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8 hereof.</w:t>
      </w:r>
    </w:p>
    <w:p>
      <w:pPr>
        <w:spacing w:after="0" w:line="73" w:lineRule="exact"/>
        <w:rPr>
          <w:sz w:val="20"/>
          <w:szCs w:val="20"/>
          <w:color w:val="auto"/>
        </w:rPr>
      </w:pPr>
    </w:p>
    <w:p>
      <w:pPr>
        <w:ind w:right="200" w:firstLine="436"/>
        <w:spacing w:after="0" w:line="277" w:lineRule="auto"/>
        <w:tabs>
          <w:tab w:leader="none" w:pos="62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Prospectus.</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the several Underwriters as follows:</w:t>
      </w:r>
    </w:p>
    <w:p>
      <w:pPr>
        <w:spacing w:after="0" w:line="117" w:lineRule="exact"/>
        <w:rPr>
          <w:sz w:val="20"/>
          <w:szCs w:val="20"/>
          <w:color w:val="auto"/>
        </w:rPr>
      </w:pPr>
    </w:p>
    <w:p>
      <w:pPr>
        <w:ind w:firstLine="436"/>
        <w:spacing w:after="0" w:line="288" w:lineRule="auto"/>
        <w:tabs>
          <w:tab w:leader="none" w:pos="68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25" w:name="page326"/>
    <w:bookmarkEnd w:id="325"/>
    <w:p>
      <w:pPr>
        <w:ind w:left="4"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notice objecting to its use or the institution or threatening of any proceeding for that purpose or pursuant to Section 8A under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69" w:lineRule="exact"/>
        <w:rPr>
          <w:sz w:val="20"/>
          <w:szCs w:val="20"/>
          <w:color w:val="auto"/>
        </w:rPr>
      </w:pPr>
    </w:p>
    <w:p>
      <w:pPr>
        <w:ind w:left="4" w:right="60" w:firstLine="436"/>
        <w:spacing w:after="0" w:line="286" w:lineRule="auto"/>
        <w:tabs>
          <w:tab w:leader="none" w:pos="699"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there occurs an event, the result of which, in the opinion of counsel for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subject to paragraph (a) of this Section 6, amend or supplement the Disclosure Package to eliminate or correct such statement or omission; and</w:t>
      </w:r>
    </w:p>
    <w:p>
      <w:pPr>
        <w:spacing w:after="0" w:line="32" w:lineRule="exact"/>
        <w:rPr>
          <w:rFonts w:ascii="Arial" w:cs="Arial" w:eastAsia="Arial" w:hAnsi="Arial"/>
          <w:sz w:val="16"/>
          <w:szCs w:val="16"/>
          <w:color w:val="auto"/>
        </w:rPr>
      </w:pPr>
    </w:p>
    <w:p>
      <w:pPr>
        <w:ind w:left="4" w:right="220" w:hanging="4"/>
        <w:spacing w:after="0" w:line="260" w:lineRule="auto"/>
        <w:tabs>
          <w:tab w:leader="none" w:pos="31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supply any amendment or supplement to the several Underwriters and counsel for the Underwriters without charge in such quantities as they may reasonably request.</w:t>
      </w:r>
    </w:p>
    <w:p>
      <w:pPr>
        <w:spacing w:after="0" w:line="77" w:lineRule="exact"/>
        <w:rPr>
          <w:rFonts w:ascii="Arial" w:cs="Arial" w:eastAsia="Arial" w:hAnsi="Arial"/>
          <w:sz w:val="18"/>
          <w:szCs w:val="18"/>
          <w:color w:val="auto"/>
        </w:rPr>
      </w:pPr>
    </w:p>
    <w:p>
      <w:pPr>
        <w:ind w:left="4" w:firstLine="436"/>
        <w:spacing w:after="0" w:line="289" w:lineRule="auto"/>
        <w:tabs>
          <w:tab w:leader="none" w:pos="689"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 172) (the “Prospectus Delivery Period”), there occurs an event, the result of which, in the opinion of counsel for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eliminate or correct such statement or omission or effect such compliance; and (iii) supply any supplemented Prospectus to the several Underwriters and counsel for the Underwriters without charge in such quantities as they may reasonably request.</w:t>
      </w:r>
    </w:p>
    <w:p>
      <w:pPr>
        <w:spacing w:after="0" w:line="58" w:lineRule="exact"/>
        <w:rPr>
          <w:rFonts w:ascii="Arial" w:cs="Arial" w:eastAsia="Arial" w:hAnsi="Arial"/>
          <w:sz w:val="16"/>
          <w:szCs w:val="16"/>
          <w:color w:val="auto"/>
        </w:rPr>
      </w:pPr>
    </w:p>
    <w:p>
      <w:pPr>
        <w:ind w:left="704" w:hanging="264"/>
        <w:spacing w:after="0"/>
        <w:tabs>
          <w:tab w:leader="none" w:pos="70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200" w:firstLine="436"/>
        <w:spacing w:after="0" w:line="263" w:lineRule="auto"/>
        <w:tabs>
          <w:tab w:leader="none" w:pos="689"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26" w:name="page327"/>
    <w:bookmarkEnd w:id="326"/>
    <w:p>
      <w:pPr>
        <w:ind w:left="-40" w:right="260" w:firstLine="436"/>
        <w:spacing w:after="0" w:line="277" w:lineRule="auto"/>
        <w:tabs>
          <w:tab w:leader="none" w:pos="625"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cooperate with the Representatives and use its commercially reasonable efforts to permit the Securities to be eligible for clearance and settlement through DTC.</w:t>
      </w:r>
    </w:p>
    <w:p>
      <w:pPr>
        <w:spacing w:after="0" w:line="62" w:lineRule="exact"/>
        <w:rPr>
          <w:rFonts w:ascii="Arial" w:cs="Arial" w:eastAsia="Arial" w:hAnsi="Arial"/>
          <w:sz w:val="18"/>
          <w:szCs w:val="18"/>
          <w:color w:val="auto"/>
        </w:rPr>
      </w:pPr>
    </w:p>
    <w:p>
      <w:pPr>
        <w:ind w:left="-40" w:right="40" w:firstLine="436"/>
        <w:spacing w:after="0" w:line="255" w:lineRule="auto"/>
        <w:tabs>
          <w:tab w:leader="none" w:pos="65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84" w:lineRule="exact"/>
        <w:rPr>
          <w:rFonts w:ascii="Arial" w:cs="Arial" w:eastAsia="Arial" w:hAnsi="Arial"/>
          <w:sz w:val="18"/>
          <w:szCs w:val="18"/>
          <w:color w:val="auto"/>
        </w:rPr>
      </w:pPr>
    </w:p>
    <w:p>
      <w:pPr>
        <w:ind w:left="-40" w:right="80" w:firstLine="436"/>
        <w:spacing w:after="0" w:line="255" w:lineRule="auto"/>
        <w:tabs>
          <w:tab w:leader="none" w:pos="65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84" w:lineRule="exact"/>
        <w:rPr>
          <w:rFonts w:ascii="Arial" w:cs="Arial" w:eastAsia="Arial" w:hAnsi="Arial"/>
          <w:sz w:val="18"/>
          <w:szCs w:val="18"/>
          <w:color w:val="auto"/>
        </w:rPr>
      </w:pPr>
    </w:p>
    <w:p>
      <w:pPr>
        <w:ind w:left="-40" w:firstLine="436"/>
        <w:spacing w:after="0" w:line="286" w:lineRule="auto"/>
        <w:tabs>
          <w:tab w:leader="none" w:pos="61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the Representatives,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90 days after the date of the Underwriting Agreement. The foregoing sentence shall not apply to (A) any shares of Common Stock issued by the Company upon the exercise of options to purchase shares of Common Stock, upon the vesting of restricted stock awards or upon the settlement of restricted stock unit awards, in each case disclosed in the Disclosure Package and the Prospectus, (B) the grant of awards pursuant to the Company’s incentive plans or otherwise pursuant to equity compensation arrangements with directors, officers, employees and consultants of the Company and its subsidiaries, in each case, as described in the Disclosure Package and the Prospectus, (C) the issuance or grant of shares of securities, including restricted stock awards, options to purchase shares of common stock, restricted stock units or any other stock-based awards, in each case, registered or to be registered pursuant to any registration statement on Form S-8 pursuant to any benefit plans or arrangements (including, without limitation, employee stock purchase plan), in each case, as described in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80" w:top="274" w:right="499" w:bottom="1440" w:gutter="0" w:footer="0" w:header="0"/>
        </w:sectPr>
      </w:pPr>
    </w:p>
    <w:bookmarkStart w:id="327" w:name="page328"/>
    <w:bookmarkEnd w:id="32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(E) the issuance of shares of Common Stock, of restricted stock awards or of options to purchase shares of Common Stock, in each case, in connection with joint ventures, commercial relationships or other strategic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immediately preceding clauses (D) and (E),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w:t>
      </w:r>
    </w:p>
    <w:p>
      <w:pPr>
        <w:spacing w:after="0" w:line="88" w:lineRule="exact"/>
        <w:rPr>
          <w:sz w:val="20"/>
          <w:szCs w:val="20"/>
          <w:color w:val="auto"/>
        </w:rPr>
      </w:pPr>
    </w:p>
    <w:p>
      <w:pPr>
        <w:ind w:left="660" w:hanging="224"/>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36"/>
        <w:spacing w:after="0" w:line="263" w:lineRule="auto"/>
        <w:tabs>
          <w:tab w:leader="none" w:pos="69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75" w:lineRule="exact"/>
        <w:rPr>
          <w:rFonts w:ascii="Arial" w:cs="Arial" w:eastAsia="Arial" w:hAnsi="Arial"/>
          <w:sz w:val="18"/>
          <w:szCs w:val="18"/>
          <w:color w:val="auto"/>
        </w:rPr>
      </w:pPr>
    </w:p>
    <w:p>
      <w:pPr>
        <w:ind w:right="20" w:firstLine="436"/>
        <w:spacing w:after="0" w:line="285" w:lineRule="auto"/>
        <w:tabs>
          <w:tab w:leader="none" w:pos="65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6(h)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fees and the reasonable and documented fees and expenses of counsel for the Underwriters relating to such filings in an amount not to exceed $35,000);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one counsel for the Selling Stockholders and (x) all other costs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28" w:name="page329"/>
    <w:bookmarkEnd w:id="32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expenses incident to the performance by the Company of its obligations hereunder. Notwithstanding the forgoing, except as specifically provided in this paragraph (l)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agrees with the Underwriters to pay (directly or by reimbursement) all fees and expenses incident to the performance of such Selling Stockholder’s obligations under this Agreement with respect to stock transfer taxes, stamp duties and other similar taxes incident to the sale and delivery of the Underwritten Securities to be sold by such Selling Stockholder to the Underwriters hereunder. This Section 6(l) shall not affect or modify any separate, valid agreement relating to the allocation of payment of expenses between the Company, on the one hand, and any Selling Stockholder, on the other hand.</w:t>
      </w:r>
    </w:p>
    <w:p>
      <w:pPr>
        <w:spacing w:after="0" w:line="73" w:lineRule="exact"/>
        <w:rPr>
          <w:sz w:val="20"/>
          <w:szCs w:val="20"/>
          <w:color w:val="auto"/>
        </w:rPr>
      </w:pPr>
    </w:p>
    <w:p>
      <w:pPr>
        <w:ind w:left="740" w:hanging="304"/>
        <w:spacing w:after="0"/>
        <w:tabs>
          <w:tab w:leader="none" w:pos="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40" w:firstLine="436"/>
        <w:spacing w:after="0" w:line="286" w:lineRule="auto"/>
        <w:tabs>
          <w:tab w:leader="none" w:pos="69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7. </w:t>
      </w:r>
      <w:r>
        <w:rPr>
          <w:rFonts w:ascii="Arial" w:cs="Arial" w:eastAsia="Arial" w:hAnsi="Arial"/>
          <w:sz w:val="17"/>
          <w:szCs w:val="17"/>
          <w:u w:val="single" w:color="auto"/>
          <w:color w:val="auto"/>
        </w:rPr>
        <w:t>Agreements of the Selling Stockholders</w:t>
      </w:r>
      <w:r>
        <w:rPr>
          <w:rFonts w:ascii="Arial" w:cs="Arial" w:eastAsia="Arial" w:hAnsi="Arial"/>
          <w:sz w:val="17"/>
          <w:szCs w:val="17"/>
          <w:color w:val="auto"/>
        </w:rPr>
        <w:t>. Each Selling Stockholder agrees with the Company and the several Underwriters as follows:</w:t>
      </w:r>
    </w:p>
    <w:p>
      <w:pPr>
        <w:spacing w:after="0" w:line="129" w:lineRule="exact"/>
        <w:rPr>
          <w:sz w:val="20"/>
          <w:szCs w:val="20"/>
          <w:color w:val="auto"/>
        </w:rPr>
      </w:pPr>
    </w:p>
    <w:p>
      <w:pPr>
        <w:ind w:right="60" w:firstLine="436"/>
        <w:spacing w:after="0" w:line="301" w:lineRule="auto"/>
        <w:tabs>
          <w:tab w:leader="none" w:pos="68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Such Selling Stockholder will advise you promptly, and if requested by you, will confirm such advice in writing, during the period when a prospectus relating to the Underwritten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29" w:name="page330"/>
    <w:bookmarkEnd w:id="329"/>
    <w:p>
      <w:pPr>
        <w:ind w:right="120" w:firstLine="436"/>
        <w:spacing w:after="0" w:line="263" w:lineRule="auto"/>
        <w:tabs>
          <w:tab w:leader="none" w:pos="6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deliver to the Underwriters prior to the Closing Date a properly completed and executed United States Treasury Department Form W-9, together with all required attachments, if any, of such Selling Stockholder or, in the case of a Gochman Selling Stockholder or the Management Selling Stockholder, of the Custodian.</w:t>
      </w:r>
    </w:p>
    <w:p>
      <w:pPr>
        <w:spacing w:after="0" w:line="7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Underwriters, may, in their sole discretion, waive in writing the performance by the Company or any Selling Stockholder of any one or more of the foregoing covenants or extend the time for their performance.</w:t>
      </w:r>
    </w:p>
    <w:p>
      <w:pPr>
        <w:spacing w:after="0" w:line="62" w:lineRule="exact"/>
        <w:rPr>
          <w:sz w:val="20"/>
          <w:szCs w:val="20"/>
          <w:color w:val="auto"/>
        </w:rPr>
      </w:pPr>
    </w:p>
    <w:p>
      <w:pPr>
        <w:ind w:right="80" w:firstLine="436"/>
        <w:spacing w:after="0" w:line="254" w:lineRule="auto"/>
        <w:tabs>
          <w:tab w:leader="none" w:pos="6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Underwritten Securities and the Option Securities, as the case may be, shall be subject to the accuracy in all material respects (except in the case of Section 1(kk), (ll) and (mm) or to the extent already qualified by materiality, in which case such obligations shall be subject to the accuracy in all respects) of the representations and warranties of the Company and the Selling Stockholders contained herein as of the Execution Time, the Closing Date and any settlement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87" w:lineRule="exact"/>
        <w:rPr>
          <w:sz w:val="20"/>
          <w:szCs w:val="20"/>
          <w:color w:val="auto"/>
        </w:rPr>
      </w:pPr>
    </w:p>
    <w:p>
      <w:pPr>
        <w:ind w:firstLine="436"/>
        <w:spacing w:after="0" w:line="301" w:lineRule="auto"/>
        <w:tabs>
          <w:tab w:leader="none" w:pos="68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under the Act shall have been instituted or threatened.</w:t>
      </w:r>
    </w:p>
    <w:p>
      <w:pPr>
        <w:spacing w:after="0" w:line="49" w:lineRule="exact"/>
        <w:rPr>
          <w:rFonts w:ascii="Arial" w:cs="Arial" w:eastAsia="Arial" w:hAnsi="Arial"/>
          <w:sz w:val="16"/>
          <w:szCs w:val="16"/>
          <w:color w:val="auto"/>
        </w:rPr>
      </w:pPr>
    </w:p>
    <w:p>
      <w:pPr>
        <w:ind w:right="160" w:firstLine="436"/>
        <w:spacing w:after="0" w:line="259" w:lineRule="auto"/>
        <w:tabs>
          <w:tab w:leader="none" w:pos="69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The Company and the KKR Selling Stockholders shall have requested and caused Simpson Thacher &amp; Bartlett LLP, counsel for the Company and the KKR Selling Stockholders, to furnish to the Representatives an opinion letter and a negative assurance letter, each dated the Closing Date or any settlement date, as the case may be, and in form and substance reasonably satisfactory to the Representatives, as set forth in Exhibit B hereto;</w:t>
      </w:r>
    </w:p>
    <w:p>
      <w:pPr>
        <w:spacing w:after="0" w:line="78" w:lineRule="exact"/>
        <w:rPr>
          <w:rFonts w:ascii="Arial" w:cs="Arial" w:eastAsia="Arial" w:hAnsi="Arial"/>
          <w:sz w:val="18"/>
          <w:szCs w:val="18"/>
          <w:color w:val="auto"/>
        </w:rPr>
      </w:pPr>
    </w:p>
    <w:p>
      <w:pPr>
        <w:ind w:left="440" w:right="280" w:firstLine="419"/>
        <w:spacing w:after="0" w:line="263" w:lineRule="auto"/>
        <w:tabs>
          <w:tab w:leader="none" w:pos="112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Company shall have requested and caused the general counsel of the Company to furnish to the Representatives an opinion letter dated the Closing Date or any settlement date, as the case may be, and otherwise in form and substance reasonably satisfactory to the Representatives, as set forth in Exhibit C hereto; and</w:t>
      </w:r>
    </w:p>
    <w:p>
      <w:pPr>
        <w:spacing w:after="0" w:line="75" w:lineRule="exact"/>
        <w:rPr>
          <w:rFonts w:ascii="Arial" w:cs="Arial" w:eastAsia="Arial" w:hAnsi="Arial"/>
          <w:sz w:val="18"/>
          <w:szCs w:val="18"/>
          <w:color w:val="auto"/>
        </w:rPr>
      </w:pPr>
    </w:p>
    <w:p>
      <w:pPr>
        <w:ind w:left="440" w:right="60" w:firstLine="419"/>
        <w:spacing w:after="0" w:line="263" w:lineRule="auto"/>
        <w:tabs>
          <w:tab w:leader="none" w:pos="117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Gochman Selling Stockholders and the Management Selling Stockholder shall have requested and caused Whalen LLP, counsel for the Management Selling Stockholder, to furnish to the Representatives an opinion letter dated the Closing Date and in form and substance reasonably satisfactory to the Representatives.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30" w:name="page331"/>
    <w:bookmarkEnd w:id="330"/>
    <w:p>
      <w:pPr>
        <w:jc w:val="both"/>
        <w:ind w:right="180" w:firstLine="436"/>
        <w:spacing w:after="0" w:line="259" w:lineRule="auto"/>
        <w:tabs>
          <w:tab w:leader="none" w:pos="685"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Representatives shall have received from Latham &amp; Watkins LLP, counsel for the Underwriters, an opinion letter and negative assurance letter, each dated the Closing Date or any settlement date, as the case may be,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78" w:lineRule="exact"/>
        <w:rPr>
          <w:rFonts w:ascii="Arial" w:cs="Arial" w:eastAsia="Arial" w:hAnsi="Arial"/>
          <w:sz w:val="18"/>
          <w:szCs w:val="18"/>
          <w:color w:val="auto"/>
        </w:rPr>
      </w:pPr>
    </w:p>
    <w:p>
      <w:pPr>
        <w:ind w:right="20" w:firstLine="436"/>
        <w:spacing w:after="0" w:line="257" w:lineRule="auto"/>
        <w:tabs>
          <w:tab w:leader="none" w:pos="69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or any settlement date, as the case may be,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79" w:lineRule="exact"/>
        <w:rPr>
          <w:rFonts w:ascii="Arial" w:cs="Arial" w:eastAsia="Arial" w:hAnsi="Arial"/>
          <w:sz w:val="18"/>
          <w:szCs w:val="18"/>
          <w:color w:val="auto"/>
        </w:rPr>
      </w:pPr>
    </w:p>
    <w:p>
      <w:pPr>
        <w:ind w:left="440" w:firstLine="419"/>
        <w:spacing w:after="0" w:line="257" w:lineRule="auto"/>
        <w:tabs>
          <w:tab w:leader="none" w:pos="1118"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in all material respects (except in the case of Section 1(kk), (ll) and (mm) or to the extent already qualified by materiality, in which case such representations and warranties are true and correct in all respects) at the Execution Time and on the Closing Date or any settlement date, as the case may be, and the Company has complied in all material respects with all the agreements and satisfied all the conditions on its part to be performed or satisfied hereunder at or prior to the Closing Date or any settlement date, as the case may be;</w:t>
      </w:r>
    </w:p>
    <w:p>
      <w:pPr>
        <w:spacing w:after="0" w:line="79" w:lineRule="exact"/>
        <w:rPr>
          <w:rFonts w:ascii="Arial" w:cs="Arial" w:eastAsia="Arial" w:hAnsi="Arial"/>
          <w:sz w:val="18"/>
          <w:szCs w:val="18"/>
          <w:color w:val="auto"/>
        </w:rPr>
      </w:pPr>
    </w:p>
    <w:p>
      <w:pPr>
        <w:ind w:left="440" w:right="120" w:firstLine="419"/>
        <w:spacing w:after="0" w:line="259" w:lineRule="auto"/>
        <w:tabs>
          <w:tab w:leader="none" w:pos="1118" w:val="left"/>
        </w:tabs>
        <w:numPr>
          <w:ilvl w:val="1"/>
          <w:numId w:val="286"/>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78" w:lineRule="exact"/>
        <w:rPr>
          <w:rFonts w:ascii="Arial" w:cs="Arial" w:eastAsia="Arial" w:hAnsi="Arial"/>
          <w:sz w:val="18"/>
          <w:szCs w:val="18"/>
          <w:color w:val="auto"/>
        </w:rPr>
      </w:pPr>
    </w:p>
    <w:p>
      <w:pPr>
        <w:ind w:left="440" w:right="620" w:firstLine="419"/>
        <w:spacing w:after="0" w:line="342" w:lineRule="auto"/>
        <w:tabs>
          <w:tab w:leader="none" w:pos="1118" w:val="left"/>
        </w:tabs>
        <w:numPr>
          <w:ilvl w:val="1"/>
          <w:numId w:val="286"/>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notice objecting to its use has been issued and no proceedings for that purpose or pursuant to Section 8A under the Act have been instituted or, to the Company’s knowledge, threatened.</w:t>
      </w:r>
    </w:p>
    <w:p>
      <w:pPr>
        <w:spacing w:after="0" w:line="15" w:lineRule="exact"/>
        <w:rPr>
          <w:rFonts w:ascii="Arial" w:cs="Arial" w:eastAsia="Arial" w:hAnsi="Arial"/>
          <w:sz w:val="16"/>
          <w:szCs w:val="16"/>
          <w:color w:val="auto"/>
        </w:rPr>
      </w:pPr>
    </w:p>
    <w:p>
      <w:pPr>
        <w:ind w:right="100" w:firstLine="436"/>
        <w:spacing w:after="0" w:line="254" w:lineRule="auto"/>
        <w:tabs>
          <w:tab w:leader="none" w:pos="68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At the Execution Time and at the Closing Date or any settlement date, as the case may be, the Company shall have requested and caused Deloitte &amp; Touche LLP to furnish to the Underwriters a “comfort” letter, dated as of the Execution Time, and a bring-down “comfort letter,” dated as of the Closing Date or any settlement date, as the case may be,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in the Disclosure Package and the Prospectus, including any supplement thereto at the date of the applicable letter.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31" w:name="page332"/>
    <w:bookmarkEnd w:id="331"/>
    <w:p>
      <w:pPr>
        <w:ind w:left="4" w:right="160" w:firstLine="436"/>
        <w:spacing w:after="0" w:line="311" w:lineRule="auto"/>
        <w:tabs>
          <w:tab w:leader="none" w:pos="669" w:val="left"/>
        </w:tabs>
        <w:numPr>
          <w:ilvl w:val="1"/>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the Closing Date or any settlement date, the Underwriters shall receive a written certificate executed by (i) in the case of the KKR Selling Stockholders, the managing member or the general partner of the applicable KKR Selling Stockholder and (ii) in the case of the Gochman Selling Stockholders and the Management Selling Stockholder, an Attorney-in-Fact of such Selling Stockholder, dated as of such date, to the effect that:</w:t>
      </w:r>
    </w:p>
    <w:p>
      <w:pPr>
        <w:spacing w:after="0" w:line="40" w:lineRule="exact"/>
        <w:rPr>
          <w:rFonts w:ascii="Arial" w:cs="Arial" w:eastAsia="Arial" w:hAnsi="Arial"/>
          <w:sz w:val="16"/>
          <w:szCs w:val="16"/>
          <w:color w:val="auto"/>
        </w:rPr>
      </w:pPr>
    </w:p>
    <w:p>
      <w:pPr>
        <w:ind w:left="444" w:right="40" w:firstLine="419"/>
        <w:spacing w:after="0" w:line="311" w:lineRule="auto"/>
        <w:tabs>
          <w:tab w:leader="none" w:pos="1122" w:val="left"/>
        </w:tabs>
        <w:numPr>
          <w:ilvl w:val="2"/>
          <w:numId w:val="287"/>
        </w:numPr>
        <w:rPr>
          <w:rFonts w:ascii="Arial" w:cs="Arial" w:eastAsia="Arial" w:hAnsi="Arial"/>
          <w:sz w:val="16"/>
          <w:szCs w:val="16"/>
          <w:color w:val="auto"/>
        </w:rPr>
      </w:pPr>
      <w:r>
        <w:rPr>
          <w:rFonts w:ascii="Arial" w:cs="Arial" w:eastAsia="Arial" w:hAnsi="Arial"/>
          <w:sz w:val="16"/>
          <w:szCs w:val="16"/>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40" w:lineRule="exact"/>
        <w:rPr>
          <w:rFonts w:ascii="Arial" w:cs="Arial" w:eastAsia="Arial" w:hAnsi="Arial"/>
          <w:sz w:val="16"/>
          <w:szCs w:val="16"/>
          <w:color w:val="auto"/>
        </w:rPr>
      </w:pPr>
    </w:p>
    <w:p>
      <w:pPr>
        <w:ind w:left="444" w:firstLine="419"/>
        <w:spacing w:after="0" w:line="277" w:lineRule="auto"/>
        <w:tabs>
          <w:tab w:leader="none" w:pos="1122" w:val="left"/>
        </w:tabs>
        <w:numPr>
          <w:ilvl w:val="2"/>
          <w:numId w:val="287"/>
        </w:numPr>
        <w:rPr>
          <w:rFonts w:ascii="Arial" w:cs="Arial" w:eastAsia="Arial" w:hAnsi="Arial"/>
          <w:sz w:val="18"/>
          <w:szCs w:val="18"/>
          <w:color w:val="auto"/>
        </w:rPr>
      </w:pPr>
      <w:r>
        <w:rPr>
          <w:rFonts w:ascii="Arial" w:cs="Arial" w:eastAsia="Arial" w:hAnsi="Arial"/>
          <w:sz w:val="18"/>
          <w:szCs w:val="18"/>
          <w:color w:val="auto"/>
        </w:rPr>
        <w:t>the applicable Selling Stockholder has complied in all material respects with all the agreements and satisfied all the conditions on its part to be performed or satisfied at or prior to such date.</w:t>
      </w:r>
    </w:p>
    <w:p>
      <w:pPr>
        <w:spacing w:after="0" w:line="62"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287"/>
        </w:numPr>
        <w:rPr>
          <w:rFonts w:ascii="Arial" w:cs="Arial" w:eastAsia="Arial" w:hAnsi="Arial"/>
          <w:sz w:val="18"/>
          <w:szCs w:val="18"/>
          <w:color w:val="auto"/>
        </w:rPr>
      </w:pPr>
      <w:r>
        <w:rPr>
          <w:rFonts w:ascii="Arial" w:cs="Arial" w:eastAsia="Arial" w:hAnsi="Arial"/>
          <w:sz w:val="18"/>
          <w:szCs w:val="18"/>
          <w:color w:val="auto"/>
        </w:rPr>
        <w:t>On or before the Closing Date, the Gochman Selling Stockholders and the Management Selling Stockholder shall have furnished for review by the Underwriters copies of the Power of Attorney, Stock Power and Custody Agreement, as applicable, and such further information, certificates and documents as the Underwriters may reasonably request.</w:t>
      </w:r>
    </w:p>
    <w:p>
      <w:pPr>
        <w:spacing w:after="0" w:line="75" w:lineRule="exact"/>
        <w:rPr>
          <w:rFonts w:ascii="Arial" w:cs="Arial" w:eastAsia="Arial" w:hAnsi="Arial"/>
          <w:sz w:val="18"/>
          <w:szCs w:val="18"/>
          <w:color w:val="auto"/>
        </w:rPr>
      </w:pPr>
    </w:p>
    <w:p>
      <w:pPr>
        <w:ind w:left="4" w:right="120" w:firstLine="436"/>
        <w:spacing w:after="0" w:line="254" w:lineRule="auto"/>
        <w:tabs>
          <w:tab w:leader="none" w:pos="699"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86" w:lineRule="exact"/>
        <w:rPr>
          <w:rFonts w:ascii="Arial" w:cs="Arial" w:eastAsia="Arial" w:hAnsi="Arial"/>
          <w:sz w:val="18"/>
          <w:szCs w:val="18"/>
          <w:color w:val="auto"/>
        </w:rPr>
      </w:pPr>
    </w:p>
    <w:p>
      <w:pPr>
        <w:ind w:left="4" w:right="220" w:firstLine="436"/>
        <w:spacing w:after="0" w:line="287" w:lineRule="auto"/>
        <w:tabs>
          <w:tab w:leader="none" w:pos="659" w:val="left"/>
        </w:tabs>
        <w:numPr>
          <w:ilvl w:val="1"/>
          <w:numId w:val="287"/>
        </w:numPr>
        <w:rPr>
          <w:rFonts w:ascii="Arial" w:cs="Arial" w:eastAsia="Arial" w:hAnsi="Arial"/>
          <w:sz w:val="16"/>
          <w:szCs w:val="16"/>
          <w:color w:val="auto"/>
        </w:rPr>
      </w:pPr>
      <w:r>
        <w:rPr>
          <w:rFonts w:ascii="Arial" w:cs="Arial" w:eastAsia="Arial" w:hAnsi="Arial"/>
          <w:sz w:val="16"/>
          <w:szCs w:val="16"/>
          <w:color w:val="auto"/>
        </w:rPr>
        <w:t>Subsequent to the earlier of (A) the Execution Time and (B) the execution and delivery of this 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w:t>
      </w:r>
    </w:p>
    <w:p>
      <w:pPr>
        <w:spacing w:after="0" w:line="2" w:lineRule="exact"/>
        <w:rPr>
          <w:rFonts w:ascii="Arial" w:cs="Arial" w:eastAsia="Arial" w:hAnsi="Arial"/>
          <w:sz w:val="16"/>
          <w:szCs w:val="16"/>
          <w:color w:val="auto"/>
        </w:rPr>
      </w:pPr>
    </w:p>
    <w:p>
      <w:pPr>
        <w:ind w:left="4" w:right="160" w:hanging="4"/>
        <w:spacing w:after="0" w:line="255" w:lineRule="auto"/>
        <w:tabs>
          <w:tab w:leader="none" w:pos="26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81" w:lineRule="exact"/>
        <w:rPr>
          <w:rFonts w:ascii="Arial" w:cs="Arial" w:eastAsia="Arial" w:hAnsi="Arial"/>
          <w:sz w:val="18"/>
          <w:szCs w:val="18"/>
          <w:color w:val="auto"/>
        </w:rPr>
      </w:pPr>
    </w:p>
    <w:p>
      <w:pPr>
        <w:ind w:left="4" w:right="280" w:firstLine="436"/>
        <w:spacing w:after="0" w:line="263" w:lineRule="auto"/>
        <w:tabs>
          <w:tab w:leader="none" w:pos="659"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At or prior to the Execution Time, the Selling Stockholders shall have furnished to the Representatives, and the Company shall have caused each executive officer and director of the Company listed on Exhibit A-1 hereto to furnish to the Representatives, a letter addressed to the Representatives substantially in the form of Exhibit A hereto.</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332" w:name="page333"/>
    <w:bookmarkEnd w:id="332"/>
    <w:p>
      <w:pPr>
        <w:ind w:right="180" w:firstLine="436"/>
        <w:spacing w:after="0" w:line="277" w:lineRule="auto"/>
        <w:tabs>
          <w:tab w:leader="none" w:pos="695"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Prior to the Closing Date or any settlement date, as the case may be, the Company shall have taken all action reasonably required to be taken by it to have the Securities declared eligible for clearance and settlement through DTC.</w:t>
      </w:r>
    </w:p>
    <w:p>
      <w:pPr>
        <w:spacing w:after="0" w:line="62" w:lineRule="exact"/>
        <w:rPr>
          <w:rFonts w:ascii="Arial" w:cs="Arial" w:eastAsia="Arial" w:hAnsi="Arial"/>
          <w:sz w:val="18"/>
          <w:szCs w:val="18"/>
          <w:color w:val="auto"/>
        </w:rPr>
      </w:pPr>
    </w:p>
    <w:p>
      <w:pPr>
        <w:ind w:right="400" w:firstLine="436"/>
        <w:spacing w:after="0" w:line="277" w:lineRule="auto"/>
        <w:tabs>
          <w:tab w:leader="none" w:pos="65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Prior to the Closing Date or any settlement date, as the case may be, the Company shall have furnished to the Representatives such further information, certificates and documents as the Representatives may reasonably request.</w:t>
      </w:r>
    </w:p>
    <w:p>
      <w:pPr>
        <w:spacing w:after="0" w:line="170"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124"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The documents required to be delivered by this Section 8 will be available for inspection at the office of Simpson Thacher &amp; Bartlett LLP, at 425 Lexington Avenue, New York, New York 10017, on the Business Day prior to the Closing Date or any settlement date, as the case may be.</w:t>
      </w:r>
    </w:p>
    <w:p>
      <w:pPr>
        <w:spacing w:after="0" w:line="16" w:lineRule="exact"/>
        <w:rPr>
          <w:sz w:val="20"/>
          <w:szCs w:val="20"/>
          <w:color w:val="auto"/>
        </w:rPr>
      </w:pPr>
    </w:p>
    <w:p>
      <w:pPr>
        <w:ind w:right="60" w:firstLine="436"/>
        <w:spacing w:after="0" w:line="293" w:lineRule="auto"/>
        <w:tabs>
          <w:tab w:leader="none" w:pos="62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56" w:lineRule="exact"/>
        <w:rPr>
          <w:rFonts w:ascii="Arial" w:cs="Arial" w:eastAsia="Arial" w:hAnsi="Arial"/>
          <w:sz w:val="16"/>
          <w:szCs w:val="16"/>
          <w:color w:val="auto"/>
        </w:rPr>
      </w:pPr>
    </w:p>
    <w:p>
      <w:pPr>
        <w:ind w:left="700" w:hanging="264"/>
        <w:spacing w:after="0"/>
        <w:tabs>
          <w:tab w:leader="none" w:pos="70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8" w:lineRule="auto"/>
        <w:tabs>
          <w:tab w:leader="none" w:pos="68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the directors, officers, selling agents and Affiliates of each Underwriter and each person who controls any Underwriter within the meaning of either the Act or the Exchange Act and each Selling Stockholder and each person who controls such Selling Stockholder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33" w:name="page334"/>
    <w:bookmarkEnd w:id="333"/>
    <w:p>
      <w:pPr>
        <w:ind w:left="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will not be liable in any such case to the extent that any such loss, claim, damage or liability arises out of or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any such untrue statement or alleged untrue statement or omission or alleged omission made therein in reliance upon and in conformity with</w:t>
      </w:r>
    </w:p>
    <w:p>
      <w:pPr>
        <w:spacing w:after="0" w:line="1" w:lineRule="exact"/>
        <w:rPr>
          <w:sz w:val="20"/>
          <w:szCs w:val="20"/>
          <w:color w:val="auto"/>
        </w:rPr>
      </w:pPr>
    </w:p>
    <w:p>
      <w:pPr>
        <w:ind w:left="4" w:hanging="4"/>
        <w:spacing w:after="0" w:line="288" w:lineRule="auto"/>
        <w:tabs>
          <w:tab w:leader="none" w:pos="25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written information furnished to the Company by or on behalf of any Underwriter through the Representatives specifically for inclusion therein and (y), only with respect to the Company’s indemnification of the Selling Stockholders and each person who controls such Selling Stockholders, the Selling Stockholder Information.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60" w:lineRule="exact"/>
        <w:rPr>
          <w:rFonts w:ascii="Arial" w:cs="Arial" w:eastAsia="Arial" w:hAnsi="Arial"/>
          <w:sz w:val="16"/>
          <w:szCs w:val="16"/>
          <w:color w:val="auto"/>
        </w:rPr>
      </w:pPr>
    </w:p>
    <w:p>
      <w:pPr>
        <w:ind w:left="4" w:firstLine="436"/>
        <w:spacing w:after="0" w:line="287" w:lineRule="auto"/>
        <w:tabs>
          <w:tab w:leader="none" w:pos="699"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Each of the Selling Stockholders, severally, and not jointly, agrees to indemnify and hold harmless (x) each Underwriter, the directors, officers, selling agents and Affiliates of each Underwriter and each person who controls any Underwriter within the meaning of either the Act or the Exchange Act and (y) the Company, each person, if any, who controls the Company within the meaning of either the Act or the Exchange Act, each of directors of the Company who signed the Registration Statement and each of the officers of the Company who signs the Registration Statement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liability under this subsection of each Selling Stockholder shall be limited to an amount equal to the aggregate gross proceeds after underwriting commissions and discounts, but before expenses, to such Selling Stockholder from the sale of Securities sold by such Selling Stockholder hereunder (the “Selling Stockholder Net Proceeds”).</w:t>
      </w:r>
    </w:p>
    <w:p>
      <w:pPr>
        <w:spacing w:after="0" w:line="59" w:lineRule="exact"/>
        <w:rPr>
          <w:rFonts w:ascii="Arial" w:cs="Arial" w:eastAsia="Arial" w:hAnsi="Arial"/>
          <w:sz w:val="16"/>
          <w:szCs w:val="16"/>
          <w:color w:val="auto"/>
        </w:rPr>
      </w:pPr>
    </w:p>
    <w:p>
      <w:pPr>
        <w:ind w:left="4" w:firstLine="436"/>
        <w:spacing w:after="0" w:line="257" w:lineRule="auto"/>
        <w:tabs>
          <w:tab w:leader="none" w:pos="689"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Each Underwriter severally, and not jointly, agrees to indemnify and hold harmless (i) the Company, (ii) each person, if any, who controls (within the meaning of either the Act or the Exchange Act) the Company or any Selling Stockholder, (iii) 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34" w:name="page335"/>
    <w:bookmarkEnd w:id="33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and/or Selling Stockholders by or on behalf of such Underwriter through the Representatives specifically for inclusion in the documents referred to in the foregoing indemnity. This indemnity agreement will be in addition to any liability that any Underwriter may otherwise have. The Company acknowledges that the statements in the Preliminary Prospectus and the Prospectus set forth in the [fifth paragraph, the eleventh paragraph and the twelfth paragraph] under the heading “Underwriting (Conflicts of Interest)”, constitute the only information furnished in writing by or on behalf of the several Underwriters for inclusion in the Registration Statement, Preliminary Prospectus, the Prospectus, any Issuer Free Writing Prospectus or any road show.</w:t>
      </w:r>
    </w:p>
    <w:p>
      <w:pPr>
        <w:spacing w:after="0" w:line="84" w:lineRule="exact"/>
        <w:rPr>
          <w:sz w:val="20"/>
          <w:szCs w:val="20"/>
          <w:color w:val="auto"/>
        </w:rPr>
      </w:pPr>
    </w:p>
    <w:p>
      <w:pPr>
        <w:ind w:firstLine="436"/>
        <w:spacing w:after="0" w:line="267" w:lineRule="auto"/>
        <w:tabs>
          <w:tab w:leader="none" w:pos="69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so to notify the indemnifying party (i) will not relieve it from liability under paragraph (a), (b) or (c) above, as applicable,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as applicable,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for the indemnified person); (ii) such action includes both the indemnified party and the indemnifying party and the indemnified party shall have reasonably concluded (based on the advice of counsel for the indemnified party)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related proceeding in the same jurisdiction, be liable for the reasonable fees and expenses of more than one separate firm (in addition to any local counsel) for all indemnified parties. Any such separate firm for any Underwriters, its Affiliates, directors, selling agents and officers and any control persons of such Underwriters shall be designated in writing by Credit Suisse Securities (USA) LLC and J.P. Morgan Securities LLC and any such separate firm for the indemnified parties referred to in Section 10(c) above shall be designated in writing by the Company. In the event that any Underwriter, its Affiliates, directors, selling agents and officers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35" w:name="page336"/>
    <w:bookmarkEnd w:id="335"/>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Credit Suisse Securities (USA) LLC and J.P. Morgan Securities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58" w:lineRule="exact"/>
        <w:rPr>
          <w:sz w:val="20"/>
          <w:szCs w:val="20"/>
          <w:color w:val="auto"/>
        </w:rPr>
      </w:pPr>
    </w:p>
    <w:p>
      <w:pPr>
        <w:ind w:firstLine="436"/>
        <w:spacing w:after="0" w:line="284" w:lineRule="auto"/>
        <w:tabs>
          <w:tab w:leader="none" w:pos="68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36" w:name="page337"/>
    <w:bookmarkEnd w:id="33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further limited in the manner and to the extent set forth in paragraph 10(b) and in no event shall the aggregate liability of such Selling Stockholder under paragraph 10(b) and this paragraph (e) exceed the Selling Stockholder Net Proceeds.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The Selling Stockholder’s obligations in this Section 10 to contribute are several in proportion to their Selling Stockholder Net Proceeds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and each person, if any, who controls any Selling Stockholder within the meaning of either the Act or the Exchange Act shall have the same rights to contribution as such Selling Stockholder, subject in each case to the applicable terms and conditions of this paragraph (e). Notwithstanding anything to the contrary in this Agreement, the aggregate liability of each Selling Stockholder under the indemnity and contribution agreements contained in this Section 10 shall not exceed the Selling Stockholder Net Proceeds.</w:t>
      </w:r>
    </w:p>
    <w:p>
      <w:pPr>
        <w:spacing w:after="0" w:line="66" w:lineRule="exact"/>
        <w:rPr>
          <w:sz w:val="20"/>
          <w:szCs w:val="20"/>
          <w:color w:val="auto"/>
        </w:rPr>
      </w:pPr>
    </w:p>
    <w:p>
      <w:pPr>
        <w:ind w:right="100" w:firstLine="436"/>
        <w:spacing w:after="0" w:line="269" w:lineRule="auto"/>
        <w:tabs>
          <w:tab w:leader="none" w:pos="703"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in the event that the aggregate amount of the Securities that the defaulting Underwriter or Underwriters agreed but failed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37" w:name="page338"/>
    <w:bookmarkEnd w:id="337"/>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68" w:lineRule="exact"/>
        <w:rPr>
          <w:sz w:val="20"/>
          <w:szCs w:val="20"/>
          <w:color w:val="auto"/>
        </w:rPr>
      </w:pPr>
    </w:p>
    <w:p>
      <w:pPr>
        <w:ind w:left="4" w:firstLine="436"/>
        <w:spacing w:after="0" w:line="284" w:lineRule="auto"/>
        <w:tabs>
          <w:tab w:leader="none" w:pos="714"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w:t>
      </w:r>
    </w:p>
    <w:p>
      <w:pPr>
        <w:spacing w:after="0" w:line="2" w:lineRule="exact"/>
        <w:rPr>
          <w:rFonts w:ascii="Arial" w:cs="Arial" w:eastAsia="Arial" w:hAnsi="Arial"/>
          <w:sz w:val="16"/>
          <w:szCs w:val="16"/>
          <w:color w:val="auto"/>
        </w:rPr>
      </w:pPr>
    </w:p>
    <w:p>
      <w:pPr>
        <w:ind w:left="4" w:right="120" w:hanging="4"/>
        <w:spacing w:after="0" w:line="273" w:lineRule="auto"/>
        <w:tabs>
          <w:tab w:leader="none" w:pos="30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68" w:lineRule="exact"/>
        <w:rPr>
          <w:rFonts w:ascii="Arial" w:cs="Arial" w:eastAsia="Arial" w:hAnsi="Arial"/>
          <w:sz w:val="17"/>
          <w:szCs w:val="17"/>
          <w:color w:val="auto"/>
        </w:rPr>
      </w:pPr>
    </w:p>
    <w:p>
      <w:pPr>
        <w:ind w:left="4" w:right="180" w:firstLine="436"/>
        <w:spacing w:after="0" w:line="275" w:lineRule="auto"/>
        <w:tabs>
          <w:tab w:leader="none" w:pos="714" w:val="left"/>
        </w:tabs>
        <w:numPr>
          <w:ilvl w:val="1"/>
          <w:numId w:val="297"/>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68" w:lineRule="exact"/>
        <w:rPr>
          <w:rFonts w:ascii="Arial" w:cs="Arial" w:eastAsia="Arial" w:hAnsi="Arial"/>
          <w:sz w:val="17"/>
          <w:szCs w:val="17"/>
          <w:color w:val="auto"/>
        </w:rPr>
      </w:pPr>
    </w:p>
    <w:p>
      <w:pPr>
        <w:ind w:left="4" w:right="220" w:firstLine="436"/>
        <w:spacing w:after="0" w:line="254" w:lineRule="auto"/>
        <w:tabs>
          <w:tab w:leader="none" w:pos="714"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c/o Credit Suisse Securities (USA) LLC, Eleven Madison Avenue, New York, NY 10010-3629, Attention: LCD-IBD and c/o J.P. Morgan Securities LLC, 383 Madison Avenue, New York, New York 10179, Attention: IBCM-Legal, if sent to the Company, will be mailed or delivered to Academy Sports and Outdoors, Inc., 1540 North Mason Road, Katy, TX, 77449 Attention: General Counsel; with a copy to Joseph H. Kaufman and Sunny Cheong, Simpson Thacher &amp; Bartlett LLP, at 425 Lexington Avenue, New York, New York (fax no. (212) 455-2502), if to the KKR Selling Stockholders, c/o Kohlberg Kravis Roberts &amp; Co. L.P., 30 Hudson Yards, Suite 7500, New York, NY 10001, with a copy to Joseph H. Kaufman and Sunny Cheong, Simpson Thacher</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38" w:name="page339"/>
    <w:bookmarkEnd w:id="338"/>
    <w:p>
      <w:pPr>
        <w:ind w:left="4" w:right="100" w:hanging="4"/>
        <w:spacing w:after="0" w:line="257" w:lineRule="auto"/>
        <w:tabs>
          <w:tab w:leader="none" w:pos="189"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Bartlett LLP, at 425 Lexington Avenue, New York, New York (fax no. (212) 455-2502), or, if to the Gochman Selling Stockholders and the Management Selling Stockholder, to each of the Attorneys-in Fact named in the Power of Attorney, c/o the Company at the address set forth on the cover of the Registration Statement, Attention: General Counsel with a copy, which shall not constitute notice, to Whalen LLP, 1601 Dove Street, Suite 270, Newport Beach, California 92660. The Company and the Selling Stockholders shall be entitled to act and rely upon any request, consent, notice or agreement given or made on behalf of the Underwriters by the Representatives.</w:t>
      </w:r>
    </w:p>
    <w:p>
      <w:pPr>
        <w:spacing w:after="0" w:line="79" w:lineRule="exact"/>
        <w:rPr>
          <w:rFonts w:ascii="Arial" w:cs="Arial" w:eastAsia="Arial" w:hAnsi="Arial"/>
          <w:sz w:val="18"/>
          <w:szCs w:val="18"/>
          <w:color w:val="auto"/>
        </w:rPr>
      </w:pPr>
    </w:p>
    <w:p>
      <w:pPr>
        <w:ind w:left="704" w:hanging="264"/>
        <w:spacing w:after="0"/>
        <w:tabs>
          <w:tab w:leader="none" w:pos="70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sz w:val="20"/>
          <w:szCs w:val="20"/>
          <w:color w:val="auto"/>
        </w:rPr>
      </w:pPr>
    </w:p>
    <w:p>
      <w:pPr>
        <w:ind w:left="4" w:right="60" w:firstLine="436"/>
        <w:spacing w:after="0" w:line="259" w:lineRule="auto"/>
        <w:tabs>
          <w:tab w:leader="none" w:pos="68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 w:right="20" w:firstLine="436"/>
        <w:spacing w:after="0" w:line="259" w:lineRule="auto"/>
        <w:tabs>
          <w:tab w:leader="none" w:pos="69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4" w:firstLine="436"/>
        <w:spacing w:after="0" w:line="285" w:lineRule="auto"/>
        <w:tabs>
          <w:tab w:leader="none" w:pos="689" w:val="left"/>
        </w:tabs>
        <w:numPr>
          <w:ilvl w:val="1"/>
          <w:numId w:val="299"/>
        </w:numPr>
        <w:rPr>
          <w:rFonts w:ascii="Arial" w:cs="Arial" w:eastAsia="Arial" w:hAnsi="Arial"/>
          <w:sz w:val="16"/>
          <w:szCs w:val="16"/>
          <w:color w:val="auto"/>
        </w:rPr>
      </w:pPr>
      <w:r>
        <w:rPr>
          <w:rFonts w:ascii="Arial" w:cs="Arial" w:eastAsia="Arial" w:hAnsi="Arial"/>
          <w:sz w:val="16"/>
          <w:szCs w:val="16"/>
          <w:color w:val="auto"/>
        </w:rPr>
        <w:t>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1"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77" w:lineRule="exact"/>
        <w:rPr>
          <w:sz w:val="20"/>
          <w:szCs w:val="20"/>
          <w:color w:val="auto"/>
        </w:rPr>
      </w:pPr>
    </w:p>
    <w:p>
      <w:pPr>
        <w:ind w:left="4" w:right="160" w:firstLine="436"/>
        <w:spacing w:after="0" w:line="286" w:lineRule="auto"/>
        <w:tabs>
          <w:tab w:leader="none" w:pos="714"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will inure to the benefit of and be binding upon the parties hereto and their respective successors and the indemnified parties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57" w:lineRule="exact"/>
        <w:rPr>
          <w:rFonts w:ascii="Arial" w:cs="Arial" w:eastAsia="Arial" w:hAnsi="Arial"/>
          <w:sz w:val="17"/>
          <w:szCs w:val="17"/>
          <w:color w:val="auto"/>
        </w:rPr>
      </w:pPr>
    </w:p>
    <w:p>
      <w:pPr>
        <w:ind w:left="4" w:right="200" w:firstLine="436"/>
        <w:spacing w:after="0" w:line="263" w:lineRule="auto"/>
        <w:tabs>
          <w:tab w:leader="none" w:pos="714"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39" w:name="page340"/>
    <w:bookmarkEnd w:id="339"/>
    <w:p>
      <w:pPr>
        <w:ind w:firstLine="436"/>
        <w:spacing w:after="0" w:line="259" w:lineRule="auto"/>
        <w:tabs>
          <w:tab w:leader="none" w:pos="71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78" w:lineRule="exact"/>
        <w:rPr>
          <w:rFonts w:ascii="Arial" w:cs="Arial" w:eastAsia="Arial" w:hAnsi="Arial"/>
          <w:sz w:val="18"/>
          <w:szCs w:val="18"/>
          <w:color w:val="auto"/>
        </w:rPr>
      </w:pPr>
    </w:p>
    <w:p>
      <w:pPr>
        <w:ind w:right="20" w:firstLine="436"/>
        <w:spacing w:after="0" w:line="269" w:lineRule="auto"/>
        <w:tabs>
          <w:tab w:leader="none" w:pos="71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and does not constitute a recommendation, investment advice, or solicitation of any action by the Underwriters,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in connection with such transaction or the process leading thereto. Any review by the Representatives and the other Underwriters of the Company, the Selling Stockholders, the transactions contemplated hereby or other matters relating to such transactions will be performed solely for the benefit of the Underwriters and shall not be on behalf of the Company or the Selling Stockholders.</w:t>
      </w:r>
    </w:p>
    <w:p>
      <w:pPr>
        <w:spacing w:after="0" w:line="70" w:lineRule="exact"/>
        <w:rPr>
          <w:rFonts w:ascii="Arial" w:cs="Arial" w:eastAsia="Arial" w:hAnsi="Arial"/>
          <w:sz w:val="17"/>
          <w:szCs w:val="17"/>
          <w:color w:val="auto"/>
        </w:rPr>
      </w:pPr>
    </w:p>
    <w:p>
      <w:pPr>
        <w:ind w:right="280" w:firstLine="436"/>
        <w:spacing w:after="0" w:line="277" w:lineRule="auto"/>
        <w:tabs>
          <w:tab w:leader="none" w:pos="71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the Selling Stockholders and the Underwriters, or any of them, with respect to the subject matter hereof.</w:t>
      </w:r>
    </w:p>
    <w:p>
      <w:pPr>
        <w:spacing w:after="0" w:line="62" w:lineRule="exact"/>
        <w:rPr>
          <w:rFonts w:ascii="Arial" w:cs="Arial" w:eastAsia="Arial" w:hAnsi="Arial"/>
          <w:sz w:val="18"/>
          <w:szCs w:val="18"/>
          <w:color w:val="auto"/>
        </w:rPr>
      </w:pPr>
    </w:p>
    <w:p>
      <w:pPr>
        <w:ind w:firstLine="436"/>
        <w:spacing w:after="0" w:line="259" w:lineRule="auto"/>
        <w:tabs>
          <w:tab w:leader="none" w:pos="71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78" w:lineRule="exact"/>
        <w:rPr>
          <w:rFonts w:ascii="Arial" w:cs="Arial" w:eastAsia="Arial" w:hAnsi="Arial"/>
          <w:sz w:val="18"/>
          <w:szCs w:val="18"/>
          <w:color w:val="auto"/>
        </w:rPr>
      </w:pPr>
    </w:p>
    <w:p>
      <w:pPr>
        <w:ind w:right="20" w:firstLine="436"/>
        <w:spacing w:after="0" w:line="301" w:lineRule="auto"/>
        <w:tabs>
          <w:tab w:leader="none" w:pos="71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Agreement. Signatures of the parties hereto transmitted by facsimile or electronic format (i.e., “pdf” or “tif”) shall be deemed to be their original signatures for all purposes.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0" w:name="page341"/>
    <w:bookmarkEnd w:id="340"/>
    <w:p>
      <w:pPr>
        <w:ind w:left="4" w:right="40" w:firstLine="436"/>
        <w:spacing w:after="0" w:line="293" w:lineRule="auto"/>
        <w:tabs>
          <w:tab w:leader="none" w:pos="714"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Electronic Signatures</w:t>
      </w:r>
      <w:r>
        <w:rPr>
          <w:rFonts w:ascii="Arial" w:cs="Arial" w:eastAsia="Arial" w:hAnsi="Arial"/>
          <w:sz w:val="16"/>
          <w:szCs w:val="16"/>
          <w:color w:val="auto"/>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56" w:lineRule="exact"/>
        <w:rPr>
          <w:rFonts w:ascii="Arial" w:cs="Arial" w:eastAsia="Arial" w:hAnsi="Arial"/>
          <w:sz w:val="16"/>
          <w:szCs w:val="16"/>
          <w:color w:val="auto"/>
        </w:rPr>
      </w:pPr>
    </w:p>
    <w:p>
      <w:pPr>
        <w:ind w:left="704" w:hanging="264"/>
        <w:spacing w:after="0"/>
        <w:tabs>
          <w:tab w:leader="none" w:pos="704"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“Affiliate” shall have the meaning specified in Rule 501(b) of Regulation 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“Agreement” shall mean this Underwriting Agreement.</w:t>
      </w:r>
    </w:p>
    <w:p>
      <w:pPr>
        <w:spacing w:after="0" w:line="225"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“Disclosure Package” shall mean (i) the Preliminary Prospectus that is generally distributed to investors and used to offer the Securities,</w:t>
      </w:r>
    </w:p>
    <w:p>
      <w:pPr>
        <w:spacing w:after="0" w:line="46" w:lineRule="exact"/>
        <w:rPr>
          <w:sz w:val="20"/>
          <w:szCs w:val="20"/>
          <w:color w:val="auto"/>
        </w:rPr>
      </w:pPr>
    </w:p>
    <w:p>
      <w:pPr>
        <w:ind w:left="4" w:hanging="4"/>
        <w:spacing w:after="0" w:line="255" w:lineRule="auto"/>
        <w:tabs>
          <w:tab w:leader="none" w:pos="26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Issuer Free Writing Prospectuses, if any, and any other information identified in Schedule II hereto (including the pricing information provided orally by the underwriters), and (iii) any other Free Writing Prospectus that the parties hereto shall hereafter expressly agree in writing to treat as part of the Disclosure Package.</w:t>
      </w:r>
    </w:p>
    <w:p>
      <w:pPr>
        <w:spacing w:after="0" w:line="190"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left="4" w:right="780" w:firstLine="991"/>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40" w:lineRule="exact"/>
        <w:rPr>
          <w:sz w:val="20"/>
          <w:szCs w:val="20"/>
          <w:color w:val="auto"/>
        </w:rPr>
      </w:pPr>
    </w:p>
    <w:p>
      <w:pPr>
        <w:ind w:left="984"/>
        <w:spacing w:after="0"/>
        <w:tabs>
          <w:tab w:leader="none" w:pos="3464" w:val="left"/>
          <w:tab w:leader="none" w:pos="4464" w:val="left"/>
        </w:tabs>
        <w:rPr>
          <w:sz w:val="20"/>
          <w:szCs w:val="20"/>
          <w:color w:val="auto"/>
        </w:rPr>
      </w:pPr>
      <w:r>
        <w:rPr>
          <w:rFonts w:ascii="Arial" w:cs="Arial" w:eastAsia="Arial" w:hAnsi="Arial"/>
          <w:sz w:val="18"/>
          <w:szCs w:val="18"/>
          <w:color w:val="auto"/>
        </w:rPr>
        <w:t>“Execution Time” shall mean [</w:t>
        <w:tab/>
        <w:t>] p.m. on [</w:t>
      </w:r>
      <w:r>
        <w:rPr>
          <w:sz w:val="20"/>
          <w:szCs w:val="20"/>
          <w:color w:val="auto"/>
        </w:rPr>
        <w:tab/>
      </w:r>
      <w:r>
        <w:rPr>
          <w:rFonts w:ascii="Arial" w:cs="Arial" w:eastAsia="Arial" w:hAnsi="Arial"/>
          <w:sz w:val="16"/>
          <w:szCs w:val="16"/>
          <w:color w:val="auto"/>
        </w:rPr>
        <w:t>], 2021.</w:t>
      </w:r>
    </w:p>
    <w:p>
      <w:pPr>
        <w:ind w:left="3264"/>
        <w:spacing w:after="0"/>
        <w:rPr>
          <w:sz w:val="20"/>
          <w:szCs w:val="20"/>
          <w:color w:val="auto"/>
        </w:rPr>
      </w:pPr>
      <w:r>
        <w:rPr>
          <w:rFonts w:ascii="Courier New" w:cs="Courier New" w:eastAsia="Courier New" w:hAnsi="Courier New"/>
          <w:sz w:val="6"/>
          <w:szCs w:val="6"/>
          <w:color w:val="auto"/>
        </w:rPr>
        <w:t xml:space="preserve">  </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4"/>
          </w:cols>
          <w:pgMar w:left="436" w:top="274" w:right="519" w:bottom="1440" w:gutter="0" w:footer="0" w:header="0"/>
        </w:sectPr>
      </w:pPr>
    </w:p>
    <w:bookmarkStart w:id="341" w:name="page342"/>
    <w:bookmarkEnd w:id="341"/>
    <w:p>
      <w:pPr>
        <w:ind w:right="8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Company Act” shall mean the Investment Company Act of 1940, as amended, and the rules and regulations of the Commission promulgated thereunder.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25"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“Prospectus” shall mean the prospectus relating to the Securities that is first filed pursuant to Rule 424(b) after the Execution Time.</w:t>
      </w:r>
    </w:p>
    <w:p>
      <w:pPr>
        <w:spacing w:after="0" w:line="23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88"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“Rule 158”, “Rule 163”, “Rule 164”, “Rule 172”, “Rule 405”, “Rule 415”, “Rule 424”, “Rule 430A” and “Rule 433” refer to such rules under the Act.</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70"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“Testing-the-Waters Communication” means any oral or written communication with potential investors in reliance on Rule 163B under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Act.</w:t>
      </w:r>
    </w:p>
    <w:p>
      <w:pPr>
        <w:spacing w:after="0" w:line="21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Act.</w:t>
      </w:r>
    </w:p>
    <w:p>
      <w:pPr>
        <w:spacing w:after="0" w:line="62" w:lineRule="exact"/>
        <w:rPr>
          <w:sz w:val="20"/>
          <w:szCs w:val="20"/>
          <w:color w:val="auto"/>
        </w:rPr>
      </w:pPr>
    </w:p>
    <w:p>
      <w:pPr>
        <w:ind w:right="20" w:firstLine="436"/>
        <w:spacing w:after="0" w:line="254" w:lineRule="auto"/>
        <w:tabs>
          <w:tab w:leader="none" w:pos="71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Allocation of Selling Stockholder Shares</w:t>
      </w:r>
      <w:r>
        <w:rPr>
          <w:rFonts w:ascii="Arial" w:cs="Arial" w:eastAsia="Arial" w:hAnsi="Arial"/>
          <w:sz w:val="18"/>
          <w:szCs w:val="18"/>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342" w:name="page343"/>
    <w:bookmarkEnd w:id="342"/>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Signatures follow</w:t>
      </w:r>
      <w:r>
        <w:rPr>
          <w:rFonts w:ascii="Arial" w:cs="Arial" w:eastAsia="Arial" w:hAnsi="Arial"/>
          <w:sz w:val="18"/>
          <w:szCs w:val="18"/>
          <w:color w:val="auto"/>
        </w:rPr>
        <w: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640"/>
          </w:cols>
          <w:pgMar w:left="440" w:top="274" w:right="819" w:bottom="1440" w:gutter="0" w:footer="0" w:header="0"/>
        </w:sectPr>
      </w:pPr>
    </w:p>
    <w:bookmarkStart w:id="343" w:name="page344"/>
    <w:bookmarkEnd w:id="3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Academy Sports and Outdoors, Inc.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9019"/>
          </w:cols>
          <w:pgMar w:left="1440" w:top="274" w:right="1440" w:bottom="1440" w:gutter="0" w:footer="0" w:header="0"/>
        </w:sectPr>
      </w:pPr>
    </w:p>
    <w:bookmarkStart w:id="344" w:name="page345"/>
    <w:bookmarkEnd w:id="34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On behalf of the Management Selling Stockholder and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Gochman Selling Stockholders: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As Attorney-in-Fact</w:t>
      </w:r>
    </w:p>
    <w:p>
      <w:pPr>
        <w:ind w:left="5980"/>
        <w:spacing w:after="0" w:line="214" w:lineRule="auto"/>
        <w:tabs>
          <w:tab w:leader="none" w:pos="6800" w:val="left"/>
        </w:tabs>
        <w:rPr>
          <w:sz w:val="20"/>
          <w:szCs w:val="20"/>
          <w:color w:val="auto"/>
        </w:rPr>
      </w:pPr>
      <w:r>
        <w:rPr>
          <w:rFonts w:ascii="Arial" w:cs="Arial" w:eastAsia="Arial" w:hAnsi="Arial"/>
          <w:sz w:val="18"/>
          <w:szCs w:val="18"/>
          <w:color w:val="auto"/>
        </w:rPr>
        <w:t>Name: [</w:t>
        <w:tab/>
        <w:t>]</w:t>
      </w:r>
    </w:p>
    <w:p>
      <w:pPr>
        <w:spacing w:after="0" w:line="25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9800"/>
          </w:cols>
          <w:pgMar w:left="1440" w:top="274" w:right="659" w:bottom="1440" w:gutter="0" w:footer="0" w:header="0"/>
        </w:sectPr>
      </w:pPr>
    </w:p>
    <w:bookmarkStart w:id="345" w:name="page346"/>
    <w:bookmarkEnd w:id="34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ALLSTAR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ALLSTAR CO-INVEST BLOCKER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Allstar Co-Invest GP LLC,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KKR 2006 ALLSTAR BLOCKER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KKR 2006 AIV GP LLC, its general partner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9200"/>
          </w:cols>
          <w:pgMar w:left="1440" w:top="274" w:right="1259" w:bottom="1440" w:gutter="0" w:footer="0" w:header="0"/>
        </w:sectPr>
      </w:pPr>
    </w:p>
    <w:bookmarkStart w:id="346" w:name="page347"/>
    <w:bookmarkEnd w:id="34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Agreement is hereby confirmed and accepted as of the date first above written.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 named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 to the foregoing Agreement.</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0019"/>
          </w:cols>
          <w:pgMar w:left="440" w:top="274" w:right="1440" w:bottom="1440" w:gutter="0" w:footer="0" w:header="0"/>
        </w:sectPr>
      </w:pPr>
    </w:p>
    <w:bookmarkStart w:id="347" w:name="page348"/>
    <w:bookmarkEnd w:id="34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Arial" w:cs="Arial" w:eastAsia="Arial" w:hAnsi="Arial"/>
                <w:sz w:val="14"/>
                <w:szCs w:val="14"/>
                <w:color w:val="auto"/>
                <w:w w:val="96"/>
              </w:rPr>
              <w:t>Number of Underwritten Securities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Underwriters</w:t>
            </w:r>
          </w:p>
        </w:tc>
        <w:tc>
          <w:tcPr>
            <w:tcW w:w="7940" w:type="dxa"/>
            <w:vAlign w:val="bottom"/>
          </w:tcPr>
          <w:p>
            <w:pPr>
              <w:spacing w:after="0"/>
              <w:rPr>
                <w:sz w:val="16"/>
                <w:szCs w:val="16"/>
                <w:color w:val="auto"/>
              </w:rPr>
            </w:pPr>
          </w:p>
        </w:tc>
        <w:tc>
          <w:tcPr>
            <w:tcW w:w="2020" w:type="dxa"/>
            <w:vAlign w:val="bottom"/>
          </w:tcPr>
          <w:p>
            <w:pPr>
              <w:jc w:val="right"/>
              <w:ind w:right="313"/>
              <w:spacing w:after="0"/>
              <w:rPr>
                <w:sz w:val="20"/>
                <w:szCs w:val="20"/>
                <w:color w:val="auto"/>
              </w:rPr>
            </w:pPr>
            <w:r>
              <w:rPr>
                <w:rFonts w:ascii="Arial" w:cs="Arial" w:eastAsia="Arial" w:hAnsi="Arial"/>
                <w:sz w:val="14"/>
                <w:szCs w:val="14"/>
                <w:color w:val="auto"/>
              </w:rPr>
              <w:t>to be Purchased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8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Credit Suisse Securities (USA) LLC</w:t>
            </w:r>
          </w:p>
        </w:tc>
        <w:tc>
          <w:tcPr>
            <w:tcW w:w="2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8700" w:type="dxa"/>
            <w:vAlign w:val="bottom"/>
            <w:gridSpan w:val="2"/>
          </w:tcPr>
          <w:p>
            <w:pPr>
              <w:spacing w:after="0" w:line="196" w:lineRule="exact"/>
              <w:rPr>
                <w:sz w:val="20"/>
                <w:szCs w:val="20"/>
                <w:color w:val="auto"/>
              </w:rPr>
            </w:pPr>
            <w:r>
              <w:rPr>
                <w:rFonts w:ascii="Arial" w:cs="Arial" w:eastAsia="Arial" w:hAnsi="Arial"/>
                <w:sz w:val="18"/>
                <w:szCs w:val="18"/>
                <w:color w:val="auto"/>
              </w:rPr>
              <w:t>J.P. Morgan Securities LLC</w:t>
            </w: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KKR Capital Markets LLC</w:t>
            </w:r>
          </w:p>
        </w:tc>
        <w:tc>
          <w:tcPr>
            <w:tcW w:w="2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   ]</w:t>
            </w:r>
          </w:p>
        </w:tc>
        <w:tc>
          <w:tcPr>
            <w:tcW w:w="2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70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Total</w:t>
            </w:r>
          </w:p>
        </w:tc>
        <w:tc>
          <w:tcPr>
            <w:tcW w:w="2320" w:type="dxa"/>
            <w:vAlign w:val="bottom"/>
            <w:gridSpan w:val="3"/>
            <w:shd w:val="clear" w:color="auto" w:fill="CCEEFF"/>
          </w:tcPr>
          <w:p>
            <w:pPr>
              <w:jc w:val="right"/>
              <w:spacing w:after="0" w:line="195" w:lineRule="exact"/>
              <w:rPr>
                <w:sz w:val="20"/>
                <w:szCs w:val="20"/>
                <w:color w:val="auto"/>
              </w:rPr>
            </w:pPr>
            <w:r>
              <w:rPr>
                <w:rFonts w:ascii="Arial" w:cs="Arial" w:eastAsia="Arial" w:hAnsi="Arial"/>
                <w:sz w:val="22"/>
                <w:szCs w:val="22"/>
                <w:color w:val="auto"/>
                <w:vertAlign w:val="superscript"/>
              </w:rPr>
              <w:t>[   ]</w:t>
            </w:r>
          </w:p>
        </w:tc>
        <w:tc>
          <w:tcPr>
            <w:tcW w:w="20" w:type="dxa"/>
            <w:vAlign w:val="bottom"/>
          </w:tcPr>
          <w:p>
            <w:pPr>
              <w:spacing w:after="0"/>
              <w:rPr>
                <w:sz w:val="18"/>
                <w:szCs w:val="18"/>
                <w:color w:val="auto"/>
              </w:rPr>
            </w:pPr>
          </w:p>
        </w:tc>
      </w:tr>
    </w:tbl>
    <w:p>
      <w:pPr>
        <w:sectPr>
          <w:pgSz w:w="11900" w:h="16838" w:orient="portrait"/>
          <w:cols w:equalWidth="0" w:num="1">
            <w:col w:w="11020"/>
          </w:cols>
          <w:pgMar w:left="440" w:top="274" w:right="43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I(B)</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4080" w:type="dxa"/>
            <w:vAlign w:val="bottom"/>
            <w:gridSpan w:val="3"/>
          </w:tcPr>
          <w:p>
            <w:pPr>
              <w:spacing w:after="0"/>
              <w:rPr>
                <w:sz w:val="20"/>
                <w:szCs w:val="20"/>
                <w:color w:val="auto"/>
              </w:rPr>
            </w:pPr>
            <w:r>
              <w:rPr>
                <w:rFonts w:ascii="Arial" w:cs="Arial" w:eastAsia="Arial" w:hAnsi="Arial"/>
                <w:sz w:val="14"/>
                <w:szCs w:val="14"/>
                <w:color w:val="auto"/>
              </w:rPr>
              <w:t>Selling Stockholders</w:t>
            </w:r>
          </w:p>
        </w:tc>
        <w:tc>
          <w:tcPr>
            <w:tcW w:w="3400" w:type="dxa"/>
            <w:vAlign w:val="bottom"/>
            <w:gridSpan w:val="3"/>
          </w:tcPr>
          <w:p>
            <w:pPr>
              <w:jc w:val="center"/>
              <w:ind w:left="1652"/>
              <w:spacing w:after="0"/>
              <w:rPr>
                <w:sz w:val="20"/>
                <w:szCs w:val="20"/>
                <w:color w:val="auto"/>
              </w:rPr>
            </w:pPr>
            <w:r>
              <w:rPr>
                <w:rFonts w:ascii="Arial" w:cs="Arial" w:eastAsia="Arial" w:hAnsi="Arial"/>
                <w:sz w:val="14"/>
                <w:szCs w:val="14"/>
                <w:color w:val="auto"/>
                <w:w w:val="91"/>
              </w:rPr>
              <w:t>Number of Shares to be Sold</w:t>
            </w:r>
          </w:p>
        </w:tc>
      </w:tr>
      <w:tr>
        <w:trPr>
          <w:trHeight w:val="209"/>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Allstar LLC</w:t>
            </w:r>
          </w:p>
        </w:tc>
        <w:tc>
          <w:tcPr>
            <w:tcW w:w="288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line="196" w:lineRule="exact"/>
              <w:rPr>
                <w:sz w:val="20"/>
                <w:szCs w:val="20"/>
                <w:color w:val="auto"/>
              </w:rPr>
            </w:pPr>
            <w:r>
              <w:rPr>
                <w:rFonts w:ascii="Arial" w:cs="Arial" w:eastAsia="Arial" w:hAnsi="Arial"/>
                <w:sz w:val="18"/>
                <w:szCs w:val="18"/>
                <w:color w:val="auto"/>
              </w:rPr>
              <w:t>Allstar Co-Invest Blocker L.P.</w:t>
            </w: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ind w:right="550"/>
              <w:spacing w:after="0" w:line="19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KKR 2006 Allstar Blocker L.P.</w:t>
            </w:r>
          </w:p>
        </w:tc>
        <w:tc>
          <w:tcPr>
            <w:tcW w:w="2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3"/>
          </w:tcPr>
          <w:p>
            <w:pPr>
              <w:spacing w:after="0" w:line="196" w:lineRule="exact"/>
              <w:rPr>
                <w:sz w:val="20"/>
                <w:szCs w:val="20"/>
                <w:color w:val="auto"/>
              </w:rPr>
            </w:pPr>
            <w:r>
              <w:rPr>
                <w:rFonts w:ascii="Arial" w:cs="Arial" w:eastAsia="Arial" w:hAnsi="Arial"/>
                <w:sz w:val="18"/>
                <w:szCs w:val="18"/>
                <w:color w:val="auto"/>
              </w:rPr>
              <w:t>MSI 2011 LLC</w:t>
            </w: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ind w:right="550"/>
              <w:spacing w:after="0" w:line="19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MG Family Limited Partnership</w:t>
            </w:r>
          </w:p>
        </w:tc>
        <w:tc>
          <w:tcPr>
            <w:tcW w:w="2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3"/>
          </w:tcPr>
          <w:p>
            <w:pPr>
              <w:spacing w:after="0" w:line="196" w:lineRule="exact"/>
              <w:rPr>
                <w:sz w:val="20"/>
                <w:szCs w:val="20"/>
                <w:color w:val="auto"/>
              </w:rPr>
            </w:pPr>
            <w:r>
              <w:rPr>
                <w:rFonts w:ascii="Arial" w:cs="Arial" w:eastAsia="Arial" w:hAnsi="Arial"/>
                <w:sz w:val="18"/>
                <w:szCs w:val="18"/>
                <w:color w:val="auto"/>
              </w:rPr>
              <w:t>Michelle Gloeckler</w:t>
            </w: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ind w:right="550"/>
              <w:spacing w:after="0" w:line="19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2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rPr>
              <w:t>]</w:t>
            </w:r>
          </w:p>
        </w:tc>
      </w:tr>
    </w:tbl>
    <w:p>
      <w:pPr>
        <w:sectPr>
          <w:pgSz w:w="11900" w:h="16838" w:orient="portrait"/>
          <w:cols w:equalWidth="0" w:num="1">
            <w:col w:w="9019"/>
          </w:cols>
          <w:pgMar w:left="1440" w:top="274" w:right="1440" w:bottom="1440" w:gutter="0" w:footer="0" w:header="0"/>
        </w:sectPr>
      </w:pPr>
    </w:p>
    <w:bookmarkStart w:id="349" w:name="page350"/>
    <w:bookmarkEnd w:id="349"/>
    <w:p>
      <w:pPr>
        <w:ind w:left="4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131" w:lineRule="exact"/>
        <w:rPr>
          <w:sz w:val="20"/>
          <w:szCs w:val="20"/>
          <w:color w:val="auto"/>
        </w:rPr>
      </w:pPr>
    </w:p>
    <w:p>
      <w:pPr>
        <w:ind w:left="960" w:hanging="424"/>
        <w:spacing w:after="0"/>
        <w:tabs>
          <w:tab w:leader="none" w:pos="9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Pricing information provided orally by Underwriters</w:t>
      </w:r>
    </w:p>
    <w:p>
      <w:pPr>
        <w:spacing w:after="0" w:line="100" w:lineRule="exact"/>
        <w:rPr>
          <w:sz w:val="20"/>
          <w:szCs w:val="20"/>
          <w:color w:val="auto"/>
        </w:rPr>
      </w:pPr>
    </w:p>
    <w:p>
      <w:pPr>
        <w:ind w:left="540"/>
        <w:spacing w:after="0"/>
        <w:tabs>
          <w:tab w:leader="none" w:pos="940" w:val="left"/>
          <w:tab w:leader="none" w:pos="3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Number of Underwritten Securities: [</w:t>
      </w:r>
      <w:r>
        <w:rPr>
          <w:sz w:val="20"/>
          <w:szCs w:val="20"/>
          <w:color w:val="auto"/>
        </w:rPr>
        <w:tab/>
      </w:r>
      <w:r>
        <w:rPr>
          <w:rFonts w:ascii="Arial" w:cs="Arial" w:eastAsia="Arial" w:hAnsi="Arial"/>
          <w:sz w:val="16"/>
          <w:szCs w:val="16"/>
          <w:color w:val="auto"/>
        </w:rPr>
        <w:t>] shares of Common Stock</w:t>
      </w:r>
    </w:p>
    <w:p>
      <w:pPr>
        <w:spacing w:after="0" w:line="131" w:lineRule="exact"/>
        <w:rPr>
          <w:sz w:val="20"/>
          <w:szCs w:val="20"/>
          <w:color w:val="auto"/>
        </w:rPr>
      </w:pPr>
    </w:p>
    <w:p>
      <w:pPr>
        <w:ind w:left="540"/>
        <w:spacing w:after="0"/>
        <w:tabs>
          <w:tab w:leader="none" w:pos="940" w:val="left"/>
          <w:tab w:leader="none" w:pos="3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Number of Option Securities: [</w:t>
      </w:r>
      <w:r>
        <w:rPr>
          <w:sz w:val="20"/>
          <w:szCs w:val="20"/>
          <w:color w:val="auto"/>
        </w:rPr>
        <w:tab/>
      </w:r>
      <w:r>
        <w:rPr>
          <w:rFonts w:ascii="Arial" w:cs="Arial" w:eastAsia="Arial" w:hAnsi="Arial"/>
          <w:sz w:val="16"/>
          <w:szCs w:val="16"/>
          <w:color w:val="auto"/>
        </w:rPr>
        <w:t>] shares of Common Stock</w:t>
      </w:r>
    </w:p>
    <w:p>
      <w:pPr>
        <w:spacing w:after="0" w:line="131" w:lineRule="exact"/>
        <w:rPr>
          <w:sz w:val="20"/>
          <w:szCs w:val="20"/>
          <w:color w:val="auto"/>
        </w:rPr>
      </w:pPr>
    </w:p>
    <w:p>
      <w:pPr>
        <w:ind w:left="540"/>
        <w:spacing w:after="0"/>
        <w:tabs>
          <w:tab w:leader="none" w:pos="940" w:val="left"/>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 $[</w:t>
      </w:r>
      <w:r>
        <w:rPr>
          <w:sz w:val="20"/>
          <w:szCs w:val="20"/>
          <w:color w:val="auto"/>
        </w:rPr>
        <w:tab/>
      </w:r>
      <w:r>
        <w:rPr>
          <w:rFonts w:ascii="Arial" w:cs="Arial" w:eastAsia="Arial" w:hAnsi="Arial"/>
          <w:sz w:val="15"/>
          <w:szCs w:val="15"/>
          <w:color w:val="auto"/>
        </w:rPr>
        <w:t>] per share</w:t>
      </w:r>
    </w:p>
    <w:p>
      <w:pPr>
        <w:sectPr>
          <w:pgSz w:w="11900" w:h="16838" w:orient="portrait"/>
          <w:cols w:equalWidth="0" w:num="1">
            <w:col w:w="10019"/>
          </w:cols>
          <w:pgMar w:left="440" w:top="274" w:right="1440" w:bottom="1440" w:gutter="0" w:footer="0" w:header="0"/>
        </w:sectPr>
      </w:pPr>
    </w:p>
    <w:bookmarkStart w:id="350" w:name="page351"/>
    <w:bookmarkEnd w:id="350"/>
    <w:p>
      <w:pPr>
        <w:jc w:val="center"/>
        <w:ind w:right="-9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13"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Significant 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ACADEMY, LTD</w:t>
      </w:r>
    </w:p>
    <w:p>
      <w:pPr>
        <w:sectPr>
          <w:pgSz w:w="11900" w:h="16838" w:orient="portrait"/>
          <w:cols w:equalWidth="0" w:num="1">
            <w:col w:w="10019"/>
          </w:cols>
          <w:pgMar w:left="440" w:top="267" w:right="1440" w:bottom="1440" w:gutter="0" w:footer="0" w:header="0"/>
        </w:sectPr>
      </w:pPr>
    </w:p>
    <w:bookmarkStart w:id="351" w:name="page352"/>
    <w:bookmarkEnd w:id="351"/>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Lock-Up Agreement</w:t>
      </w:r>
      <w:r>
        <w:rPr>
          <w:sz w:val="20"/>
          <w:szCs w:val="20"/>
          <w:color w:val="auto"/>
        </w:rPr>
        <w:tab/>
      </w:r>
      <w:r>
        <w:rPr>
          <w:rFonts w:ascii="Arial" w:cs="Arial" w:eastAsia="Arial" w:hAnsi="Arial"/>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Public Offering of Common Stock</w:t>
      </w:r>
    </w:p>
    <w:p>
      <w:pPr>
        <w:spacing w:after="0" w:line="180" w:lineRule="exact"/>
        <w:rPr>
          <w:sz w:val="20"/>
          <w:szCs w:val="20"/>
          <w:color w:val="auto"/>
        </w:rPr>
      </w:pPr>
    </w:p>
    <w:p>
      <w:pPr>
        <w:jc w:val="both"/>
        <w:ind w:left="10200"/>
        <w:spacing w:after="0"/>
        <w:tabs>
          <w:tab w:leader="none" w:pos="10480" w:val="left"/>
        </w:tabs>
        <w:rPr>
          <w:sz w:val="20"/>
          <w:szCs w:val="20"/>
          <w:color w:val="auto"/>
        </w:rPr>
      </w:pPr>
      <w:r>
        <w:rPr>
          <w:rFonts w:ascii="Arial" w:cs="Arial" w:eastAsia="Arial" w:hAnsi="Arial"/>
          <w:sz w:val="18"/>
          <w:szCs w:val="18"/>
          <w:color w:val="auto"/>
        </w:rPr>
        <w:t>[</w:t>
        <w:tab/>
        <w:t>],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10010-3629</w:t>
      </w:r>
    </w:p>
    <w:p>
      <w:pPr>
        <w:spacing w:after="0" w:line="200" w:lineRule="exact"/>
        <w:rPr>
          <w:sz w:val="20"/>
          <w:szCs w:val="20"/>
          <w:color w:val="auto"/>
        </w:rPr>
      </w:pPr>
    </w:p>
    <w:p>
      <w:pPr>
        <w:sectPr>
          <w:pgSz w:w="11900" w:h="16838" w:orient="portrait"/>
          <w:cols w:equalWidth="0" w:num="2">
            <w:col w:w="220" w:space="200"/>
            <w:col w:w="10600"/>
          </w:cols>
          <w:pgMar w:left="440" w:top="270" w:right="4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10179</w:t>
      </w:r>
    </w:p>
    <w:p>
      <w:pPr>
        <w:spacing w:after="0" w:line="200" w:lineRule="exact"/>
        <w:rPr>
          <w:sz w:val="20"/>
          <w:szCs w:val="20"/>
          <w:color w:val="auto"/>
        </w:rPr>
      </w:pPr>
    </w:p>
    <w:p>
      <w:pPr>
        <w:sectPr>
          <w:pgSz w:w="11900" w:h="16838" w:orient="portrait"/>
          <w:cols w:equalWidth="0" w:num="2">
            <w:col w:w="220" w:space="200"/>
            <w:col w:w="10600"/>
          </w:cols>
          <w:pgMar w:left="440" w:top="270"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This letter agreement (this “Letter Agreement”) is being delivered to you in connection with the proposed Underwriting Agreement (the “Underwriting Agreement”), among Academy Sports and Outdoors, Inc., a Delaware corporation (the “Company”), the selling stockholders named on Schedule I(B) thereto (collectively, the “Selling Stockholders”) and each of you as representatives of a group of Underwriters named therein, relating to an underwritten public offering of Common Stock, $0.01 par value (the “Common Stock”), of the Company (the “Offering”).</w:t>
      </w:r>
    </w:p>
    <w:p>
      <w:pPr>
        <w:spacing w:after="0" w:line="171" w:lineRule="exact"/>
        <w:rPr>
          <w:sz w:val="20"/>
          <w:szCs w:val="20"/>
          <w:color w:val="auto"/>
        </w:rPr>
      </w:pPr>
    </w:p>
    <w:p>
      <w:pPr>
        <w:ind w:right="260" w:firstLine="440"/>
        <w:spacing w:after="0" w:line="291" w:lineRule="auto"/>
        <w:rPr>
          <w:sz w:val="20"/>
          <w:szCs w:val="20"/>
          <w:color w:val="auto"/>
        </w:rPr>
      </w:pPr>
      <w:r>
        <w:rPr>
          <w:rFonts w:ascii="Arial" w:cs="Arial" w:eastAsia="Arial" w:hAnsi="Arial"/>
          <w:sz w:val="16"/>
          <w:szCs w:val="16"/>
          <w:color w:val="auto"/>
        </w:rPr>
        <w:t>In order to induce you and the other Underwriters to enter into the Underwriting Agreement, the undersigned will not, without the prior written consent of Credit Suisse Securities (USA) LLC and J.P. Morgan Securities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 - 1</w:t>
      </w:r>
    </w:p>
    <w:p>
      <w:pPr>
        <w:sectPr>
          <w:pgSz w:w="11900" w:h="16838" w:orient="portrait"/>
          <w:cols w:equalWidth="0" w:num="1">
            <w:col w:w="11020"/>
          </w:cols>
          <w:pgMar w:left="440" w:top="270" w:right="439" w:bottom="1440" w:gutter="0" w:footer="0" w:header="0"/>
          <w:type w:val="continuous"/>
        </w:sectPr>
      </w:pPr>
    </w:p>
    <w:bookmarkStart w:id="352" w:name="page353"/>
    <w:bookmarkEnd w:id="352"/>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[90]</w:t>
      </w:r>
      <w:r>
        <w:rPr>
          <w:rFonts w:ascii="Arial" w:cs="Arial" w:eastAsia="Arial" w:hAnsi="Arial"/>
          <w:sz w:val="13"/>
          <w:szCs w:val="13"/>
          <w:color w:val="auto"/>
        </w:rPr>
        <w:t>1</w:t>
      </w:r>
      <w:r>
        <w:rPr>
          <w:rFonts w:ascii="Arial" w:cs="Arial" w:eastAsia="Arial" w:hAnsi="Arial"/>
          <w:sz w:val="16"/>
          <w:szCs w:val="16"/>
          <w:color w:val="auto"/>
        </w:rPr>
        <w:t xml:space="preserve"> days after the date of the Underwriting Agreement (the “lock-up period”). Capitalized terms used but not defined herein shall have the meanings assigned thereto in the Underwriting Agreement.</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foregoing restrictions shall not apply:</w:t>
      </w:r>
    </w:p>
    <w:p>
      <w:pPr>
        <w:spacing w:after="0" w:line="131" w:lineRule="exact"/>
        <w:rPr>
          <w:sz w:val="20"/>
          <w:szCs w:val="20"/>
          <w:color w:val="auto"/>
        </w:rPr>
      </w:pPr>
    </w:p>
    <w:p>
      <w:pPr>
        <w:ind w:left="964" w:hanging="532"/>
        <w:spacing w:after="0"/>
        <w:tabs>
          <w:tab w:leader="none" w:pos="96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130" w:lineRule="exact"/>
        <w:rPr>
          <w:rFonts w:ascii="Arial" w:cs="Arial" w:eastAsia="Arial" w:hAnsi="Arial"/>
          <w:sz w:val="18"/>
          <w:szCs w:val="18"/>
          <w:color w:val="auto"/>
        </w:rPr>
      </w:pPr>
    </w:p>
    <w:p>
      <w:pPr>
        <w:ind w:left="964" w:right="540" w:hanging="532"/>
        <w:spacing w:after="0" w:line="308" w:lineRule="auto"/>
        <w:tabs>
          <w:tab w:leader="none" w:pos="96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51" w:lineRule="exact"/>
        <w:rPr>
          <w:rFonts w:ascii="Arial" w:cs="Arial" w:eastAsia="Arial" w:hAnsi="Arial"/>
          <w:sz w:val="17"/>
          <w:szCs w:val="17"/>
          <w:color w:val="auto"/>
        </w:rPr>
      </w:pPr>
    </w:p>
    <w:p>
      <w:pPr>
        <w:ind w:left="964" w:hanging="532"/>
        <w:spacing w:after="0" w:line="301" w:lineRule="auto"/>
        <w:tabs>
          <w:tab w:leader="none" w:pos="96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that controls or manages, or is controlled or managed by, or is under common control or management with, the undersigned;</w:t>
      </w:r>
    </w:p>
    <w:p>
      <w:pPr>
        <w:spacing w:after="0" w:line="75" w:lineRule="exact"/>
        <w:rPr>
          <w:rFonts w:ascii="Arial" w:cs="Arial" w:eastAsia="Arial" w:hAnsi="Arial"/>
          <w:sz w:val="18"/>
          <w:szCs w:val="18"/>
          <w:color w:val="auto"/>
        </w:rPr>
      </w:pPr>
    </w:p>
    <w:p>
      <w:pPr>
        <w:ind w:left="964" w:right="800" w:hanging="532"/>
        <w:spacing w:after="0" w:line="277" w:lineRule="auto"/>
        <w:tabs>
          <w:tab w:leader="none" w:pos="96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75" w:lineRule="exact"/>
        <w:rPr>
          <w:rFonts w:ascii="Arial" w:cs="Arial" w:eastAsia="Arial" w:hAnsi="Arial"/>
          <w:sz w:val="18"/>
          <w:szCs w:val="18"/>
          <w:color w:val="auto"/>
        </w:rPr>
      </w:pPr>
    </w:p>
    <w:p>
      <w:pPr>
        <w:ind w:left="964" w:right="40" w:hanging="532"/>
        <w:spacing w:after="0" w:line="255" w:lineRule="auto"/>
        <w:tabs>
          <w:tab w:leader="none" w:pos="96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transfers to the Company (1) pursuant to the exercise, in each case on a “cashless” or “net exercise” basis,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where any Shares received by the undersigned upon any such exercise, vesting or settlement will be subject to the terms of this lock-up agreement, or (2) for the purpose of satisfying any withholding taxes (including estimated taxes) due as a result of the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044" w:right="2520" w:hanging="5044"/>
        <w:spacing w:after="0" w:line="454" w:lineRule="auto"/>
        <w:tabs>
          <w:tab w:leader="none" w:pos="440" w:val="left"/>
        </w:tabs>
        <w:numPr>
          <w:ilvl w:val="0"/>
          <w:numId w:val="308"/>
        </w:numPr>
        <w:rPr>
          <w:rFonts w:ascii="Arial" w:cs="Arial" w:eastAsia="Arial" w:hAnsi="Arial"/>
          <w:sz w:val="15"/>
          <w:szCs w:val="15"/>
          <w:color w:val="auto"/>
        </w:rPr>
      </w:pPr>
      <w:r>
        <w:rPr>
          <w:rFonts w:ascii="Arial" w:cs="Arial" w:eastAsia="Arial" w:hAnsi="Arial"/>
          <w:sz w:val="18"/>
          <w:szCs w:val="18"/>
          <w:b w:val="1"/>
          <w:bCs w:val="1"/>
          <w:color w:val="auto"/>
        </w:rPr>
        <w:t xml:space="preserve">Note to form: </w:t>
      </w:r>
      <w:r>
        <w:rPr>
          <w:rFonts w:ascii="Arial" w:cs="Arial" w:eastAsia="Arial" w:hAnsi="Arial"/>
          <w:sz w:val="18"/>
          <w:szCs w:val="18"/>
          <w:color w:val="auto"/>
        </w:rPr>
        <w:t>60 days for executive officers of the Company other than Ken C. Hicks and Michael P. Mullican.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 - 2</w:t>
      </w:r>
    </w:p>
    <w:p>
      <w:pPr>
        <w:sectPr>
          <w:pgSz w:w="11900" w:h="16838" w:orient="portrait"/>
          <w:cols w:equalWidth="0" w:num="1">
            <w:col w:w="11004"/>
          </w:cols>
          <w:pgMar w:left="436" w:top="274" w:right="459" w:bottom="1440" w:gutter="0" w:footer="0" w:header="0"/>
        </w:sectPr>
      </w:pPr>
    </w:p>
    <w:bookmarkStart w:id="353" w:name="page354"/>
    <w:bookmarkEnd w:id="353"/>
    <w:p>
      <w:pPr>
        <w:ind w:left="560"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in each case on a “cashless” or “net exercise” basis, where any Shares received by the undersigned upon any such exercise, vesting or settlement will be subject to the terms of this lock-up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70" w:lineRule="exact"/>
        <w:rPr>
          <w:sz w:val="20"/>
          <w:szCs w:val="20"/>
          <w:color w:val="auto"/>
        </w:rPr>
      </w:pPr>
    </w:p>
    <w:p>
      <w:pPr>
        <w:ind w:left="540" w:right="100" w:hanging="532"/>
        <w:spacing w:after="0" w:line="273" w:lineRule="auto"/>
        <w:tabs>
          <w:tab w:leader="none" w:pos="5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83" w:lineRule="exact"/>
        <w:rPr>
          <w:rFonts w:ascii="Arial" w:cs="Arial" w:eastAsia="Arial" w:hAnsi="Arial"/>
          <w:sz w:val="17"/>
          <w:szCs w:val="17"/>
          <w:color w:val="auto"/>
        </w:rPr>
      </w:pPr>
    </w:p>
    <w:p>
      <w:pPr>
        <w:ind w:left="540" w:hanging="532"/>
        <w:spacing w:after="0" w:line="259"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92" w:lineRule="exact"/>
        <w:rPr>
          <w:rFonts w:ascii="Arial" w:cs="Arial" w:eastAsia="Arial" w:hAnsi="Arial"/>
          <w:sz w:val="18"/>
          <w:szCs w:val="18"/>
          <w:color w:val="auto"/>
        </w:rPr>
      </w:pPr>
    </w:p>
    <w:p>
      <w:pPr>
        <w:ind w:left="540" w:right="380" w:hanging="532"/>
        <w:spacing w:after="0" w:line="277"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130" w:lineRule="exact"/>
        <w:rPr>
          <w:rFonts w:ascii="Arial" w:cs="Arial" w:eastAsia="Arial" w:hAnsi="Arial"/>
          <w:sz w:val="18"/>
          <w:szCs w:val="18"/>
          <w:color w:val="auto"/>
        </w:rPr>
      </w:pPr>
    </w:p>
    <w:p>
      <w:pPr>
        <w:ind w:left="540" w:right="20" w:hanging="532"/>
        <w:spacing w:after="0" w:line="271" w:lineRule="auto"/>
        <w:tabs>
          <w:tab w:leader="none" w:pos="5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to transfers in response to a bona fide third party tender offer, merger, consolidation or other similar transaction made to or with all holders of Shares or related Securities involving a “change of control” (as defined below) of the Company occurring after the consummation of the Offering, that has been approved by the board of directors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tender offer, merger, consolidation or other such transaction is not completed, the undersigned’s Shares shall remain subject to the terms of this Letter Agreement. For purposes of this clause (xii), “change of control” means the consummation of any bona fide third party tender offer, merger, consolidation or other similar transaction the result of which is that any “person” (as defined in Section 13 (d)(3) of the Exchange Act), or group of persons, other than the Company, becomes the beneficial owner (as defined in Rules 13d-3 and 13d-5 of the Exchange Act) of at least 51% of total voting power of the voting stock of the Company;</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Exhibit A - 3</w:t>
      </w:r>
    </w:p>
    <w:p>
      <w:pPr>
        <w:sectPr>
          <w:pgSz w:w="11900" w:h="16838" w:orient="portrait"/>
          <w:cols w:equalWidth="0" w:num="1">
            <w:col w:w="10580"/>
          </w:cols>
          <w:pgMar w:left="860" w:top="274" w:right="459" w:bottom="1440" w:gutter="0" w:footer="0" w:header="0"/>
        </w:sectPr>
      </w:pPr>
    </w:p>
    <w:bookmarkStart w:id="354" w:name="page355"/>
    <w:bookmarkEnd w:id="354"/>
    <w:p>
      <w:pPr>
        <w:ind w:left="960" w:right="660" w:hanging="532"/>
        <w:spacing w:after="0" w:line="342" w:lineRule="auto"/>
        <w:tabs>
          <w:tab w:leader="none" w:pos="9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entry into a written plan meeting the requirements of Rule 10b5-l under the Exchange Act for the transfer of Shares or Related Securities that does not in any case provide for the transfer of Shares or Related Securities during the lock-up period; or</w:t>
      </w:r>
    </w:p>
    <w:p>
      <w:pPr>
        <w:spacing w:after="0" w:line="29" w:lineRule="exact"/>
        <w:rPr>
          <w:rFonts w:ascii="Arial" w:cs="Arial" w:eastAsia="Arial" w:hAnsi="Arial"/>
          <w:sz w:val="16"/>
          <w:szCs w:val="16"/>
          <w:color w:val="auto"/>
        </w:rPr>
      </w:pPr>
    </w:p>
    <w:p>
      <w:pPr>
        <w:ind w:left="960" w:right="20" w:hanging="532"/>
        <w:spacing w:after="0" w:line="293" w:lineRule="auto"/>
        <w:tabs>
          <w:tab w:leader="none" w:pos="9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any sales in open market transactions to generate such amount of net proceeds to the undersigned from such sales (after deducting commissions) in an aggregate amount up to the total amount of (i) the exercise price and/or (ii) taxes or estimated taxes (as applicable) that become due as a result of (A) the exercise of options held by the undersigned and/or (B) the vesting and/or settlement of restricted stock awards or restricted stock units held by the undersigned, in each case, issued pursuant to any incentive plans or otherwise pursuant to equity compensation plans or arrangements described in or filed as an exhibit to the registration statement with respect to the Offering and that are exercisable and/or scheduled to vest and/or settle immediately prior to or during the lock-up.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w:t>
      </w:r>
    </w:p>
    <w:p>
      <w:pPr>
        <w:spacing w:after="0" w:line="131" w:lineRule="exact"/>
        <w:rPr>
          <w:sz w:val="20"/>
          <w:szCs w:val="20"/>
          <w:color w:val="auto"/>
        </w:rPr>
      </w:pPr>
    </w:p>
    <w:p>
      <w:pPr>
        <w:ind w:left="960" w:right="100" w:hanging="532"/>
        <w:spacing w:after="0" w:line="273" w:lineRule="auto"/>
        <w:tabs>
          <w:tab w:leader="none" w:pos="9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clauses (ii) through (vi) above, it shall be a condition to such transfer that each transferee executes and delivers to Credit Suisse Securities (USA) LLC and J.P. Morgan Securities LLC an agreement in form and substance satisfactory to Credit Suisse Securities (USA) LLC and J.P. Morgan Securities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83" w:lineRule="exact"/>
        <w:rPr>
          <w:rFonts w:ascii="Arial" w:cs="Arial" w:eastAsia="Arial" w:hAnsi="Arial"/>
          <w:sz w:val="17"/>
          <w:szCs w:val="17"/>
          <w:color w:val="auto"/>
        </w:rPr>
      </w:pPr>
    </w:p>
    <w:p>
      <w:pPr>
        <w:ind w:left="960" w:right="320" w:hanging="532"/>
        <w:spacing w:after="0" w:line="259" w:lineRule="auto"/>
        <w:tabs>
          <w:tab w:leader="none" w:pos="9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18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Notwithstanding anything to the contrary in this agreement, the restrictions set forth in this Letter Agreement shall not apply to the exercise of any right with respect to a registration of any Shares or Related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the undersigned’s Shares or Related Securities proposed to be registered pursuant to the exercise of such rights under this paragraph shall occur, and no registration statement shall be publicly filed or announced, during the lock-up period. In addition, the undersigned agrees and consents to the entry of stop transfer instructions with the Company’s transfer agent and registrar against the transfer of the undersigned’s Shares or Related Securities except in compliance with the foregoing restrictions.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- 4</w:t>
      </w:r>
    </w:p>
    <w:p>
      <w:pPr>
        <w:sectPr>
          <w:pgSz w:w="11900" w:h="16838" w:orient="portrait"/>
          <w:cols w:equalWidth="0" w:num="1">
            <w:col w:w="11000"/>
          </w:cols>
          <w:pgMar w:left="440" w:top="274" w:right="459" w:bottom="1440" w:gutter="0" w:footer="0" w:header="0"/>
        </w:sectPr>
      </w:pPr>
    </w:p>
    <w:bookmarkStart w:id="355" w:name="page356"/>
    <w:bookmarkEnd w:id="355"/>
    <w:p>
      <w:pPr>
        <w:ind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 or any Underwriter is making such a recommendation.</w:t>
      </w:r>
    </w:p>
    <w:p>
      <w:pPr>
        <w:spacing w:after="0" w:line="16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the agreement set forth above shall likewise be terminated.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 very truly,</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[Name and address of officer, director or stockholder]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- 5</w:t>
      </w:r>
    </w:p>
    <w:p>
      <w:pPr>
        <w:sectPr>
          <w:pgSz w:w="11900" w:h="16838" w:orient="portrait"/>
          <w:cols w:equalWidth="0" w:num="1">
            <w:col w:w="11020"/>
          </w:cols>
          <w:pgMar w:left="440" w:top="274" w:right="4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Lock-Up Parties</w:t>
      </w:r>
    </w:p>
    <w:p>
      <w:pPr>
        <w:sectPr>
          <w:pgSz w:w="11900" w:h="16838" w:orient="portrait"/>
          <w:cols w:equalWidth="0" w:num="1">
            <w:col w:w="11020"/>
          </w:cols>
          <w:pgMar w:left="440" w:top="274" w:right="439" w:bottom="1440" w:gutter="0" w:footer="0" w:header="0"/>
        </w:sectPr>
      </w:pPr>
    </w:p>
    <w:bookmarkStart w:id="357" w:name="page358"/>
    <w:bookmarkEnd w:id="357"/>
    <w:p>
      <w:pPr>
        <w:spacing w:after="0"/>
        <w:tabs>
          <w:tab w:leader="none" w:pos="9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Waiver of Lock-Up</w:t>
      </w:r>
      <w:r>
        <w:rPr>
          <w:sz w:val="20"/>
          <w:szCs w:val="20"/>
          <w:color w:val="auto"/>
        </w:rPr>
        <w:tab/>
      </w:r>
      <w:r>
        <w:rPr>
          <w:rFonts w:ascii="Arial" w:cs="Arial" w:eastAsia="Arial" w:hAnsi="Arial"/>
          <w:sz w:val="18"/>
          <w:szCs w:val="18"/>
          <w:color w:val="auto"/>
        </w:rPr>
        <w:t>ADDENDUM</w:t>
      </w:r>
    </w:p>
    <w:p>
      <w:pPr>
        <w:spacing w:after="0" w:line="22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Public Offering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7" w:lineRule="exact"/>
        <w:rPr>
          <w:sz w:val="20"/>
          <w:szCs w:val="20"/>
          <w:color w:val="auto"/>
        </w:rPr>
      </w:pPr>
    </w:p>
    <w:p>
      <w:pPr>
        <w:ind w:right="260" w:firstLine="440"/>
        <w:spacing w:after="0"/>
        <w:rPr>
          <w:sz w:val="20"/>
          <w:szCs w:val="20"/>
          <w:color w:val="auto"/>
        </w:rPr>
      </w:pPr>
      <w:r>
        <w:rPr>
          <w:rFonts w:ascii="Arial" w:cs="Arial" w:eastAsia="Arial" w:hAnsi="Arial"/>
          <w:sz w:val="17"/>
          <w:szCs w:val="17"/>
          <w:color w:val="auto"/>
        </w:rPr>
        <w:t>This letter is being delivered to you in connection with the offering by Academy Sports and Outdoors, Inc., a Delaware corporation (the “Company”) of [ ] shares of Common Stock, $0.01 par value (the “Common Stock”), of the Company and the lock-up letter dated [ ], 2021 (the</w:t>
      </w:r>
    </w:p>
    <w:p>
      <w:pPr>
        <w:spacing w:after="0" w:line="1" w:lineRule="exact"/>
        <w:rPr>
          <w:sz w:val="20"/>
          <w:szCs w:val="20"/>
          <w:color w:val="auto"/>
        </w:rPr>
      </w:pPr>
    </w:p>
    <w:p>
      <w:pPr>
        <w:ind w:left="1260"/>
        <w:spacing w:after="0"/>
        <w:rPr>
          <w:sz w:val="20"/>
          <w:szCs w:val="20"/>
          <w:color w:val="auto"/>
        </w:rPr>
      </w:pPr>
      <w:r>
        <w:rPr>
          <w:rFonts w:ascii="Courier New" w:cs="Courier New" w:eastAsia="Courier New" w:hAnsi="Courier New"/>
          <w:sz w:val="6"/>
          <w:szCs w:val="6"/>
          <w:color w:val="auto"/>
        </w:rPr>
        <w:t xml:space="preserve">  </w:t>
      </w:r>
    </w:p>
    <w:p>
      <w:pPr>
        <w:spacing w:after="0" w:line="185" w:lineRule="auto"/>
        <w:tabs>
          <w:tab w:leader="none" w:pos="8700" w:val="left"/>
          <w:tab w:leader="none" w:pos="9340" w:val="left"/>
          <w:tab w:leader="none" w:pos="10920" w:val="left"/>
        </w:tabs>
        <w:rPr>
          <w:sz w:val="20"/>
          <w:szCs w:val="20"/>
          <w:color w:val="auto"/>
        </w:rPr>
      </w:pPr>
      <w:r>
        <w:rPr>
          <w:rFonts w:ascii="Arial" w:cs="Arial" w:eastAsia="Arial" w:hAnsi="Arial"/>
          <w:sz w:val="17"/>
          <w:szCs w:val="17"/>
          <w:color w:val="auto"/>
        </w:rPr>
        <w:t>“Lock-up Letter”), executed by you in connection with such offering, and your request for a [waiver] [release] dated [</w:t>
      </w:r>
      <w:r>
        <w:rPr>
          <w:sz w:val="20"/>
          <w:szCs w:val="20"/>
          <w:color w:val="auto"/>
        </w:rPr>
        <w:tab/>
      </w:r>
      <w:r>
        <w:rPr>
          <w:rFonts w:ascii="Arial" w:cs="Arial" w:eastAsia="Arial" w:hAnsi="Arial"/>
          <w:sz w:val="18"/>
          <w:szCs w:val="18"/>
          <w:color w:val="auto"/>
        </w:rPr>
        <w:t>], 20[</w:t>
        <w:tab/>
        <w:t>], with respect to [</w:t>
        <w:tab/>
        <w:t>]</w:t>
      </w:r>
    </w:p>
    <w:p>
      <w:pPr>
        <w:spacing w:after="0" w:line="1" w:lineRule="exact"/>
        <w:rPr>
          <w:sz w:val="20"/>
          <w:szCs w:val="20"/>
          <w:color w:val="auto"/>
        </w:rPr>
      </w:pPr>
    </w:p>
    <w:p>
      <w:pPr>
        <w:ind w:left="8520"/>
        <w:spacing w:after="0"/>
        <w:rPr>
          <w:sz w:val="20"/>
          <w:szCs w:val="20"/>
          <w:color w:val="auto"/>
        </w:rPr>
      </w:pPr>
      <w:r>
        <w:rPr>
          <w:rFonts w:ascii="Courier New" w:cs="Courier New" w:eastAsia="Courier New" w:hAnsi="Courier New"/>
          <w:sz w:val="6"/>
          <w:szCs w:val="6"/>
          <w:color w:val="auto"/>
        </w:rPr>
        <w:t xml:space="preserve">  </w:t>
      </w:r>
    </w:p>
    <w:p>
      <w:pPr>
        <w:spacing w:after="0"/>
        <w:rPr>
          <w:sz w:val="20"/>
          <w:szCs w:val="20"/>
          <w:color w:val="auto"/>
        </w:rPr>
      </w:pPr>
      <w:r>
        <w:rPr>
          <w:rFonts w:ascii="Arial" w:cs="Arial" w:eastAsia="Arial" w:hAnsi="Arial"/>
          <w:sz w:val="18"/>
          <w:szCs w:val="18"/>
          <w:color w:val="auto"/>
        </w:rPr>
        <w:t>shares of Common Stock (the “Shares”).</w:t>
      </w:r>
    </w:p>
    <w:p>
      <w:pPr>
        <w:spacing w:after="0" w:line="209" w:lineRule="exact"/>
        <w:rPr>
          <w:sz w:val="20"/>
          <w:szCs w:val="20"/>
          <w:color w:val="auto"/>
        </w:rPr>
      </w:pPr>
    </w:p>
    <w:p>
      <w:pPr>
        <w:ind w:right="420" w:firstLine="440"/>
        <w:spacing w:after="0" w:line="227" w:lineRule="auto"/>
        <w:rPr>
          <w:sz w:val="20"/>
          <w:szCs w:val="20"/>
          <w:color w:val="auto"/>
        </w:rPr>
      </w:pPr>
      <w:r>
        <w:rPr>
          <w:rFonts w:ascii="Arial" w:cs="Arial" w:eastAsia="Arial" w:hAnsi="Arial"/>
          <w:sz w:val="18"/>
          <w:szCs w:val="18"/>
          <w:color w:val="auto"/>
        </w:rPr>
        <w:t>Credit Suisse Securities (USA) LLC and J.P. Morgan Securities LLC hereby agree to [waive] [release] the transfer restrictions set forth in the Lock-up Letter, but only with respect to the Shares, effective [ ], 20[ ].</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6"/>
          <w:szCs w:val="6"/>
          <w:color w:val="auto"/>
        </w:rPr>
        <w:t xml:space="preserve">  </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Credit Suisse Securities (USA) LLC and J.P. Morgan</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ectPr>
          <w:pgSz w:w="11900" w:h="16838" w:orient="portrait"/>
          <w:cols w:equalWidth="0" w:num="1">
            <w:col w:w="11020"/>
          </w:cols>
          <w:pgMar w:left="440" w:top="270" w:right="439" w:bottom="1440" w:gutter="0" w:footer="0" w:header="0"/>
        </w:sectPr>
      </w:pPr>
    </w:p>
    <w:bookmarkStart w:id="358" w:name="page359"/>
    <w:bookmarkEnd w:id="358"/>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STB Opinion and Negative Assurance Letter</w:t>
      </w:r>
      <w:r>
        <w:rPr>
          <w:sz w:val="20"/>
          <w:szCs w:val="20"/>
          <w:color w:val="auto"/>
        </w:rPr>
        <w:tab/>
      </w:r>
      <w:r>
        <w:rPr>
          <w:rFonts w:ascii="Arial" w:cs="Arial" w:eastAsia="Arial" w:hAnsi="Arial"/>
          <w:sz w:val="18"/>
          <w:szCs w:val="18"/>
          <w:color w:val="auto"/>
        </w:rPr>
        <w:t>EXHIBIT B</w:t>
      </w:r>
    </w:p>
    <w:p>
      <w:pPr>
        <w:sectPr>
          <w:pgSz w:w="11900" w:h="16838" w:orient="portrait"/>
          <w:cols w:equalWidth="0" w:num="1">
            <w:col w:w="11020"/>
          </w:cols>
          <w:pgMar w:left="440" w:top="270" w:right="4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See Attached</w:t>
      </w:r>
      <w:r>
        <w:rPr>
          <w:rFonts w:ascii="Arial" w:cs="Arial" w:eastAsia="Arial" w:hAnsi="Arial"/>
          <w:sz w:val="16"/>
          <w:szCs w:val="16"/>
          <w:color w:val="auto"/>
        </w:rPr>
        <w:t>]</w:t>
      </w:r>
    </w:p>
    <w:p>
      <w:pPr>
        <w:sectPr>
          <w:pgSz w:w="11900" w:h="16838" w:orient="portrait"/>
          <w:cols w:equalWidth="0" w:num="1">
            <w:col w:w="11020"/>
          </w:cols>
          <w:pgMar w:left="440" w:top="270" w:right="439" w:bottom="1440" w:gutter="0" w:footer="0" w:header="0"/>
          <w:type w:val="continuous"/>
        </w:sectPr>
      </w:pPr>
    </w:p>
    <w:bookmarkStart w:id="359" w:name="page360"/>
    <w:bookmarkEnd w:id="359"/>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General Counsel Opinion</w:t>
      </w:r>
      <w:r>
        <w:rPr>
          <w:sz w:val="20"/>
          <w:szCs w:val="20"/>
          <w:color w:val="auto"/>
        </w:rPr>
        <w:tab/>
      </w:r>
      <w:r>
        <w:rPr>
          <w:rFonts w:ascii="Arial" w:cs="Arial" w:eastAsia="Arial" w:hAnsi="Arial"/>
          <w:sz w:val="18"/>
          <w:szCs w:val="18"/>
          <w:color w:val="auto"/>
        </w:rPr>
        <w:t>EXHIBIT C</w:t>
      </w:r>
    </w:p>
    <w:p>
      <w:pPr>
        <w:sectPr>
          <w:pgSz w:w="11900" w:h="16838" w:orient="portrait"/>
          <w:cols w:equalWidth="0" w:num="1">
            <w:col w:w="11020"/>
          </w:cols>
          <w:pgMar w:left="440" w:top="270" w:right="4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See Attached</w:t>
      </w:r>
      <w:r>
        <w:rPr>
          <w:rFonts w:ascii="Arial" w:cs="Arial" w:eastAsia="Arial" w:hAnsi="Arial"/>
          <w:sz w:val="16"/>
          <w:szCs w:val="16"/>
          <w:color w:val="auto"/>
        </w:rPr>
        <w:t>]</w:t>
      </w:r>
    </w:p>
    <w:p>
      <w:pPr>
        <w:sectPr>
          <w:pgSz w:w="11900" w:h="16838" w:orient="portrait"/>
          <w:cols w:equalWidth="0" w:num="1">
            <w:col w:w="11020"/>
          </w:cols>
          <w:pgMar w:left="440" w:top="270" w:right="439" w:bottom="1440" w:gutter="0" w:footer="0" w:header="0"/>
          <w:type w:val="continuous"/>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Simpson Thacher &amp; Bartlett </w:t>
      </w:r>
      <w:r>
        <w:rPr>
          <w:rFonts w:ascii="Arial" w:cs="Arial" w:eastAsia="Arial" w:hAnsi="Arial"/>
          <w:sz w:val="14"/>
          <w:szCs w:val="14"/>
          <w:color w:val="auto"/>
        </w:rPr>
        <w:t>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4"/>
          <w:szCs w:val="14"/>
          <w:color w:val="auto"/>
        </w:rPr>
        <w:t>LEXINGTON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w:t>
      </w:r>
      <w:r>
        <w:rPr>
          <w:rFonts w:ascii="Arial" w:cs="Arial" w:eastAsia="Arial" w:hAnsi="Arial"/>
          <w:sz w:val="17"/>
          <w:szCs w:val="17"/>
          <w:color w:val="auto"/>
        </w:rPr>
        <w:t>,</w:t>
      </w:r>
      <w:r>
        <w:rPr>
          <w:rFonts w:ascii="Arial" w:cs="Arial" w:eastAsia="Arial" w:hAnsi="Arial"/>
          <w:sz w:val="15"/>
          <w:szCs w:val="15"/>
          <w:color w:val="auto"/>
        </w:rPr>
        <w:t xml:space="preserve"> NY </w:t>
      </w:r>
      <w:r>
        <w:rPr>
          <w:rFonts w:ascii="Arial" w:cs="Arial" w:eastAsia="Arial" w:hAnsi="Arial"/>
          <w:sz w:val="17"/>
          <w:szCs w:val="17"/>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TELEPHONE</w:t>
      </w:r>
      <w:r>
        <w:rPr>
          <w:rFonts w:ascii="Arial" w:cs="Arial" w:eastAsia="Arial" w:hAnsi="Arial"/>
          <w:sz w:val="17"/>
          <w:szCs w:val="17"/>
          <w:color w:val="auto"/>
        </w:rPr>
        <w:t>: +1-212-455-2000</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FACSIMILE</w:t>
      </w:r>
      <w:r>
        <w:rPr>
          <w:rFonts w:ascii="Arial" w:cs="Arial" w:eastAsia="Arial" w:hAnsi="Arial"/>
          <w:sz w:val="17"/>
          <w:szCs w:val="17"/>
          <w:color w:val="auto"/>
        </w:rPr>
        <w:t>: +1-212-455-2502</w:t>
      </w:r>
    </w:p>
    <w:p>
      <w:pPr>
        <w:spacing w:after="0" w:line="249"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Direct Dial Number</w:t>
      </w:r>
      <w:r>
        <w:rPr>
          <w:sz w:val="20"/>
          <w:szCs w:val="20"/>
          <w:color w:val="auto"/>
        </w:rPr>
        <w:tab/>
      </w:r>
      <w:r>
        <w:rPr>
          <w:rFonts w:ascii="Arial" w:cs="Arial" w:eastAsia="Arial" w:hAnsi="Arial"/>
          <w:sz w:val="16"/>
          <w:szCs w:val="16"/>
          <w:color w:val="auto"/>
        </w:rPr>
        <w:t>E-mail Address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1800 North Mason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Katy, Texas 77449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counsel to Academy Sports and Outdoors,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Statement on Form S-1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the Company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relating to the sale by the selling stockholders referred to in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(the “</w:t>
      </w:r>
      <w:r>
        <w:rPr>
          <w:rFonts w:ascii="Arial" w:cs="Arial" w:eastAsia="Arial" w:hAnsi="Arial"/>
          <w:sz w:val="16"/>
          <w:szCs w:val="16"/>
          <w:u w:val="single" w:color="auto"/>
          <w:color w:val="auto"/>
        </w:rPr>
        <w:t>Selling Stockholders</w:t>
      </w:r>
      <w:r>
        <w:rPr>
          <w:rFonts w:ascii="Arial" w:cs="Arial" w:eastAsia="Arial" w:hAnsi="Arial"/>
          <w:sz w:val="16"/>
          <w:szCs w:val="16"/>
          <w:color w:val="auto"/>
        </w:rPr>
        <w:t>”) of up to an aggregate of 13,800,000 shares of common stock, par value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(together with any additional shares of such Common Stock that may be sold by the Selling Stockholders pursuant to Rule 462(b)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prescribed by the Commission pursuant to the Act) in connection with the offering described in the Registration Statement,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361" w:name="page362"/>
    <w:bookmarkEnd w:id="361"/>
    <w:p>
      <w:pPr>
        <w:spacing w:after="0"/>
        <w:tabs>
          <w:tab w:leader="none" w:pos="5580" w:val="left"/>
          <w:tab w:leader="none" w:pos="9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Academy Sports and Outdoors,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January 25, 2021</w:t>
      </w:r>
    </w:p>
    <w:p>
      <w:pPr>
        <w:spacing w:after="0" w:line="15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have examined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the Shares have been validly issued and are fully paid and nonassessable.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included in the Registration Statement.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SIMPSON THACHER &amp; BARTLETT LLP</w:t>
      </w:r>
    </w:p>
    <w:p>
      <w:pPr>
        <w:sectPr>
          <w:pgSz w:w="11900" w:h="16838" w:orient="portrait"/>
          <w:cols w:equalWidth="0" w:num="1">
            <w:col w:w="11020"/>
          </w:cols>
          <w:pgMar w:left="440" w:top="274" w:right="4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10.5</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LIEN SHARING AND PRIORITY CONFIRMATION JOINDER</w:t>
      </w:r>
    </w:p>
    <w:p>
      <w:pPr>
        <w:spacing w:after="0" w:line="229" w:lineRule="exact"/>
        <w:rPr>
          <w:sz w:val="20"/>
          <w:szCs w:val="20"/>
          <w:color w:val="auto"/>
        </w:rPr>
      </w:pPr>
    </w:p>
    <w:p>
      <w:pPr>
        <w:ind w:left="4" w:right="60" w:firstLine="991"/>
        <w:spacing w:after="0" w:line="273" w:lineRule="auto"/>
        <w:rPr>
          <w:sz w:val="20"/>
          <w:szCs w:val="20"/>
          <w:color w:val="auto"/>
        </w:rPr>
      </w:pPr>
      <w:r>
        <w:rPr>
          <w:rFonts w:ascii="Arial" w:cs="Arial" w:eastAsia="Arial" w:hAnsi="Arial"/>
          <w:sz w:val="17"/>
          <w:szCs w:val="17"/>
          <w:color w:val="auto"/>
        </w:rPr>
        <w:t>Reference is made to the ABL Intercreditor Agreement, dated as of July 2, 2015 (as amended, supplemented, amended and restated or otherwise modified and in effect from time to time, the “</w:t>
      </w:r>
      <w:r>
        <w:rPr>
          <w:rFonts w:ascii="Arial" w:cs="Arial" w:eastAsia="Arial" w:hAnsi="Arial"/>
          <w:sz w:val="17"/>
          <w:szCs w:val="17"/>
          <w:b w:val="1"/>
          <w:bCs w:val="1"/>
          <w:i w:val="1"/>
          <w:iCs w:val="1"/>
          <w:color w:val="auto"/>
        </w:rPr>
        <w:t>ABL Intercreditor Agreement</w:t>
      </w:r>
      <w:r>
        <w:rPr>
          <w:rFonts w:ascii="Arial" w:cs="Arial" w:eastAsia="Arial" w:hAnsi="Arial"/>
          <w:sz w:val="17"/>
          <w:szCs w:val="17"/>
          <w:color w:val="auto"/>
        </w:rPr>
        <w:t>”), among JPMorgan Chase Bank, N.A., as ABL Agent for the ABL Secured Parties referred to therein; Morgan Stanley Senior Funding, Inc., as Original Term Loan Agent for the Term Loan Secured Parties referred to therein; each Additional Debt Agent for the Additional Debt Secured Parties referred to therein; Associated Investors L.L.C. and Academy Managing CO., as Texas Intermediate Holdcos (the “</w:t>
      </w:r>
      <w:r>
        <w:rPr>
          <w:rFonts w:ascii="Arial" w:cs="Arial" w:eastAsia="Arial" w:hAnsi="Arial"/>
          <w:sz w:val="17"/>
          <w:szCs w:val="17"/>
          <w:b w:val="1"/>
          <w:bCs w:val="1"/>
          <w:i w:val="1"/>
          <w:iCs w:val="1"/>
          <w:color w:val="auto"/>
        </w:rPr>
        <w:t>Texas Intermediate Holdcos</w:t>
      </w:r>
      <w:r>
        <w:rPr>
          <w:rFonts w:ascii="Arial" w:cs="Arial" w:eastAsia="Arial" w:hAnsi="Arial"/>
          <w:sz w:val="17"/>
          <w:szCs w:val="17"/>
          <w:color w:val="auto"/>
        </w:rPr>
        <w:t>”); New Academy Holding Company, LLC as Holdings (“</w:t>
      </w:r>
      <w:r>
        <w:rPr>
          <w:rFonts w:ascii="Arial" w:cs="Arial" w:eastAsia="Arial" w:hAnsi="Arial"/>
          <w:sz w:val="17"/>
          <w:szCs w:val="17"/>
          <w:b w:val="1"/>
          <w:bCs w:val="1"/>
          <w:i w:val="1"/>
          <w:iCs w:val="1"/>
          <w:color w:val="auto"/>
        </w:rPr>
        <w:t>Holdings</w:t>
      </w:r>
      <w:r>
        <w:rPr>
          <w:rFonts w:ascii="Arial" w:cs="Arial" w:eastAsia="Arial" w:hAnsi="Arial"/>
          <w:sz w:val="17"/>
          <w:szCs w:val="17"/>
          <w:color w:val="auto"/>
        </w:rPr>
        <w:t>”); Academy, Ltd., as the Borrower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and the Subsidiaries of the Borrower party thereto.</w:t>
      </w:r>
    </w:p>
    <w:p>
      <w:pPr>
        <w:spacing w:after="0" w:line="178" w:lineRule="exact"/>
        <w:rPr>
          <w:sz w:val="20"/>
          <w:szCs w:val="20"/>
          <w:color w:val="auto"/>
        </w:rPr>
      </w:pPr>
    </w:p>
    <w:p>
      <w:pPr>
        <w:jc w:val="both"/>
        <w:ind w:left="4" w:right="460" w:firstLine="991"/>
        <w:spacing w:after="0" w:line="259" w:lineRule="auto"/>
        <w:rPr>
          <w:sz w:val="20"/>
          <w:szCs w:val="20"/>
          <w:color w:val="auto"/>
        </w:rPr>
      </w:pPr>
      <w:r>
        <w:rPr>
          <w:rFonts w:ascii="Arial" w:cs="Arial" w:eastAsia="Arial" w:hAnsi="Arial"/>
          <w:sz w:val="18"/>
          <w:szCs w:val="18"/>
          <w:color w:val="auto"/>
        </w:rPr>
        <w:t xml:space="preserve">Capitalized terms used but not otherwise defined herein shall have meaning set forth in the ABL Intercreditor Agreement. This Lien Sharing and Priority Confirmation Joinder is being executed and delivered pursuant to </w:t>
      </w:r>
      <w:r>
        <w:rPr>
          <w:rFonts w:ascii="Arial" w:cs="Arial" w:eastAsia="Arial" w:hAnsi="Arial"/>
          <w:sz w:val="18"/>
          <w:szCs w:val="18"/>
          <w:u w:val="single" w:color="auto"/>
          <w:color w:val="auto"/>
        </w:rPr>
        <w:t>Section 2.10(b)(ii)</w:t>
      </w:r>
      <w:r>
        <w:rPr>
          <w:rFonts w:ascii="Arial" w:cs="Arial" w:eastAsia="Arial" w:hAnsi="Arial"/>
          <w:sz w:val="18"/>
          <w:szCs w:val="18"/>
          <w:color w:val="auto"/>
        </w:rPr>
        <w:t xml:space="preserve"> of the ABL Intercreditor Agreement as a condition precedent to the debt for which the undersigned is acting as representative being entitled to the rights and obligations of being additional secured debt under the ABL Intercreditor Agreement.</w:t>
      </w:r>
    </w:p>
    <w:p>
      <w:pPr>
        <w:spacing w:after="0" w:line="92" w:lineRule="exact"/>
        <w:rPr>
          <w:sz w:val="20"/>
          <w:szCs w:val="20"/>
          <w:color w:val="auto"/>
        </w:rPr>
      </w:pPr>
    </w:p>
    <w:p>
      <w:pPr>
        <w:ind w:left="424" w:right="20" w:hanging="424"/>
        <w:spacing w:after="0" w:line="263" w:lineRule="auto"/>
        <w:tabs>
          <w:tab w:leader="none" w:pos="424"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Joinder</w:t>
      </w:r>
      <w:r>
        <w:rPr>
          <w:rFonts w:ascii="Arial" w:cs="Arial" w:eastAsia="Arial" w:hAnsi="Arial"/>
          <w:sz w:val="18"/>
          <w:szCs w:val="18"/>
          <w:color w:val="auto"/>
        </w:rPr>
        <w:t>. The undersigned, The Bank of New York Mellon Trust Company, N.A. (the “</w:t>
      </w:r>
      <w:r>
        <w:rPr>
          <w:rFonts w:ascii="Arial" w:cs="Arial" w:eastAsia="Arial" w:hAnsi="Arial"/>
          <w:sz w:val="18"/>
          <w:szCs w:val="18"/>
          <w:b w:val="1"/>
          <w:bCs w:val="1"/>
          <w:i w:val="1"/>
          <w:iCs w:val="1"/>
          <w:color w:val="auto"/>
        </w:rPr>
        <w:t>New Representative</w:t>
      </w:r>
      <w:r>
        <w:rPr>
          <w:rFonts w:ascii="Arial" w:cs="Arial" w:eastAsia="Arial" w:hAnsi="Arial"/>
          <w:sz w:val="18"/>
          <w:szCs w:val="18"/>
          <w:color w:val="auto"/>
        </w:rPr>
        <w:t>”), as trustee and collateral agent under that certain Indenture, dated as of the date hereof, among the Borrower, as Issuer, Holdings and the Texas Intermediate Holdcos, as Guarantors and the New Representative, hereby:</w:t>
      </w:r>
    </w:p>
    <w:p>
      <w:pPr>
        <w:spacing w:after="0" w:line="89" w:lineRule="exact"/>
        <w:rPr>
          <w:rFonts w:ascii="Arial" w:cs="Arial" w:eastAsia="Arial" w:hAnsi="Arial"/>
          <w:sz w:val="18"/>
          <w:szCs w:val="18"/>
          <w:color w:val="auto"/>
        </w:rPr>
      </w:pPr>
    </w:p>
    <w:p>
      <w:pPr>
        <w:ind w:left="964" w:right="120" w:hanging="532"/>
        <w:spacing w:after="0" w:line="257" w:lineRule="auto"/>
        <w:tabs>
          <w:tab w:leader="none" w:pos="964" w:val="left"/>
        </w:tabs>
        <w:numPr>
          <w:ilvl w:val="1"/>
          <w:numId w:val="312"/>
        </w:numPr>
        <w:rPr>
          <w:rFonts w:ascii="Arial" w:cs="Arial" w:eastAsia="Arial" w:hAnsi="Arial"/>
          <w:sz w:val="18"/>
          <w:szCs w:val="18"/>
          <w:color w:val="auto"/>
        </w:rPr>
      </w:pPr>
      <w:r>
        <w:rPr>
          <w:rFonts w:ascii="Arial" w:cs="Arial" w:eastAsia="Arial" w:hAnsi="Arial"/>
          <w:sz w:val="18"/>
          <w:szCs w:val="18"/>
          <w:color w:val="auto"/>
        </w:rPr>
        <w:t>represents that the New Representative has been authorized to become a party to the ABL Intercreditor Agreement on behalf of the Additional Debt Secured Parties under the Additional Debt Facility as an Additional Debt Agent under an Additional Debt Facility under the ABL Intercreditor Agreement for all purposes thereof on the terms set forth therein, and to be bound by the terms of the ABL Intercreditor Agreement as fully as if the undersigned had executed and delivered the ABL Intercreditor Agreement as of the date thereof; and</w:t>
      </w:r>
    </w:p>
    <w:p>
      <w:pPr>
        <w:spacing w:after="0" w:line="93" w:lineRule="exact"/>
        <w:rPr>
          <w:rFonts w:ascii="Arial" w:cs="Arial" w:eastAsia="Arial" w:hAnsi="Arial"/>
          <w:sz w:val="18"/>
          <w:szCs w:val="18"/>
          <w:color w:val="auto"/>
        </w:rPr>
      </w:pPr>
    </w:p>
    <w:p>
      <w:pPr>
        <w:ind w:left="964" w:hanging="532"/>
        <w:spacing w:after="0"/>
        <w:tabs>
          <w:tab w:leader="none" w:pos="964"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agrees that its address for receiving notices pursuant to the ABL Intercreditor Agreement shall be as follows: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601 Travis Street, The Chase Center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of Corporate Trust Administration</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Fax No. (713) 483-6954</w:t>
      </w:r>
    </w:p>
    <w:p>
      <w:pPr>
        <w:spacing w:after="0" w:line="116" w:lineRule="exact"/>
        <w:rPr>
          <w:sz w:val="20"/>
          <w:szCs w:val="20"/>
          <w:color w:val="auto"/>
        </w:rPr>
      </w:pPr>
    </w:p>
    <w:p>
      <w:pPr>
        <w:ind w:left="424" w:right="20" w:hanging="424"/>
        <w:spacing w:after="0" w:line="259" w:lineRule="auto"/>
        <w:tabs>
          <w:tab w:leader="none" w:pos="424"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Lien Sharing and Priority Confirmation</w:t>
      </w:r>
      <w:r>
        <w:rPr>
          <w:rFonts w:ascii="Arial" w:cs="Arial" w:eastAsia="Arial" w:hAnsi="Arial"/>
          <w:sz w:val="18"/>
          <w:szCs w:val="18"/>
          <w:color w:val="auto"/>
        </w:rPr>
        <w:t>. The undersigned New Representative, on behalf of itself and each holder of Obligations in respect of the applicable Series of CF Debt that constitutes Additional Debt Facility for which the undersigned is acting as Additional Debt Agent hereby agrees, for the benefit of all Secured Parties and each future Representative, and as a condition to being treated as Secured Debt Obligations under the ABL Intercreditor Agreement, that:</w:t>
      </w:r>
    </w:p>
    <w:p>
      <w:pPr>
        <w:spacing w:after="0" w:line="92"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New Representative and each holder of Obligations in respect of the Series of CF Debt for which the undersigned is acting as Additional Debt Agent are bound by the provisions of the ABL Intercreditor Agreement, including the provisions relating to the ranking of CF Debt Liens and the order of application of proceeds from enforcement of CF Debt Liens; and</w:t>
      </w:r>
    </w:p>
    <w:p>
      <w:pPr>
        <w:sectPr>
          <w:pgSz w:w="11900" w:h="16838" w:orient="portrait"/>
          <w:cols w:equalWidth="0" w:num="1">
            <w:col w:w="11024"/>
          </w:cols>
          <w:pgMar w:left="436" w:top="121" w:right="439" w:bottom="1440" w:gutter="0" w:footer="0" w:header="0"/>
        </w:sectPr>
      </w:pPr>
    </w:p>
    <w:bookmarkStart w:id="363" w:name="page364"/>
    <w:bookmarkEnd w:id="363"/>
    <w:p>
      <w:pPr>
        <w:ind w:left="964" w:right="680" w:hanging="532"/>
        <w:spacing w:after="0" w:line="279" w:lineRule="auto"/>
        <w:tabs>
          <w:tab w:leader="none" w:pos="964" w:val="left"/>
        </w:tabs>
        <w:numPr>
          <w:ilvl w:val="1"/>
          <w:numId w:val="3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New Representative and each holder of Obligations in respect of the Series of CF Debt for which the undersigned is acting as Additional Debt Agent appoints the Additional Debt Agent and consents to the terms of the ABL Intercreditor Agreement and the performance by the Additional Debt Agent of, and directs the Additional Debt Agent to perform, its obligations under the ABL Intercreditor Agreement, together with all such powers as are reasonably incidental thereto.</w:t>
      </w:r>
    </w:p>
    <w:p>
      <w:pPr>
        <w:spacing w:after="0" w:line="76" w:lineRule="exact"/>
        <w:rPr>
          <w:rFonts w:ascii="Arial" w:cs="Arial" w:eastAsia="Arial" w:hAnsi="Arial"/>
          <w:sz w:val="17"/>
          <w:szCs w:val="17"/>
          <w:color w:val="auto"/>
        </w:rPr>
      </w:pPr>
    </w:p>
    <w:p>
      <w:pPr>
        <w:ind w:left="424" w:hanging="424"/>
        <w:spacing w:after="0" w:line="277" w:lineRule="auto"/>
        <w:tabs>
          <w:tab w:leader="none" w:pos="424"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Governing Law and Miscellaneous Provisions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the ABL Intercreditor Agreement will apply with like effect to this Lien Sharing and Priority Confirmation Joinder.</w:t>
      </w:r>
    </w:p>
    <w:p>
      <w:pPr>
        <w:spacing w:after="0" w:line="17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Signatures follow</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64" w:name="page365"/>
    <w:bookmarkEnd w:id="36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Lien Sharing and Priority Confirmation Joinder to be executed by their respective officers or representatives as of November 6,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MELLON TRUST COMPANY, N.A.,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New Representative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[Signature Page to Joinder to ABL Intercreditor Agreement]</w:t>
      </w:r>
    </w:p>
    <w:p>
      <w:pPr>
        <w:sectPr>
          <w:pgSz w:w="11900" w:h="16838" w:orient="portrait"/>
          <w:cols w:equalWidth="0" w:num="1">
            <w:col w:w="10600"/>
          </w:cols>
          <w:pgMar w:left="440" w:top="274" w:right="85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ABL Agent hereby acknowledges receipt of this Lien Sharing and Priority Confirmation Joinder:</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JPMORGAN CHASE BANK, N.A., as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ABL Agent</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Andrew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Andrew Rossman</w:t>
      </w:r>
    </w:p>
    <w:p>
      <w:pPr>
        <w:spacing w:after="0" w:line="23"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Joinder to ABL Intercreditor Agreement]</w:t>
      </w:r>
    </w:p>
    <w:p>
      <w:pPr>
        <w:sectPr>
          <w:pgSz w:w="11900" w:h="16838" w:orient="portrait"/>
          <w:cols w:equalWidth="0" w:num="1">
            <w:col w:w="9039"/>
          </w:cols>
          <w:pgMar w:left="1420" w:top="274" w:right="1440"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Loan Agent hereby acknowledges receipt of this Lien Sharing and Priority Confirmation Joinder:</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CREDIT SUISSE AG, CAYMAN ISLANDS BRANCH, as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Term Loan Agent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14605</wp:posOffset>
            </wp:positionV>
            <wp:extent cx="26060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O’Daly</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Zybrick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14605</wp:posOffset>
            </wp:positionV>
            <wp:extent cx="260604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Zybrick</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[Signature Page to Joinder to ABL Intercreditor Agreement]</w:t>
      </w:r>
    </w:p>
    <w:p>
      <w:pPr>
        <w:sectPr>
          <w:pgSz w:w="11900" w:h="16838" w:orient="portrait"/>
          <w:cols w:equalWidth="0" w:num="1">
            <w:col w:w="9940"/>
          </w:cols>
          <w:pgMar w:left="1420" w:top="274" w:right="5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10.6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LIEN SHARING AND PRIORITY CONFIRMATION JOINDER</w:t>
      </w:r>
    </w:p>
    <w:p>
      <w:pPr>
        <w:spacing w:after="0" w:line="121" w:lineRule="exact"/>
        <w:rPr>
          <w:sz w:val="20"/>
          <w:szCs w:val="20"/>
          <w:color w:val="auto"/>
        </w:rPr>
      </w:pPr>
    </w:p>
    <w:p>
      <w:pPr>
        <w:ind w:left="4" w:right="300" w:firstLine="991"/>
        <w:spacing w:after="0" w:line="293" w:lineRule="auto"/>
        <w:rPr>
          <w:sz w:val="20"/>
          <w:szCs w:val="20"/>
          <w:color w:val="auto"/>
        </w:rPr>
      </w:pPr>
      <w:r>
        <w:rPr>
          <w:rFonts w:ascii="Arial" w:cs="Arial" w:eastAsia="Arial" w:hAnsi="Arial"/>
          <w:sz w:val="16"/>
          <w:szCs w:val="16"/>
          <w:color w:val="auto"/>
        </w:rPr>
        <w:t>Reference is made to the ABL Intercreditor Agreement, dated as of July 2, 2015 (as amended, supplemented, amended and restated or otherwise modified and in effect from time to time, the “</w:t>
      </w:r>
      <w:r>
        <w:rPr>
          <w:rFonts w:ascii="Arial" w:cs="Arial" w:eastAsia="Arial" w:hAnsi="Arial"/>
          <w:sz w:val="16"/>
          <w:szCs w:val="16"/>
          <w:b w:val="1"/>
          <w:bCs w:val="1"/>
          <w:i w:val="1"/>
          <w:iCs w:val="1"/>
          <w:color w:val="auto"/>
        </w:rPr>
        <w:t>ABL Intercreditor Agreement</w:t>
      </w:r>
      <w:r>
        <w:rPr>
          <w:rFonts w:ascii="Arial" w:cs="Arial" w:eastAsia="Arial" w:hAnsi="Arial"/>
          <w:sz w:val="16"/>
          <w:szCs w:val="16"/>
          <w:color w:val="auto"/>
        </w:rPr>
        <w:t>”) among JPMorgan Chase Bank, N.A., as ABL Agent for the ABL Secured Parties referred to therein; Morgan Stanley Senior Funding, Inc. (“</w:t>
      </w:r>
      <w:r>
        <w:rPr>
          <w:rFonts w:ascii="Arial" w:cs="Arial" w:eastAsia="Arial" w:hAnsi="Arial"/>
          <w:sz w:val="16"/>
          <w:szCs w:val="16"/>
          <w:b w:val="1"/>
          <w:bCs w:val="1"/>
          <w:i w:val="1"/>
          <w:iCs w:val="1"/>
          <w:color w:val="auto"/>
        </w:rPr>
        <w:t>MSSF</w:t>
      </w:r>
      <w:r>
        <w:rPr>
          <w:rFonts w:ascii="Arial" w:cs="Arial" w:eastAsia="Arial" w:hAnsi="Arial"/>
          <w:sz w:val="16"/>
          <w:szCs w:val="16"/>
          <w:color w:val="auto"/>
        </w:rPr>
        <w:t>”), as Original Term Loan Agent for the Term Loan Secured Parties referred to therein; each Additional Debt Agent for the Additional Debt Secured Parties referred to therein; Associated Investors L.L.C. and Academy Managing Co., as Texas Intermediate Holdcos (the “</w:t>
      </w:r>
      <w:r>
        <w:rPr>
          <w:rFonts w:ascii="Arial" w:cs="Arial" w:eastAsia="Arial" w:hAnsi="Arial"/>
          <w:sz w:val="16"/>
          <w:szCs w:val="16"/>
          <w:b w:val="1"/>
          <w:bCs w:val="1"/>
          <w:i w:val="1"/>
          <w:iCs w:val="1"/>
          <w:color w:val="auto"/>
        </w:rPr>
        <w:t>Texas Intermediate Holdcos</w:t>
      </w:r>
      <w:r>
        <w:rPr>
          <w:rFonts w:ascii="Arial" w:cs="Arial" w:eastAsia="Arial" w:hAnsi="Arial"/>
          <w:sz w:val="16"/>
          <w:szCs w:val="16"/>
          <w:color w:val="auto"/>
        </w:rPr>
        <w:t>”); New Academy Holding Company, LLC as Holdings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Academy, Ltd. as the Borrower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and the Subsidiaries of the Borrower party thereto.</w:t>
      </w:r>
    </w:p>
    <w:p>
      <w:pPr>
        <w:spacing w:after="0" w:line="164" w:lineRule="exact"/>
        <w:rPr>
          <w:sz w:val="20"/>
          <w:szCs w:val="20"/>
          <w:color w:val="auto"/>
        </w:rPr>
      </w:pPr>
    </w:p>
    <w:p>
      <w:pPr>
        <w:jc w:val="both"/>
        <w:ind w:left="4" w:right="480" w:firstLine="991"/>
        <w:spacing w:after="0" w:line="259" w:lineRule="auto"/>
        <w:rPr>
          <w:sz w:val="20"/>
          <w:szCs w:val="20"/>
          <w:color w:val="auto"/>
        </w:rPr>
      </w:pPr>
      <w:r>
        <w:rPr>
          <w:rFonts w:ascii="Arial" w:cs="Arial" w:eastAsia="Arial" w:hAnsi="Arial"/>
          <w:sz w:val="18"/>
          <w:szCs w:val="18"/>
          <w:color w:val="auto"/>
        </w:rPr>
        <w:t xml:space="preserve">Capitalized terms used but not otherwise defined herein shall have meaning set forth in the ABL Intercreditor Agreement. This Lien Sharing and Priority Confirmation Joinder is being executed and delivered pursuant to </w:t>
      </w:r>
      <w:r>
        <w:rPr>
          <w:rFonts w:ascii="Arial" w:cs="Arial" w:eastAsia="Arial" w:hAnsi="Arial"/>
          <w:sz w:val="18"/>
          <w:szCs w:val="18"/>
          <w:u w:val="single" w:color="auto"/>
          <w:color w:val="auto"/>
        </w:rPr>
        <w:t>Section 2.10(a)(ii)</w:t>
      </w:r>
      <w:r>
        <w:rPr>
          <w:rFonts w:ascii="Arial" w:cs="Arial" w:eastAsia="Arial" w:hAnsi="Arial"/>
          <w:sz w:val="18"/>
          <w:szCs w:val="18"/>
          <w:color w:val="auto"/>
        </w:rPr>
        <w:t xml:space="preserve"> of the ABL Intercreditor Agreement as a condition precedent to the debt for which the undersigned is acting as representative being entitled to the rights and obligations of being additional secured debt under the ABL Intercreditor Agreement.</w:t>
      </w:r>
    </w:p>
    <w:p>
      <w:pPr>
        <w:spacing w:after="0" w:line="92" w:lineRule="exact"/>
        <w:rPr>
          <w:sz w:val="20"/>
          <w:szCs w:val="20"/>
          <w:color w:val="auto"/>
        </w:rPr>
      </w:pPr>
    </w:p>
    <w:p>
      <w:pPr>
        <w:ind w:left="424" w:right="420" w:hanging="424"/>
        <w:spacing w:after="0" w:line="273" w:lineRule="auto"/>
        <w:tabs>
          <w:tab w:leader="none" w:pos="424"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Joinder</w:t>
      </w:r>
      <w:r>
        <w:rPr>
          <w:rFonts w:ascii="Arial" w:cs="Arial" w:eastAsia="Arial" w:hAnsi="Arial"/>
          <w:sz w:val="17"/>
          <w:szCs w:val="17"/>
          <w:color w:val="auto"/>
        </w:rPr>
        <w:t>. The undersigned, Credit Suisse AG, Cayman Islands Branch (the “</w:t>
      </w:r>
      <w:r>
        <w:rPr>
          <w:rFonts w:ascii="Arial" w:cs="Arial" w:eastAsia="Arial" w:hAnsi="Arial"/>
          <w:sz w:val="17"/>
          <w:szCs w:val="17"/>
          <w:b w:val="1"/>
          <w:bCs w:val="1"/>
          <w:i w:val="1"/>
          <w:iCs w:val="1"/>
          <w:color w:val="auto"/>
        </w:rPr>
        <w:t>New Representative</w:t>
      </w:r>
      <w:r>
        <w:rPr>
          <w:rFonts w:ascii="Arial" w:cs="Arial" w:eastAsia="Arial" w:hAnsi="Arial"/>
          <w:sz w:val="17"/>
          <w:szCs w:val="17"/>
          <w:color w:val="auto"/>
        </w:rPr>
        <w:t>”), as the successor administrative agent and collateral agent under that certain Second Amended and Restated Credit Agreement, dated as of the date hereof, by and among the Borrower, Holdings, the Texas Intermediate Holdcos, the lenders party thereto, the other financial institutions party thereto and the New Representative, which amends and restates that certain First Amended and Restated Credit Agreement, dated as of July 2, 2015, by and among the Borrower, Holdings, the Texas Intermediate Holdcos, the lenders party thereto, the other financial institutions party thereto and MSSF, as the original administrative agent and collateral agent, hereby:</w:t>
      </w:r>
    </w:p>
    <w:p>
      <w:pPr>
        <w:spacing w:after="0" w:line="83" w:lineRule="exact"/>
        <w:rPr>
          <w:rFonts w:ascii="Arial" w:cs="Arial" w:eastAsia="Arial" w:hAnsi="Arial"/>
          <w:sz w:val="17"/>
          <w:szCs w:val="17"/>
          <w:color w:val="auto"/>
        </w:rPr>
      </w:pPr>
    </w:p>
    <w:p>
      <w:pPr>
        <w:ind w:left="964" w:right="60" w:hanging="532"/>
        <w:spacing w:after="0" w:line="301" w:lineRule="auto"/>
        <w:tabs>
          <w:tab w:leader="none" w:pos="96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represents that the New Representative has been authorized to become a party to the ABL Intercreditor Agreement on behalf of the Term Loan Secured Parties under the Term Loan Substitute Facility as a Term Loan Agent under a Term Loan Substitute Facility under the ABL Intercreditor Agreement for all purposes thereof on the terms set forth therein, and to be bound by the terms of the ABL Intercreditor Agreement as fully as if the undersigned had executed and delivered the ABL Intercreditor Agreement as of the date thereof; and</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agrees that its address for receiving notices pursuant to the ABL Intercreditor Agreement shall be as follows: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Credit Suisse AG</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of: Agency Manager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Fax No. (212) 322 2291</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Address: agency.loanops@credit-suisse.com</w:t>
      </w:r>
    </w:p>
    <w:p>
      <w:pPr>
        <w:spacing w:after="0" w:line="116" w:lineRule="exact"/>
        <w:rPr>
          <w:sz w:val="20"/>
          <w:szCs w:val="20"/>
          <w:color w:val="auto"/>
        </w:rPr>
      </w:pPr>
    </w:p>
    <w:p>
      <w:pPr>
        <w:ind w:left="424" w:hanging="424"/>
        <w:spacing w:after="0"/>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Lien Sharing and Priority Confirmation</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368" w:name="page369"/>
    <w:bookmarkEnd w:id="368"/>
    <w:p>
      <w:pPr>
        <w:ind w:left="4" w:right="2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New Representative, on behalf of itself and each holder of Obligations in respect of the applicable Series of CF Debt that constitutes Term Loan Substitute Facility for which the undersigned is acting as Term Loan Agent hereby agrees, for the benefit of all Secured Parties and each future Representative, and as a condition to being treated as Secured Debt Obligations under the ABL Intercreditor Agreement, that:</w:t>
      </w:r>
    </w:p>
    <w:p>
      <w:pPr>
        <w:spacing w:after="0" w:line="54" w:lineRule="exact"/>
        <w:rPr>
          <w:sz w:val="20"/>
          <w:szCs w:val="20"/>
          <w:color w:val="auto"/>
        </w:rPr>
      </w:pPr>
    </w:p>
    <w:p>
      <w:pPr>
        <w:ind w:left="424" w:right="100" w:hanging="424"/>
        <w:spacing w:after="0" w:line="263" w:lineRule="auto"/>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New Representative and each holder of Obligations in respect of the Series of CF Debt for which the undersigned is acting as Term Loan Agent are bound by the provisions of the ABL Intercreditor Agreement, including the provisions relating to the ranking of CF Debt Liens and the order of application of proceeds from enforcement of CF Debt Liens; and</w:t>
      </w:r>
    </w:p>
    <w:p>
      <w:pPr>
        <w:spacing w:after="0" w:line="89" w:lineRule="exact"/>
        <w:rPr>
          <w:rFonts w:ascii="Arial" w:cs="Arial" w:eastAsia="Arial" w:hAnsi="Arial"/>
          <w:sz w:val="18"/>
          <w:szCs w:val="18"/>
          <w:color w:val="auto"/>
        </w:rPr>
      </w:pPr>
    </w:p>
    <w:p>
      <w:pPr>
        <w:ind w:left="424" w:right="40" w:hanging="424"/>
        <w:spacing w:after="0" w:line="259" w:lineRule="auto"/>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New Representative and each holder of Obligations in respect of the Series of CF Debt for which the undersigned is acting as Term Loan Agent appoints the Term Loan Agent and consents to the terms of the ABL Intercreditor Agreement and the performance by the Term Loan Agent of, and directs the Term Loan Agent to perform, its obligations under the ABL Intercreditor Agreement, together with all such powers as are reasonably incidental thereto.</w:t>
      </w:r>
    </w:p>
    <w:p>
      <w:pPr>
        <w:spacing w:after="0" w:line="92" w:lineRule="exact"/>
        <w:rPr>
          <w:sz w:val="20"/>
          <w:szCs w:val="20"/>
          <w:color w:val="auto"/>
        </w:rPr>
      </w:pPr>
    </w:p>
    <w:p>
      <w:pPr>
        <w:ind w:left="424" w:hanging="424"/>
        <w:spacing w:after="0" w:line="277" w:lineRule="auto"/>
        <w:tabs>
          <w:tab w:leader="none" w:pos="424"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Governing Law and Miscellaneous Provisions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the ABL Intercreditor Agreement will apply with like effect to this Lien Sharing and Priority Confirmation Joinder.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69" w:name="page370"/>
    <w:bookmarkEnd w:id="369"/>
    <w:p>
      <w:pPr>
        <w:ind w:right="3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Lien Sharing and Priority Confirmation Joinder to be executed by their respective officers or representatives as of November 6,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CREDIT SUISSE AG, CAYMAN ISLANDS BRANCH,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Representative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William O’Daly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Zybrick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Christopher Zybrick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Joinder to ABL Intercreditor Agreement]</w:t>
      </w:r>
    </w:p>
    <w:p>
      <w:pPr>
        <w:sectPr>
          <w:pgSz w:w="11900" w:h="16838" w:orient="portrait"/>
          <w:cols w:equalWidth="0" w:num="1">
            <w:col w:w="10920"/>
          </w:cols>
          <w:pgMar w:left="440" w:top="274" w:right="53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ABL Agent hereby acknowledges receipt of this Lien Sharing and Priority Confirmation Joinder:</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JPMORGAN CHASE BANK, N.A., as ABL Agent</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Andrew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Andrew Rossman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[Signature Page to Joinder to ABL Intercreditor Agreement]</w:t>
      </w:r>
    </w:p>
    <w:p>
      <w:pPr>
        <w:sectPr>
          <w:pgSz w:w="11900" w:h="16838" w:orient="portrait"/>
          <w:cols w:equalWidth="0" w:num="1">
            <w:col w:w="9360"/>
          </w:cols>
          <w:pgMar w:left="1420" w:top="274" w:right="111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Exhibit 10.7</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FIRST LIEN INTERCREDITOR AGREEMENT</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ACADEMY, LTD.,</w:t>
      </w:r>
    </w:p>
    <w:p>
      <w:pPr>
        <w:spacing w:after="0" w:line="11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other Grantors party hereto,</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CREDIT SUISSE AG, CAYMAN ISLANDS BRANCH,</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as First Lien Collateral Agent for the Credit Agreement Secured Parties,</w:t>
      </w:r>
    </w:p>
    <w:p>
      <w:pPr>
        <w:spacing w:after="0" w:line="10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CREDIT SUISSE AG, CAYMAN ISLANDS BRANCH,</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as Authorized Representative for the Credit Agreement Secured Parties,</w:t>
      </w:r>
    </w:p>
    <w:p>
      <w:pPr>
        <w:spacing w:after="0" w:line="10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as the Initial Additional First Lien Collateral Agent,</w:t>
      </w:r>
    </w:p>
    <w:p>
      <w:pPr>
        <w:spacing w:after="0" w:line="10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Initial Additional Authorized Representative,</w:t>
      </w:r>
    </w:p>
    <w:p>
      <w:pPr>
        <w:spacing w:after="0" w:line="10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each additional Authorized Representative from time to time party hereto</w:t>
      </w:r>
    </w:p>
    <w:p>
      <w:pPr>
        <w:spacing w:after="0" w:line="14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November 6, 2020</w:t>
      </w:r>
    </w:p>
    <w:p>
      <w:pPr>
        <w:sectPr>
          <w:pgSz w:w="11900" w:h="16838" w:orient="portrait"/>
          <w:cols w:equalWidth="0" w:num="1">
            <w:col w:w="10020"/>
          </w:cols>
          <w:pgMar w:left="1440" w:top="121" w:right="439" w:bottom="1440" w:gutter="0" w:footer="0" w:header="0"/>
        </w:sectPr>
      </w:pPr>
    </w:p>
    <w:bookmarkStart w:id="372" w:name="page373"/>
    <w:bookmarkEnd w:id="37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LIEN INTERCREDITOR AGREEMENT, dated as of November 6, 2020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NEW ACADEMY HOLDING COMPANY, LLC, a Delaware corporation (“</w:t>
      </w:r>
      <w:r>
        <w:rPr>
          <w:rFonts w:ascii="Arial" w:cs="Arial" w:eastAsia="Arial" w:hAnsi="Arial"/>
          <w:sz w:val="17"/>
          <w:szCs w:val="17"/>
          <w:u w:val="single" w:color="auto"/>
          <w:color w:val="auto"/>
        </w:rPr>
        <w:t>Holdings</w:t>
      </w:r>
      <w:r>
        <w:rPr>
          <w:rFonts w:ascii="Arial" w:cs="Arial" w:eastAsia="Arial" w:hAnsi="Arial"/>
          <w:sz w:val="17"/>
          <w:szCs w:val="17"/>
          <w:color w:val="auto"/>
        </w:rPr>
        <w:t>”), ASSOCIATED INVESTORS L.L.C. and ACADEMY MANAGING CO., L.L.C., as Texas Intermediate Holdcos (the “</w:t>
      </w:r>
      <w:r>
        <w:rPr>
          <w:rFonts w:ascii="Arial" w:cs="Arial" w:eastAsia="Arial" w:hAnsi="Arial"/>
          <w:sz w:val="17"/>
          <w:szCs w:val="17"/>
          <w:u w:val="single" w:color="auto"/>
          <w:color w:val="auto"/>
        </w:rPr>
        <w:t>Texas Intermediate Holdcos</w:t>
      </w:r>
      <w:r>
        <w:rPr>
          <w:rFonts w:ascii="Arial" w:cs="Arial" w:eastAsia="Arial" w:hAnsi="Arial"/>
          <w:sz w:val="17"/>
          <w:szCs w:val="17"/>
          <w:color w:val="auto"/>
        </w:rPr>
        <w:t>”), ACADEMY, LTD. (the “</w:t>
      </w:r>
      <w:r>
        <w:rPr>
          <w:rFonts w:ascii="Arial" w:cs="Arial" w:eastAsia="Arial" w:hAnsi="Arial"/>
          <w:sz w:val="17"/>
          <w:szCs w:val="17"/>
          <w:u w:val="single" w:color="auto"/>
          <w:color w:val="auto"/>
        </w:rPr>
        <w:t>Borrower</w:t>
      </w:r>
      <w:r>
        <w:rPr>
          <w:rFonts w:ascii="Arial" w:cs="Arial" w:eastAsia="Arial" w:hAnsi="Arial"/>
          <w:sz w:val="17"/>
          <w:szCs w:val="17"/>
          <w:color w:val="auto"/>
        </w:rPr>
        <w:t>”), the other Grantors (as defined below) from time to time party hereto, CREDIT SUISSE AG, CAYMAN ISLANDS BRANCH, as collateral agent for the Credit Agreement Secured Parties (as defined below) (in such capacity and together with its successors in such capacity, the “</w:t>
      </w:r>
      <w:r>
        <w:rPr>
          <w:rFonts w:ascii="Arial" w:cs="Arial" w:eastAsia="Arial" w:hAnsi="Arial"/>
          <w:sz w:val="17"/>
          <w:szCs w:val="17"/>
          <w:u w:val="single" w:color="auto"/>
          <w:color w:val="auto"/>
        </w:rPr>
        <w:t>Credit Agreement Collateral Agent</w:t>
      </w:r>
      <w:r>
        <w:rPr>
          <w:rFonts w:ascii="Arial" w:cs="Arial" w:eastAsia="Arial" w:hAnsi="Arial"/>
          <w:sz w:val="17"/>
          <w:szCs w:val="17"/>
          <w:color w:val="auto"/>
        </w:rPr>
        <w:t>”), CREDIT SUISSE AG, CAYMAN ISLANDS BRANCH, as Authorized Representative for the Credit Agreement Secured Parties (as each such term is defined below), THE BANK OF NEW YORK MELLON TRUST COMPANY, N.A., as collateral agent for the Initial Additional First Lien Secured Parties (as defined below) (in such capacity and together with its successors in such capacity, the “</w:t>
      </w:r>
      <w:r>
        <w:rPr>
          <w:rFonts w:ascii="Arial" w:cs="Arial" w:eastAsia="Arial" w:hAnsi="Arial"/>
          <w:sz w:val="17"/>
          <w:szCs w:val="17"/>
          <w:u w:val="single" w:color="auto"/>
          <w:color w:val="auto"/>
        </w:rPr>
        <w:t>Initial Additional First Lien Collateral Agent</w:t>
      </w:r>
      <w:r>
        <w:rPr>
          <w:rFonts w:ascii="Arial" w:cs="Arial" w:eastAsia="Arial" w:hAnsi="Arial"/>
          <w:sz w:val="17"/>
          <w:szCs w:val="17"/>
          <w:color w:val="auto"/>
        </w:rPr>
        <w:t>”), THE BANK OF NEW YORK MELLON TRUST COMPANY, N.A., as Authorized Representative for the Initial Additional First Lien Secured Parties (as defined below) and each additional Collateral Agent and Authorized Representative from time to time party hereto for the other Additional First Lien Secured Parties of the Series (as defined below) with respect to which it is acting in such capacity.</w:t>
      </w:r>
    </w:p>
    <w:p>
      <w:pPr>
        <w:spacing w:after="0" w:line="18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 consideration of the mutual agreements herein contained and other good and valuable consideration, the receipt and sufficiency of which are hereby acknowledged, the Credit Agreement Collateral Agent, the Administrative Agent (for itself and on behalf of the Credit Agreement Secured Parties), the Initial Additional Authorized Representative (for itself and on behalf of the Initial Additional First Lien Secured Parties), the Grantors, each additional Collateral Agent and Authorized Representative (for itself and on behalf of the Additional First Lien Secured Parties of the applicable Series) agree as follows:</w:t>
      </w:r>
    </w:p>
    <w:p>
      <w:pPr>
        <w:spacing w:after="0" w:line="200" w:lineRule="exact"/>
        <w:rPr>
          <w:sz w:val="20"/>
          <w:szCs w:val="20"/>
          <w:color w:val="auto"/>
        </w:rPr>
      </w:pPr>
    </w:p>
    <w:p>
      <w:pPr>
        <w:spacing w:after="0" w:line="20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Capitalized terms used but not otherwise defined herein have the meanings set forth in the Credit Agreement or, if defined in the UCC, the meanings specified therein. As used in this Agreement, the following terms have the meanings specified below:</w:t>
      </w:r>
    </w:p>
    <w:p>
      <w:pPr>
        <w:spacing w:after="0" w:line="7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Intercreditor Agreement</w:t>
      </w:r>
      <w:r>
        <w:rPr>
          <w:rFonts w:ascii="Arial" w:cs="Arial" w:eastAsia="Arial" w:hAnsi="Arial"/>
          <w:sz w:val="18"/>
          <w:szCs w:val="18"/>
          <w:color w:val="auto"/>
        </w:rPr>
        <w:t>” means that certain ABL Intercreditor Agreement, dated as of July 2, 2015, among the Company, the Guarantors, JPMorgan Chase Bank, N.A., as agent for the ABL Secured Parties (as defined therein) and the Initial First Lien Collateral Agent (as amended, supplemented or modified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means the “ABL Priority Collateral” as defined in the ABL Intercreditor Agreement.</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Collateral Agent</w:t>
      </w:r>
      <w:r>
        <w:rPr>
          <w:rFonts w:ascii="Arial" w:cs="Arial" w:eastAsia="Arial" w:hAnsi="Arial"/>
          <w:sz w:val="18"/>
          <w:szCs w:val="18"/>
          <w:color w:val="auto"/>
        </w:rPr>
        <w:t>” means (x) for so long as the Initial Additional First Lien Obligations are the only Series of Additional First Lien Obligations outstanding, the Initial Additional First Lien Collateral Agent and (y) thereafter, the Collateral Agent for the Series of Additional First Lien Obligations that constitutes the largest outstanding aggregate principal amount of any then outstanding Series of Additional First Lien Obligations.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373" w:name="page374"/>
    <w:bookmarkEnd w:id="373"/>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Additional First Lien Documents</w:t>
      </w:r>
      <w:r>
        <w:rPr>
          <w:rFonts w:ascii="Arial" w:cs="Arial" w:eastAsia="Arial" w:hAnsi="Arial"/>
          <w:sz w:val="17"/>
          <w:szCs w:val="17"/>
          <w:color w:val="auto"/>
        </w:rPr>
        <w:t>” means, with respect to the Initial Additional First Lien Obligations or any Series of Additional Senior</w:t>
      </w:r>
    </w:p>
    <w:p>
      <w:pPr>
        <w:spacing w:after="0" w:line="35"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 xml:space="preserve">Class Debt, the notes, indentures, credit agreements, security documents and other operative agreements evidencing or governing such indebtedness and liens securing such indebtedness, including the Initial Additional First Lien Documents and the Additional First Lien Security Documents and each other agreement entered into for the purpose of securing the Initial Additional First Lien Obligations or any Series of Additional Senior Class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the Indebtedness thereunder (other than the Initial Additional First Lien Obligations) has been designated as Additional Senior Class Debt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hereto.</w:t>
      </w:r>
    </w:p>
    <w:p>
      <w:pPr>
        <w:spacing w:after="0" w:line="19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First Lien Obligations</w:t>
      </w:r>
      <w:r>
        <w:rPr>
          <w:rFonts w:ascii="Arial" w:cs="Arial" w:eastAsia="Arial" w:hAnsi="Arial"/>
          <w:sz w:val="16"/>
          <w:szCs w:val="16"/>
          <w:color w:val="auto"/>
        </w:rPr>
        <w:t>” means (a) all amounts owing pursuant to the terms of any Additional First Lien Document (including the Initial Additional First Lien Documents), including, without limitation, all amounts in respect of any principal, premium, interest (including any interest, fees and expenses accruing subsequent to the commencement of a Bankruptcy Case at the rate provided for in the respective Additional First Lien Document, whether or not such interest, fees and expenses is an allowed or allowable claim under any such proceeding or under applicable state, federal or foreign law), penalties, fees, expenses, indemnifications, reimbursements, damages and other liabilities, and guarantees of the foregoing amounts,</w:t>
      </w:r>
    </w:p>
    <w:p>
      <w:pPr>
        <w:spacing w:after="0" w:line="2" w:lineRule="exact"/>
        <w:rPr>
          <w:sz w:val="20"/>
          <w:szCs w:val="20"/>
          <w:color w:val="auto"/>
        </w:rPr>
      </w:pPr>
    </w:p>
    <w:p>
      <w:pPr>
        <w:ind w:left="4" w:right="140" w:hanging="4"/>
        <w:spacing w:after="0" w:line="271" w:lineRule="auto"/>
        <w:tabs>
          <w:tab w:leader="none" w:pos="25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Secured Hedge Obligations secured under the Additional First Lien Security Documents securing the related Series of Additional First Lien Obligations, (c) any Secured Cash Management Obligations secured under the Additional First Lien Security Documents securing the related Series of Additional First Lien Obligations and (d) any renewals or extensions of the foregoing that are not prohibited by each Additional First Lien Document and the Credit Agreement. Additional First Lien Obligations shall include any Permitted Other Indebtedness (as defined in the Credit Agreement) that constitute Additional Senior Class Debt and guarantees thereof by the Grantors issued in exchange therefor.</w:t>
      </w:r>
    </w:p>
    <w:p>
      <w:pPr>
        <w:spacing w:after="0" w:line="178"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First Lien Secured Parties</w:t>
      </w:r>
      <w:r>
        <w:rPr>
          <w:rFonts w:ascii="Arial" w:cs="Arial" w:eastAsia="Arial" w:hAnsi="Arial"/>
          <w:sz w:val="16"/>
          <w:szCs w:val="16"/>
          <w:color w:val="auto"/>
        </w:rPr>
        <w:t>” means the holders of any Additional First Lien Obligations and any Authorized Representative or Collateral Agent with respect thereto, and shall include the Initial Additional First Lien Secured Parties and the Additional Senior Class Debt Parties.</w:t>
      </w:r>
    </w:p>
    <w:p>
      <w:pPr>
        <w:spacing w:after="0" w:line="124"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Security Documents</w:t>
      </w:r>
      <w:r>
        <w:rPr>
          <w:rFonts w:ascii="Arial" w:cs="Arial" w:eastAsia="Arial" w:hAnsi="Arial"/>
          <w:sz w:val="18"/>
          <w:szCs w:val="18"/>
          <w:color w:val="auto"/>
        </w:rPr>
        <w:t>” means any collateral agreement, security agreement or any other document now existing or entered into after the date hereof that creates, or purports to create, Liens on any assets or properties of any Grantor to secure any Additional First Lien Obligations.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Senior Class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Senior Class Debt Collateral Agent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Senior Class Debt Parties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58" w:lineRule="exact"/>
        <w:rPr>
          <w:sz w:val="20"/>
          <w:szCs w:val="20"/>
          <w:color w:val="auto"/>
        </w:rPr>
      </w:pPr>
    </w:p>
    <w:p>
      <w:pPr>
        <w:ind w:left="54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74" w:name="page375"/>
    <w:bookmarkEnd w:id="37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Additional Senior Class Debt Representative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25" w:lineRule="exact"/>
        <w:rPr>
          <w:sz w:val="20"/>
          <w:szCs w:val="20"/>
          <w:color w:val="auto"/>
        </w:rPr>
      </w:pPr>
    </w:p>
    <w:p>
      <w:pPr>
        <w:ind w:left="4" w:right="6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has the meaning assigned to such term in the definition of Credit Agreement and shall include any successor administrative agent as provided in Section 12 of the Credit Agreement; provided, however, that if the Credit Agreement is Refinanced, then all references herein to the Administrative Agent shall refer to the administrative agent (or trustee) under the Refinancing.</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introductory paragraph of this Agreement.</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Authorized Representative</w:t>
      </w:r>
      <w:r>
        <w:rPr>
          <w:rFonts w:ascii="Arial" w:cs="Arial" w:eastAsia="Arial" w:hAnsi="Arial"/>
          <w:sz w:val="16"/>
          <w:szCs w:val="16"/>
          <w:color w:val="auto"/>
        </w:rPr>
        <w:t>” means with respect to any Shared Collateral, (i) until the earlier of (x) the Discharge of Credit Agreement Obligations and (y) the Non-Controlling Authorized Representative Enforcement Date, the Administrative Agent and (ii) from and after the earlier of</w:t>
      </w:r>
    </w:p>
    <w:p>
      <w:pPr>
        <w:ind w:left="4" w:right="1120" w:hanging="4"/>
        <w:spacing w:after="0" w:line="260" w:lineRule="auto"/>
        <w:tabs>
          <w:tab w:leader="none" w:pos="25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Discharge of Credit Agreement Obligations and (y) the Non-Controlling Authorized Representative Enforcement Date, the Major Non-Controlling Authorized Representative.</w:t>
      </w:r>
    </w:p>
    <w:p>
      <w:pPr>
        <w:spacing w:after="0" w:line="18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Representative</w:t>
      </w:r>
      <w:r>
        <w:rPr>
          <w:rFonts w:ascii="Arial" w:cs="Arial" w:eastAsia="Arial" w:hAnsi="Arial"/>
          <w:sz w:val="18"/>
          <w:szCs w:val="18"/>
          <w:color w:val="auto"/>
        </w:rPr>
        <w:t>” means, at any time, (i) in the case of any Credit Agreement Obligations or the Credit Agreement Secured Parties, the Administrative Agent, (ii) in the case of the Initial Additional First Lien Obligations or the Initial Additional First Lien Secured Parties, the Initial Additional Authorized Representative, and (iii) in the case of any other Series of Additional First Lien Obligations or Additional First Lien Secured Parties that become subject to this Agreement after the date hereof, the Additional Senior Class Debt Representative for such Series named in the applicable Joinder Agreement.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the Bankruptcy Code and any similar federal, state or foreign law for the relief of debtors.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introductory paragraph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or arrangement to provide Cash Management Services.</w:t>
      </w:r>
    </w:p>
    <w:p>
      <w:pPr>
        <w:spacing w:after="0" w:line="225"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means any one or more of the following types of services or facilities (i) commercial credit cards, merchant card services, purchase or debit cards, including non-card e-payables services, or electronic funds transfer services, (ii) treasury management services (including controlled disbursement, overdraft automatic clearing house fund transfer services, return items, and interstate depository network services),</w:t>
      </w:r>
    </w:p>
    <w:p>
      <w:pPr>
        <w:spacing w:after="0" w:line="2" w:lineRule="exact"/>
        <w:rPr>
          <w:sz w:val="20"/>
          <w:szCs w:val="20"/>
          <w:color w:val="auto"/>
        </w:rPr>
      </w:pPr>
    </w:p>
    <w:p>
      <w:pPr>
        <w:ind w:left="4" w:right="360" w:hanging="4"/>
        <w:spacing w:after="0" w:line="260" w:lineRule="auto"/>
        <w:tabs>
          <w:tab w:leader="none" w:pos="31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other demand deposit or operating account relationships or other cash management services and (iv) and other services related, ancillary or complementary to the foregoing.</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75" w:name="page376"/>
    <w:bookmarkEnd w:id="375"/>
    <w:p>
      <w:pPr>
        <w:ind w:right="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any “Collateral” (as defined in the Credit Agreement or any other Credit Agreement Collateral Documents) or any other assets and properties subject to Liens created pursuant to any First Lien Security Document to secure one or more Series of First Lien Obligations and shall include any property or assets subject to replacement Liens or adequate protection Liens in favor of any First Lien Secured Party.</w:t>
      </w:r>
    </w:p>
    <w:p>
      <w:pPr>
        <w:spacing w:after="0" w:line="14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(i) in the case of any Credit Agreement Obligations, the Credit Agreement Collateral Agent, (ii) in the case of the Initial Additional First Lien Obligations, the Initial Additional First Lien Collateral Agent and (iii) in the case of any other Series of Additional First Lien Obligations that become subject to this Agreement after the date hereof, the Additional Senior Class Debt Collateral Agent for such Series named in the applicable Joinder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CF Debt Agent</w:t>
      </w:r>
      <w:r>
        <w:rPr>
          <w:rFonts w:ascii="Arial" w:cs="Arial" w:eastAsia="Arial" w:hAnsi="Arial"/>
          <w:sz w:val="18"/>
          <w:szCs w:val="18"/>
          <w:color w:val="auto"/>
        </w:rPr>
        <w:t>” shall have the meaning assigned to such term in Section 4.02.</w:t>
      </w:r>
    </w:p>
    <w:p>
      <w:pPr>
        <w:spacing w:after="0" w:line="225"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Collateral Agent</w:t>
      </w:r>
      <w:r>
        <w:rPr>
          <w:rFonts w:ascii="Arial" w:cs="Arial" w:eastAsia="Arial" w:hAnsi="Arial"/>
          <w:sz w:val="18"/>
          <w:szCs w:val="18"/>
          <w:color w:val="auto"/>
        </w:rPr>
        <w:t>” means, with respect to any Shared Collateral, (i) until the earlier of (x) the Discharge of Credit Agreement Obligations and (y) the Non-Controlling Authorized Representative Enforcement Date with respect to such Shared Collateral, the Credit Agreement Collateral Agent; and (ii) from and after the earlier of (x) the Discharge of Credit Agreement Obligations and (y) the Non-Controlling Authorized Representative Enforcement Date with respect to such Shared Collateral, the Collateral Agent for the Controlling Secured Parties (acting on the instructions of the Applicable Authorized Representative).</w:t>
      </w:r>
    </w:p>
    <w:p>
      <w:pPr>
        <w:spacing w:after="0" w:line="188"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Controlling Secured Parties</w:t>
      </w:r>
      <w:r>
        <w:rPr>
          <w:rFonts w:ascii="Arial" w:cs="Arial" w:eastAsia="Arial" w:hAnsi="Arial"/>
          <w:sz w:val="17"/>
          <w:szCs w:val="17"/>
          <w:color w:val="auto"/>
        </w:rPr>
        <w:t>” means, with respect to any Shared Collateral, (i) at any time when the Credit Agreement Collateral Agent is the Controlling Collateral Agent with respect to such Shared Collateral, the Credit Agreement Secured Parties and (ii) at any other time, the Series of First Lien Secured Parties whose Authorized Representative is the Applicable Authorized Representative for such Shared Collateral.</w:t>
      </w:r>
    </w:p>
    <w:p>
      <w:pPr>
        <w:spacing w:after="0" w:line="16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means that certain Term Loan Credit Agreement, dated as of November 6, 2020, among Holdings, the Texas Intermediate Holdcos, the Borrower, the lenders from time to time party thereto, Credit Suisse AG, Cayman Islands Branch, as administrative agent (in such capacity and together with its successors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collateral agent, and the other parties thereto (as amended, restated, amended and restated, extended, supplemented, refinanced or otherwise modified from time to time).</w:t>
      </w:r>
    </w:p>
    <w:p>
      <w:pPr>
        <w:spacing w:after="0" w:line="17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Collateral Agent</w:t>
      </w:r>
      <w:r>
        <w:rPr>
          <w:rFonts w:ascii="Arial" w:cs="Arial" w:eastAsia="Arial" w:hAnsi="Arial"/>
          <w:sz w:val="16"/>
          <w:szCs w:val="16"/>
          <w:color w:val="auto"/>
        </w:rPr>
        <w:t>” has the meaning assigned to such term in the introductory paragraph of this Agreement and shall include any successor collateral agent as provided in Section 12 of the Credit Agreement; provided, however, that if the Credit Agreement is Refinanced, then all references herein to the Credit Agreement Collateral Agent shall refer to the collateral agent (or trustee) under the Refinancing.</w:t>
      </w:r>
    </w:p>
    <w:p>
      <w:pPr>
        <w:spacing w:after="0" w:line="149"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Collateral Documents</w:t>
      </w:r>
      <w:r>
        <w:rPr>
          <w:rFonts w:ascii="Arial" w:cs="Arial" w:eastAsia="Arial" w:hAnsi="Arial"/>
          <w:sz w:val="18"/>
          <w:szCs w:val="18"/>
          <w:color w:val="auto"/>
        </w:rPr>
        <w:t>” means the Security Documents (as defined in the Credit Agreement or any similar term in any Refinancing thereof) and each other agreement entered into in favor of the Credit Agreement Collateral Agent (or its agent, sub-agent, nominee or “collateral trustee”) for the purpose of securing any Credit Agreement Obligations.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76" w:name="page377"/>
    <w:bookmarkEnd w:id="376"/>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Credit Agreement Obligations</w:t>
      </w:r>
      <w:r>
        <w:rPr>
          <w:rFonts w:ascii="Arial" w:cs="Arial" w:eastAsia="Arial" w:hAnsi="Arial"/>
          <w:sz w:val="17"/>
          <w:szCs w:val="17"/>
          <w:color w:val="auto"/>
        </w:rPr>
        <w:t>” means all “Obligations” as defined in the Credit Agreement (or any similar term in any Refinancing thereof).</w:t>
      </w:r>
    </w:p>
    <w:p>
      <w:pPr>
        <w:spacing w:after="0" w:line="237"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Secured Parties</w:t>
      </w:r>
      <w:r>
        <w:rPr>
          <w:rFonts w:ascii="Arial" w:cs="Arial" w:eastAsia="Arial" w:hAnsi="Arial"/>
          <w:sz w:val="18"/>
          <w:szCs w:val="18"/>
          <w:color w:val="auto"/>
        </w:rPr>
        <w:t>” means the holders of any Credit Agreement Obligations, including the “Secured Parties” as defined in the Credit Agreement (or any similar term in any Refinancing thereof).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Financing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Financing Liens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Directing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Discharge</w:t>
      </w:r>
      <w:r>
        <w:rPr>
          <w:rFonts w:ascii="Arial" w:cs="Arial" w:eastAsia="Arial" w:hAnsi="Arial"/>
          <w:sz w:val="16"/>
          <w:szCs w:val="16"/>
          <w:color w:val="auto"/>
        </w:rPr>
        <w:t>” means, with respect to any Shared Collateral and any Series of First Lien Obligations, the date on which (i) such Series of First Lien Obligations is no longer secured by such Shared Collateral pursuant to the terms of the documentation governing such Series of First Lien Obligations or, with respect to any Secured Hedge Obligations or Secured Cash Management Obligations secured by the First Lien Security Documents for such Series of First Lien Obligations, either (x) such Secured Hedge Obligations or Secured Cash Management Obligations have been paid in full and are no longer secured by such Shared Collateral pursuant to the terms of the documentation governing such Series of First Lien Obligations, (y) such Secured Hedge Obligations or Secured Cash Management Obligations shall have been cash collateralized on terms satisfactory to each applicable counterparty (or other arrangements satisfactory to the applicable counterparty shall have been made) or (z) such Secured Hedge Obligations or Secured Cash Management Obligations are no longer secured by such Shared Collateral pursuant to the terms of the documentation governing such Series of First Lien Obligations, (ii) any letters of credit issued under the Additional First Lien Documents governing such Series of Additional First Lien Obligations have terminated or been cash collateralized or backstopped (in the amount and form required under the applicable Additional First Lien Documents) and</w:t>
      </w:r>
    </w:p>
    <w:p>
      <w:pPr>
        <w:spacing w:after="0" w:line="5" w:lineRule="exact"/>
        <w:rPr>
          <w:sz w:val="20"/>
          <w:szCs w:val="20"/>
          <w:color w:val="auto"/>
        </w:rPr>
      </w:pPr>
    </w:p>
    <w:p>
      <w:pPr>
        <w:ind w:left="4" w:right="520" w:hanging="4"/>
        <w:spacing w:after="0" w:line="260" w:lineRule="auto"/>
        <w:tabs>
          <w:tab w:leader="none" w:pos="31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commitments of the First Lien Secured Parties of such Series under their respective Secured Credit Documents have terminated. The term “</w:t>
      </w:r>
      <w:r>
        <w:rPr>
          <w:rFonts w:ascii="Arial" w:cs="Arial" w:eastAsia="Arial" w:hAnsi="Arial"/>
          <w:sz w:val="18"/>
          <w:szCs w:val="18"/>
          <w:u w:val="single" w:color="auto"/>
          <w:color w:val="auto"/>
        </w:rPr>
        <w:t>Discharged</w:t>
      </w:r>
      <w:r>
        <w:rPr>
          <w:rFonts w:ascii="Arial" w:cs="Arial" w:eastAsia="Arial" w:hAnsi="Arial"/>
          <w:sz w:val="18"/>
          <w:szCs w:val="18"/>
          <w:color w:val="auto"/>
        </w:rPr>
        <w:t>” shall have a corresponding meaning.</w:t>
      </w:r>
    </w:p>
    <w:p>
      <w:pPr>
        <w:spacing w:after="0" w:line="185"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Discharge of Credit Agreement Obligations</w:t>
      </w:r>
      <w:r>
        <w:rPr>
          <w:rFonts w:ascii="Arial" w:cs="Arial" w:eastAsia="Arial" w:hAnsi="Arial"/>
          <w:sz w:val="16"/>
          <w:szCs w:val="16"/>
          <w:color w:val="auto"/>
        </w:rPr>
        <w:t xml:space="preserve">” means, with respect to any Shared Collateral, the Discharge of the Credit Agreement Obligations with respect to such Shared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Discharge of Credit Agreement Obligations shall not be deemed to have occurred in connection with a Refinancing of such Credit Agreement Obligations with additional First Lien Obligations secured by such Shared Collateral under an Additional First Lien Document which has been designated in writing by the Administrative Agent (under the Credit Agreement so Refinanced) to the Additional First Lien Collateral Agent and each other Authorized Representative as the “Credit Agreement” for purposes of this Agreement.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 “Event of Default” (or similarly defined term) as defined in any Secured Credit Document.</w:t>
      </w:r>
    </w:p>
    <w:p>
      <w:pPr>
        <w:spacing w:after="0" w:line="158" w:lineRule="exact"/>
        <w:rPr>
          <w:sz w:val="20"/>
          <w:szCs w:val="20"/>
          <w:color w:val="auto"/>
        </w:rPr>
      </w:pPr>
    </w:p>
    <w:p>
      <w:pPr>
        <w:ind w:left="54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377" w:name="page378"/>
    <w:bookmarkEnd w:id="377"/>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First Lien Obligations</w:t>
      </w:r>
      <w:r>
        <w:rPr>
          <w:rFonts w:ascii="Arial" w:cs="Arial" w:eastAsia="Arial" w:hAnsi="Arial"/>
          <w:sz w:val="17"/>
          <w:szCs w:val="17"/>
          <w:color w:val="auto"/>
        </w:rPr>
        <w:t>” means, collectively, (i) the Credit Agreement Obligations and (ii) each Series of Additional First Lien Obligations.</w:t>
      </w:r>
    </w:p>
    <w:p>
      <w:pPr>
        <w:spacing w:after="0" w:line="23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Secured Parties</w:t>
      </w:r>
      <w:r>
        <w:rPr>
          <w:rFonts w:ascii="Arial" w:cs="Arial" w:eastAsia="Arial" w:hAnsi="Arial"/>
          <w:sz w:val="18"/>
          <w:szCs w:val="18"/>
          <w:color w:val="auto"/>
        </w:rPr>
        <w:t>” means (i) the Credit Agreement Secured Parties and (ii) the Additional First Lien Secured Parties with respect to each Series of Additional First Lien Obligations.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Security Documents</w:t>
      </w:r>
      <w:r>
        <w:rPr>
          <w:rFonts w:ascii="Arial" w:cs="Arial" w:eastAsia="Arial" w:hAnsi="Arial"/>
          <w:sz w:val="18"/>
          <w:szCs w:val="18"/>
          <w:color w:val="auto"/>
        </w:rPr>
        <w:t>” means, collectively, (i) the Credit Agreement Collateral Documents and (ii) the Additional First Lien Security Documents.</w:t>
      </w:r>
    </w:p>
    <w:p>
      <w:pPr>
        <w:spacing w:after="0" w:line="170"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xml:space="preserve">” means Holdings, the Borrower and each Subsidiary or direct or indirect parent company of Holdings which has granted a security interest pursuant to any First Lien Security Document to secure any Series of First Lien Obligations. The Grantors existing on the date hereof are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shall bear the meaning assigned to such term in the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Impairment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Additional Authorized Representative</w:t>
      </w:r>
      <w:r>
        <w:rPr>
          <w:rFonts w:ascii="Arial" w:cs="Arial" w:eastAsia="Arial" w:hAnsi="Arial"/>
          <w:sz w:val="18"/>
          <w:szCs w:val="18"/>
          <w:color w:val="auto"/>
        </w:rPr>
        <w:t>” has the meaning assigned to such term in the definition of Initial Additional First Lien Agreement and shall include any successor trustee as provided in Section 6.10 of the Initial Additional First Lien Agreement; provided, however, that if the Initial Additional First Lien Agreement is Refinanced, then all references herein to the Initial Additional Authorized Representative shall refer to the trustee (or administrative agent) under the Refinancing.</w:t>
      </w:r>
    </w:p>
    <w:p>
      <w:pPr>
        <w:spacing w:after="0" w:line="187"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Additional First Lien Agreement</w:t>
      </w:r>
      <w:r>
        <w:rPr>
          <w:rFonts w:ascii="Arial" w:cs="Arial" w:eastAsia="Arial" w:hAnsi="Arial"/>
          <w:sz w:val="16"/>
          <w:szCs w:val="16"/>
          <w:color w:val="auto"/>
        </w:rPr>
        <w:t>” mean that certain Indenture, dated as of November 6, 2020, among Holdings, the Texas Intermediate Holdcos, the Borrower, the other Grantors party thereto, The Bank of New York Mellon Trust Company, N.A., as trustee (in such capacity and together with its successors in such capacity, the “</w:t>
      </w:r>
      <w:r>
        <w:rPr>
          <w:rFonts w:ascii="Arial" w:cs="Arial" w:eastAsia="Arial" w:hAnsi="Arial"/>
          <w:sz w:val="16"/>
          <w:szCs w:val="16"/>
          <w:u w:val="single" w:color="auto"/>
          <w:color w:val="auto"/>
        </w:rPr>
        <w:t>Initial Additional Authorized Representative</w:t>
      </w:r>
      <w:r>
        <w:rPr>
          <w:rFonts w:ascii="Arial" w:cs="Arial" w:eastAsia="Arial" w:hAnsi="Arial"/>
          <w:sz w:val="16"/>
          <w:szCs w:val="16"/>
          <w:color w:val="auto"/>
        </w:rPr>
        <w:t>”), and the Initial Additional First Lien Collateral Agent.</w:t>
      </w:r>
    </w:p>
    <w:p>
      <w:pPr>
        <w:spacing w:after="0" w:line="14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Additional First Lien Collateral Agent</w:t>
      </w:r>
      <w:r>
        <w:rPr>
          <w:rFonts w:ascii="Arial" w:cs="Arial" w:eastAsia="Arial" w:hAnsi="Arial"/>
          <w:sz w:val="18"/>
          <w:szCs w:val="18"/>
          <w:color w:val="auto"/>
        </w:rPr>
        <w:t>” has the meaning assigned to such term in the introductory paragraph of this Agreement and shall include any successor collateral agent as provided in Section 6.10 of the Initial Additional First Lien Agreement; provided, however, that if the Initial Additional First Lien Agreement is Refinanced, then all references herein to the Initial Additional First Lien Collateral Agent shall refer to the collateral agent under the Refinancing.</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Additional First Lien Collateral Documents</w:t>
      </w:r>
      <w:r>
        <w:rPr>
          <w:rFonts w:ascii="Arial" w:cs="Arial" w:eastAsia="Arial" w:hAnsi="Arial"/>
          <w:sz w:val="18"/>
          <w:szCs w:val="18"/>
          <w:color w:val="auto"/>
        </w:rPr>
        <w:t>” means that certain Security Agreement, dated as of November 6, 2020, by and among the Company, Holdings, Texas Intermediate Holdcos and certain other Subsidiary of the Company party thereto and that certain Pledge Agreement, dated as of November 6, 2020, by and among the Company, Holdings, Texas Intermediate Holdcos and certain other Subsidiary of the Company party thereto (each as defined in the Initial Additional First Lien Agreement) and any other agreement, document or instrument entered into for the purpose of granting a Lien to secure any Initial Additional First Lien Obligations or to perfect such Lien (as each may be amended, restated, amended and restated, supplemented or otherwise modified from time to time).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78" w:name="page379"/>
    <w:bookmarkEnd w:id="378"/>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Initial Additional First Lien Documents</w:t>
      </w:r>
      <w:r>
        <w:rPr>
          <w:rFonts w:ascii="Arial" w:cs="Arial" w:eastAsia="Arial" w:hAnsi="Arial"/>
          <w:sz w:val="18"/>
          <w:szCs w:val="18"/>
          <w:color w:val="auto"/>
        </w:rPr>
        <w:t>” means the Initial Additional First Lien Agreement, the debt securities or promissory notes issued thereunder, the Initial Additional First Lien Collateral Documents and any security documents and other operative agreements evidencing or governing the Indebtedness thereunder, and the Liens securing such Indebtedness, including any agreement entered into for the purpose of securing the Initial Additional First Lien Obligations.</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Additional First Lien Obligations</w:t>
      </w:r>
      <w:r>
        <w:rPr>
          <w:rFonts w:ascii="Arial" w:cs="Arial" w:eastAsia="Arial" w:hAnsi="Arial"/>
          <w:sz w:val="18"/>
          <w:szCs w:val="18"/>
          <w:color w:val="auto"/>
        </w:rPr>
        <w:t>” means the “Obligations” as such term is defined in the Initial Additional First Lien Collateral Documents (or similar term in any Refinancing thereof).</w:t>
      </w:r>
    </w:p>
    <w:p>
      <w:pPr>
        <w:spacing w:after="0" w:line="170" w:lineRule="exact"/>
        <w:rPr>
          <w:sz w:val="20"/>
          <w:szCs w:val="20"/>
          <w:color w:val="auto"/>
        </w:rPr>
      </w:pPr>
    </w:p>
    <w:p>
      <w:pPr>
        <w:jc w:val="both"/>
        <w:ind w:right="7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Additional First Lien Secured Parties</w:t>
      </w:r>
      <w:r>
        <w:rPr>
          <w:rFonts w:ascii="Arial" w:cs="Arial" w:eastAsia="Arial" w:hAnsi="Arial"/>
          <w:sz w:val="16"/>
          <w:szCs w:val="16"/>
          <w:color w:val="auto"/>
        </w:rPr>
        <w:t>” means the Initial Additional First Lien Collateral Agent, the Initial Additional Authorized Representative and the holders of the Initial Additional First Lien Obligations incurred pursuant to the Initial Additional First Lien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or Liquidation Proceeding</w:t>
      </w:r>
      <w:r>
        <w:rPr>
          <w:rFonts w:ascii="Arial" w:cs="Arial" w:eastAsia="Arial" w:hAnsi="Arial"/>
          <w:sz w:val="18"/>
          <w:szCs w:val="18"/>
          <w:color w:val="auto"/>
        </w:rPr>
        <w:t>” means:</w:t>
      </w:r>
    </w:p>
    <w:p>
      <w:pPr>
        <w:spacing w:after="0" w:line="117" w:lineRule="exact"/>
        <w:rPr>
          <w:sz w:val="20"/>
          <w:szCs w:val="20"/>
          <w:color w:val="auto"/>
        </w:rPr>
      </w:pPr>
    </w:p>
    <w:p>
      <w:pPr>
        <w:ind w:left="440" w:right="80" w:firstLine="419"/>
        <w:spacing w:after="0" w:line="259" w:lineRule="auto"/>
        <w:tabs>
          <w:tab w:leader="none" w:pos="111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case commenced by or against the Borrower or any other Grantor under any Bankruptcy Law, any other proceeding for the reorganization, recapitalization or adjustment or marshalling of the assets or liabilities of the Borrower or any other Grantor, any receivership or assignment for the benefit of creditors relating to the Company or any other Grantor or any similar case or proceeding relative to the Borrower or any other Grantor or its creditors, as such, in each case whether or not voluntary;</w:t>
      </w:r>
    </w:p>
    <w:p>
      <w:pPr>
        <w:spacing w:after="0" w:line="78"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liquidation, dissolution, marshalling of assets or liabilities or other winding up of or relating to the Borrower or any other Grantor, in each case whether or not voluntary and whether or not involving bankruptcy or insolvency; or</w:t>
      </w:r>
    </w:p>
    <w:p>
      <w:pPr>
        <w:spacing w:after="0" w:line="62" w:lineRule="exact"/>
        <w:rPr>
          <w:rFonts w:ascii="Arial" w:cs="Arial" w:eastAsia="Arial" w:hAnsi="Arial"/>
          <w:sz w:val="18"/>
          <w:szCs w:val="18"/>
          <w:color w:val="auto"/>
        </w:rPr>
      </w:pPr>
    </w:p>
    <w:p>
      <w:pPr>
        <w:ind w:left="440" w:right="580" w:firstLine="419"/>
        <w:spacing w:after="0" w:line="277" w:lineRule="auto"/>
        <w:tabs>
          <w:tab w:leader="none" w:pos="111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other proceeding of any type or nature in which substantially all claims of creditors of the Borrower or any other Grantor are determined and any payment or distribution is or may be made on account of such claims.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Creditor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to this Agreement substantially in the form of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 required to be delivered by an Additional Senior Class Debt Representative and the related Additional Senior Class Debt Collateral Agent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hereof in order to establish an additional Series of Additional Senior Class Debt and add Additional Senior Class Debt Parties hereunder.</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any mortgage, lien (statutory or otherwise), pledge, hypothecation, charge, security interest, preference, priority, or encumbrance of any kind in respect of such asset, whether or not filed, recorded, registered, published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no event shall an operating lease or a license, sub-license or cross-license to Intellectual Property be deemed to constitute a Lien.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379" w:name="page380"/>
    <w:bookmarkEnd w:id="379"/>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Major Non-Controlling Authorized Representative</w:t>
      </w:r>
      <w:r>
        <w:rPr>
          <w:rFonts w:ascii="Arial" w:cs="Arial" w:eastAsia="Arial" w:hAnsi="Arial"/>
          <w:sz w:val="18"/>
          <w:szCs w:val="18"/>
          <w:color w:val="auto"/>
        </w:rPr>
        <w:t>” means, with respect to any Shared Collateral, the Authorized Representative of the Series of Additional First Lien Obligations that constitutes the largest outstanding aggregate principal amount of any then outstanding Series of Additional First Lien Obligations (other than the Series whose collateral agent was the then Controlling Collateral Agent) (provided, however, that if there are two outstanding Series of Additional First Lien Obligations which have an equal outstanding principal amount, the Series of Additional First Lien Obligations with the earlier maturity date shall be considered to have the larger outstanding principal amount for purposes of this definition; provided, further, that “principal amount” for purposes of this definition shall be deemed to include the face amount of any outstanding letter of credit issued under the particular Series).</w:t>
      </w:r>
    </w:p>
    <w:p>
      <w:pPr>
        <w:spacing w:after="0" w:line="19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Non-Controlling Authorized Representative</w:t>
      </w:r>
      <w:r>
        <w:rPr>
          <w:rFonts w:ascii="Arial" w:cs="Arial" w:eastAsia="Arial" w:hAnsi="Arial"/>
          <w:sz w:val="18"/>
          <w:szCs w:val="18"/>
          <w:color w:val="auto"/>
        </w:rPr>
        <w:t>” means, at any time with respect to any Shared Collateral, any Authorized Representative that is not the Applicable Authorized Representative at such time with respect to such Shared Collateral.</w:t>
      </w:r>
    </w:p>
    <w:p>
      <w:pPr>
        <w:spacing w:after="0" w:line="170"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Non-Controlling Authorized Representative Enforcement Date</w:t>
      </w:r>
      <w:r>
        <w:rPr>
          <w:rFonts w:ascii="Arial" w:cs="Arial" w:eastAsia="Arial" w:hAnsi="Arial"/>
          <w:sz w:val="17"/>
          <w:szCs w:val="17"/>
          <w:color w:val="auto"/>
        </w:rPr>
        <w:t xml:space="preserve">” means, with respect to any Non-Controlling Authorized Representative, the date which is 180 consecutive days (throughout which consecutive 180 day period such Non-Controlling Authorized Representative was the Major Non-Controlling Authorized Representative) after the occurrence of both (i) an Event of Default (under and as defined in the Additional First Lien Document under which such Non-Controlling Authorized Representative is the Authorized Representative) and (ii) each Collateral Agent’s and each other Authorized Representative’s receipt of written notice from such Non-Controlling Authorized Representative certifying that (x) such Non-Controlling Authorized Representative is the Major Non-Controlling Authorized Representative and that an Event of Default (under and as defined in the Additional First Lien Document under which such Non-Controlling Authorized Representative is the Authorized Representative) has occurred and is continuing and (y) the Additional First Lien Obligations of the Series with respect to which such Non-Controlling Authorized Representative is the Authorized Representative are currently due and payable in full (whether as a result of acceleration thereof or otherwise) in accordance with the terms of the applicable Additional First Lien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Non-Controlling Authorized Representative Enforcement Date shall be stayed and shall not occur and shall be deemed not to have occurred with respect to any Shared Collateral (1) at any time the Administrative Agent, the Applicable Authorized Representative or the Controlling Collateral Agent (acting at the direction of the Applicable Authorized Representative) has commenced and is diligently pursuing any enforcement action (including delivery by the Controlling Collateral Agent of a notice to the ABL Agent (as such term is defined in the ABL Intercreditor Agreement) that commences any standstill period thereunder with respect to the ABL Priority Collateral) with respect to such any or all of Shared Collateral, (2) at any time the Controlling Collateral Agent is stayed under the ABL Intercreditor Agreement from pursuing enforcement actions with respect to the ABL Priority Collateral or (3) at any time the Grantor which has granted a security interest in such Shared Collateral is then a debtor under or with respect to (or otherwise subject to) any Insolvency or Liquidation Proceeding. If the Non-Controlling Authorized Representative or any other Non-Controlling Secured Party exercises any rights or remedies with respect to the Shared Collateral in accordance with the immediately preceding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80" w:name="page381"/>
    <w:bookmarkEnd w:id="38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sentence of this paragraph and thereafter the Controlling Collateral Agent or any other Controlling Secured Party commences (or attempts to commence) the exercise of any of its rights or remedies with respect to the Shared Collateral (including seeking relief from the automatic stay or any other stay in any Insolvency or Liquidation Proceeding), the Non-Controlling Authorized Representative Enforcement Date shall be deemed not to have occurred and the Non-Controlling Authorized Representative or any other Non-Controlling Secured Party shall be required to stop exercising any such rights or remedies with respect to the Shared Collateral.</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Non-Controlling Secured Parties</w:t>
      </w:r>
      <w:r>
        <w:rPr>
          <w:rFonts w:ascii="Arial" w:cs="Arial" w:eastAsia="Arial" w:hAnsi="Arial"/>
          <w:sz w:val="18"/>
          <w:szCs w:val="18"/>
          <w:color w:val="auto"/>
        </w:rPr>
        <w:t>” means, with respect to any Shared Collateral, the First Lien Secured Parties which are not Controlling Secured Parties with respect to such Shared Collateral.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Intercreditor Agreements</w:t>
      </w:r>
      <w:r>
        <w:rPr>
          <w:rFonts w:ascii="Arial" w:cs="Arial" w:eastAsia="Arial" w:hAnsi="Arial"/>
          <w:sz w:val="18"/>
          <w:szCs w:val="18"/>
          <w:color w:val="auto"/>
        </w:rPr>
        <w:t>” means the ABL Intercreditor Agreement and, if in effect, the Second Lien Intercreditor Agreement.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(including limited partnership), joint venture, firm, corporation, limited liability company, association, joint stock company, unincorporated organization, trust, or other enterprise or any Governmental Authority.</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Possessory Collateral</w:t>
      </w:r>
      <w:r>
        <w:rPr>
          <w:rFonts w:ascii="Arial" w:cs="Arial" w:eastAsia="Arial" w:hAnsi="Arial"/>
          <w:sz w:val="18"/>
          <w:szCs w:val="18"/>
          <w:color w:val="auto"/>
        </w:rPr>
        <w:t>” means any Shared Collateral in the possession of a Collateral Agent (or its agents or bailees), to the extent that possession thereof perfects a Lien thereon under the Uniform Commercial Code of any jurisdiction. Possessory Collateral includes, without limitation, any Certificated Securities, Promissory Notes, Instruments, and Chattel Paper, in each case, delivered to or in the possession of the Collateral Agent under the terms of the First Lien Security Documents.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w:t>
      </w:r>
      <w:r>
        <w:rPr>
          <w:rFonts w:ascii="Arial" w:cs="Arial" w:eastAsia="Arial" w:hAnsi="Arial"/>
          <w:sz w:val="17"/>
          <w:szCs w:val="17"/>
          <w:color w:val="auto"/>
        </w:rPr>
        <w:t>” means, in respect of any indebtedness, to refinance, extend, renew, defease, amend, increase, modify, supplement, restructure, refund, replace or repay such indebtedness, or to issue other indebtedness or enter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w:t>
      </w:r>
      <w:r>
        <w:rPr>
          <w:rFonts w:ascii="Arial" w:cs="Arial" w:eastAsia="Arial" w:hAnsi="Arial"/>
          <w:sz w:val="17"/>
          <w:szCs w:val="17"/>
          <w:u w:val="single" w:color="auto"/>
          <w:color w:val="auto"/>
        </w:rPr>
        <w:t>Refinanced</w:t>
      </w:r>
      <w:r>
        <w:rPr>
          <w:rFonts w:ascii="Arial" w:cs="Arial" w:eastAsia="Arial" w:hAnsi="Arial"/>
          <w:sz w:val="17"/>
          <w:szCs w:val="17"/>
          <w:color w:val="auto"/>
        </w:rPr>
        <w:t>” and “</w:t>
      </w:r>
      <w:r>
        <w:rPr>
          <w:rFonts w:ascii="Arial" w:cs="Arial" w:eastAsia="Arial" w:hAnsi="Arial"/>
          <w:sz w:val="17"/>
          <w:szCs w:val="17"/>
          <w:u w:val="single" w:color="auto"/>
          <w:color w:val="auto"/>
        </w:rPr>
        <w:t>Refinancing</w:t>
      </w:r>
      <w:r>
        <w:rPr>
          <w:rFonts w:ascii="Arial" w:cs="Arial" w:eastAsia="Arial" w:hAnsi="Arial"/>
          <w:sz w:val="17"/>
          <w:szCs w:val="17"/>
          <w:color w:val="auto"/>
        </w:rPr>
        <w:t>” have correlative meanings.</w:t>
      </w:r>
    </w:p>
    <w:p>
      <w:pPr>
        <w:spacing w:after="0" w:line="17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Intercreditor Agreement</w:t>
      </w:r>
      <w:r>
        <w:rPr>
          <w:rFonts w:ascii="Arial" w:cs="Arial" w:eastAsia="Arial" w:hAnsi="Arial"/>
          <w:sz w:val="18"/>
          <w:szCs w:val="18"/>
          <w:color w:val="auto"/>
        </w:rPr>
        <w:t>” means the “Second Lien Intercreditor Agreement” substantially in the form of Exhibit I-2 to the Credit Agreement (as such Credit Agreement is in effect on the date hereof).</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Obligations</w:t>
      </w:r>
      <w:r>
        <w:rPr>
          <w:rFonts w:ascii="Arial" w:cs="Arial" w:eastAsia="Arial" w:hAnsi="Arial"/>
          <w:sz w:val="18"/>
          <w:szCs w:val="18"/>
          <w:color w:val="auto"/>
        </w:rPr>
        <w:t>” shall mean obligations of a Grantor under Cash Management Agreements with a First Lien Secured Party that are intended under the applicable First Lien Security Document to be secured by Shared Collateral.</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Obligations</w:t>
      </w:r>
      <w:r>
        <w:rPr>
          <w:rFonts w:ascii="Arial" w:cs="Arial" w:eastAsia="Arial" w:hAnsi="Arial"/>
          <w:sz w:val="18"/>
          <w:szCs w:val="18"/>
          <w:color w:val="auto"/>
        </w:rPr>
        <w:t>” shall mean obligations of a Grantor under Hedge Agreements with a First Lien Secured Party that are intended under the applicable First Lien Security Document to be secured by Shared Collateral.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81" w:name="page382"/>
    <w:bookmarkEnd w:id="381"/>
    <w:p>
      <w:pPr>
        <w:ind w:right="4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Secured Credit Document</w:t>
      </w:r>
      <w:r>
        <w:rPr>
          <w:rFonts w:ascii="Arial" w:cs="Arial" w:eastAsia="Arial" w:hAnsi="Arial"/>
          <w:sz w:val="18"/>
          <w:szCs w:val="18"/>
          <w:color w:val="auto"/>
        </w:rPr>
        <w:t>” means (i) the Credit Agreement and each Credit Document (as defined in the Credit Agreement), (ii) each Initial Additional First Lien Document, and (iii) each Additional First Lien Document.</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w:t>
      </w:r>
      <w:r>
        <w:rPr>
          <w:rFonts w:ascii="Arial" w:cs="Arial" w:eastAsia="Arial" w:hAnsi="Arial"/>
          <w:sz w:val="16"/>
          <w:szCs w:val="16"/>
          <w:color w:val="auto"/>
        </w:rPr>
        <w:t>” means (a) with respect to the First Lien Secured Parties, each of (i) the Credit Agreement Secured Parties (in their capacities as such), (ii) the Initial Additional First Lien Secured Parties (in their capacities as such), and (iii) the Additional First Lien Secured Parties that become subject to this Agreement after the date hereof that are represented by a common Authorized Representative (in its capacity as such for such Additional First Lien Secured Parties) and (b) with respect to any First Lien Obligations, each of (i) the Credit Agreement Obligations, (ii) the Initial Additional First Lien Obligations, and (iii) the Additional First Lien Obligations incurred pursuant to any Additional First Lien Document, which pursuant to any Joinder Agreement, are to be represented hereunder by a common Authorized Representative (in its capacity as such for such Additional First Lien Obligations).</w:t>
      </w:r>
    </w:p>
    <w:p>
      <w:pPr>
        <w:spacing w:after="0" w:line="16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Shared Collateral</w:t>
      </w:r>
      <w:r>
        <w:rPr>
          <w:rFonts w:ascii="Arial" w:cs="Arial" w:eastAsia="Arial" w:hAnsi="Arial"/>
          <w:sz w:val="17"/>
          <w:szCs w:val="17"/>
          <w:color w:val="auto"/>
        </w:rPr>
        <w:t>” means, at any time, Collateral in which the holders (or their Collateral Agent or Authorized Representative on behalf of such holders) of two or more Series of First Lien Obligations hold or purport to hold, or are required to hold, pursuant to the Secured Credit Documents in respect of such Series, a valid and perfected security interest at such time. If more than two Series of First Lien Obligations are outstanding at any time and the holders of less than all Series of First Lien Obligations hold or purport to hold, or are required to hold, pursuant to the Secured Credit Documents in respect of such Series, a valid and perfected security interest in any Collateral at such time, then such Collateral shall constitute Shared Collateral for those Series of First Lien Obligations that hold or purport to hold, or are required to hold, pursuant to the Secured Credit Documents in respect of such Series, a valid and perfected security interest in such Collateral at such time and shall not constitute Shared Collateral for any Series which does not hold or purport to hold, or are required to hold, pursuant to the Secured Credit Documents in respect of such Series, a valid and perfected security interest in such Collateral at such time.</w:t>
      </w:r>
    </w:p>
    <w:p>
      <w:pPr>
        <w:spacing w:after="0" w:line="181"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means the Uniform Commercial Code as from time to time in effect in the State of New York; provided, however,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157"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Interpretive Provision</w:t>
      </w:r>
      <w:r>
        <w:rPr>
          <w:rFonts w:ascii="Arial" w:cs="Arial" w:eastAsia="Arial" w:hAnsi="Arial"/>
          <w:sz w:val="18"/>
          <w:szCs w:val="18"/>
          <w:color w:val="auto"/>
        </w:rPr>
        <w:t xml:space="preserve">. The interpretive provisions contained in Section 1 of the Credit Agreement are incorporated herein,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as if a part hereof.</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Impairments</w:t>
      </w:r>
      <w:r>
        <w:rPr>
          <w:rFonts w:ascii="Arial" w:cs="Arial" w:eastAsia="Arial" w:hAnsi="Arial"/>
          <w:sz w:val="18"/>
          <w:szCs w:val="18"/>
          <w:color w:val="auto"/>
        </w:rPr>
        <w:t>. It is the intention of the First Lien Secured Parties of each Series that the holders of First Lien Obligations of such Series (and not the First Lien Secured Parties of any other Series) bear the risk of (i) any determination by a court of competent jurisdiction that (x) any of the First Lien Obligations of such Series are unenforceable under applicable law or are subordinated to any other obligations (other than another Series of First Lien Obligations), (y) any of the First Lien Obligations of such Series do not have an enforceable security interest in any of the Collateral securing any other Series of First Lien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82" w:name="page383"/>
    <w:bookmarkEnd w:id="382"/>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and/or (z) any intervening security interest exists securing any other obligations (other than another Series of First Lien Obligations) on a basis ranking prior to the security interest of such Series of First Lien Obligations but junior to the security interest of any other Series of First Lien Obligations or (ii) the existence of any Collateral for any other Series of First Lien Obligations that is not Shared Collateral for such Series (any such condition referred to in the foregoing clauses (i) or (ii) with respect to any Series of First Lien Obligations, an “</w:t>
      </w:r>
      <w:r>
        <w:rPr>
          <w:rFonts w:ascii="Arial" w:cs="Arial" w:eastAsia="Arial" w:hAnsi="Arial"/>
          <w:sz w:val="17"/>
          <w:szCs w:val="17"/>
          <w:u w:val="single" w:color="auto"/>
          <w:color w:val="auto"/>
        </w:rPr>
        <w:t>Impairment</w:t>
      </w:r>
      <w:r>
        <w:rPr>
          <w:rFonts w:ascii="Arial" w:cs="Arial" w:eastAsia="Arial" w:hAnsi="Arial"/>
          <w:sz w:val="17"/>
          <w:szCs w:val="17"/>
          <w:color w:val="auto"/>
        </w:rPr>
        <w:t xml:space="preserve">”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existence of a maximum claim with respect to any Mortgage (as defined in the Credit Agreement) that applies to all First Lien Obligations shall not be deemed to be an Impairment of any Series of First Lien Obligations. In the event of any Impairment with respect to any Series of First Lien Obligations, the results of such Impairment shall be borne solely by the holders of such Series of First Lien Obligations, and the rights of the holders of such Series of First Lien Obligations (including, without limitation, the right to receive distributions in respect of such Series of First Lien Obligations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set forth herein shall be modified to the extent necessary so that the effects of such Impairment are borne solely by the holders of the Series of such First Lien Obligations subject to such Impairment. Additionally, in the event the First Lien Obligations of any Series are modified pursuant to applicable law (including, without limitation, pursuant to Section 1129 of the Bankruptcy Code), any reference to such First Lien Obligations or the First Lien Security Documents governing such First Lien Obligations shall refer to such obligations or such documents as so modified.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Priorities and Agreements with Respect to Shared Collateral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Priority of Claims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Anything contained herein or in any of the Secured Credit Documents to the contrary notwithstanding (but subject to </w:t>
      </w:r>
      <w:r>
        <w:rPr>
          <w:rFonts w:ascii="Arial" w:cs="Arial" w:eastAsia="Arial" w:hAnsi="Arial"/>
          <w:sz w:val="17"/>
          <w:szCs w:val="17"/>
          <w:u w:val="single" w:color="auto"/>
          <w:color w:val="auto"/>
        </w:rPr>
        <w:t>Section 1.03</w:t>
      </w:r>
      <w:r>
        <w:rPr>
          <w:rFonts w:ascii="Arial" w:cs="Arial" w:eastAsia="Arial" w:hAnsi="Arial"/>
          <w:sz w:val="17"/>
          <w:szCs w:val="17"/>
          <w:color w:val="auto"/>
        </w:rPr>
        <w:t>), if an Event of Default or an event of default under any document governing a Series of First Lien Obligations has occurred and is continuing, and the Controlling Collateral Agent is taking action to enforce rights in respect of any Shared Collateral, or any distribution is made in respect of any Shared Collateral in any Insolvency or Liquidation Proceeding of the Borrower or any other Grantor or any First Lien Secured Party receives any payment pursuant to any intercreditor agreement (other than this Agreement but including the Other Intercreditor Agreements) with respect to any Shared Collateral, the proceeds of any sale, collection or other liquidation of any such Shared Collateral by the Controlling Collateral Agent or received by the Controlling Collateral Agent or any First Lien Secured Party pursuant to any such intercreditor agreement with respect to such Shared Collateral and proceeds of any such distribution (subject, in the case of any such distribution, to the sentence immediately following) to which the First Lien Obligations are entitled under any intercreditor agreement (other than this Agreement but including the Other Intercreditor Agreements) (all proceeds of any sale, collection or other liquidation of any Shared Collateral and any payment or distribution made in respect of Shared Collateral pursuant to any intercreditor agreement (including the Other Intercreditor Agreements) or in an Insolvency or Liquidation Proceeding being collectively referred to as “</w:t>
      </w:r>
      <w:r>
        <w:rPr>
          <w:rFonts w:ascii="Arial" w:cs="Arial" w:eastAsia="Arial" w:hAnsi="Arial"/>
          <w:sz w:val="17"/>
          <w:szCs w:val="17"/>
          <w:u w:val="single" w:color="auto"/>
          <w:color w:val="auto"/>
        </w:rPr>
        <w:t>Proceeds</w:t>
      </w:r>
      <w:r>
        <w:rPr>
          <w:rFonts w:ascii="Arial" w:cs="Arial" w:eastAsia="Arial" w:hAnsi="Arial"/>
          <w:sz w:val="17"/>
          <w:szCs w:val="17"/>
          <w:color w:val="auto"/>
        </w:rPr>
        <w:t xml:space="preserve">”), shall be applied, subject to the terms of the ABL Intercreditor Agreement with respect to ABL Priority Collateral (and subject to </w:t>
      </w:r>
      <w:r>
        <w:rPr>
          <w:rFonts w:ascii="Arial" w:cs="Arial" w:eastAsia="Arial" w:hAnsi="Arial"/>
          <w:sz w:val="17"/>
          <w:szCs w:val="17"/>
          <w:u w:val="single" w:color="auto"/>
          <w:color w:val="auto"/>
        </w:rPr>
        <w:t>Section 1.03</w:t>
      </w:r>
      <w:r>
        <w:rPr>
          <w:rFonts w:ascii="Arial" w:cs="Arial" w:eastAsia="Arial" w:hAnsi="Arial"/>
          <w:sz w:val="17"/>
          <w:szCs w:val="17"/>
          <w:color w:val="auto"/>
        </w:rPr>
        <w:t>), (i) FIRST, to the payment of all amounts owing to each Collateral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83" w:name="page384"/>
    <w:bookmarkEnd w:id="38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Agent (in its capacity as such) pursuant to the terms of any Secured Credit Document, (ii) SECOND, subject to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to the payment in full of the First Lien Obligations of each Series on a ratable basis, with such Proceeds to be applied to the First Lien Obligations of a given Series in accordance with the terms of the applicable Secured Credit Documents and (iii) THIRD, after payment of all First Lien Obligations, to the Borrower and the other Grantors or their successors or assigns, as their interests may appear, or to whomsoever may be lawfully entitled to receive the same pursuant to the Second Lien Intercreditor Agreement, if in effect, or otherwise, as a court of competent jurisdiction may direct. If, despite the provisions of this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any First Lien Secured Party shall receive any payment or other recovery in excess of its portion of payments on account of the First Lien Obligations to which it is then entitled in accordance with this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such First Lien Secured Party shall hold such payment or recovery in trust for the benefit of all First Lien Secured Parties for distribution in accordance with this </w:t>
      </w:r>
      <w:r>
        <w:rPr>
          <w:rFonts w:ascii="Arial" w:cs="Arial" w:eastAsia="Arial" w:hAnsi="Arial"/>
          <w:sz w:val="17"/>
          <w:szCs w:val="17"/>
          <w:u w:val="single" w:color="auto"/>
          <w:color w:val="auto"/>
        </w:rPr>
        <w:t>Section 2.01(a)</w:t>
      </w:r>
      <w:r>
        <w:rPr>
          <w:rFonts w:ascii="Arial" w:cs="Arial" w:eastAsia="Arial" w:hAnsi="Arial"/>
          <w:sz w:val="17"/>
          <w:szCs w:val="17"/>
          <w:color w:val="auto"/>
        </w:rPr>
        <w:t>. Notwithstanding the foregoing, with respect to any Shared Collateral for which a third party (other than a First Lien Secured Party) has a lien or security interest that is junior in priority to the security interest of any Series of First Lien Obligations, after giving effect to the Second Lien Intercreditor Agreement, if applicable, but senior (as determined by appropriate legal proceedings in the case of any dispute) to the security interest of any other Series of First Lien Obligations (such third party, an “</w:t>
      </w:r>
      <w:r>
        <w:rPr>
          <w:rFonts w:ascii="Arial" w:cs="Arial" w:eastAsia="Arial" w:hAnsi="Arial"/>
          <w:sz w:val="17"/>
          <w:szCs w:val="17"/>
          <w:u w:val="single" w:color="auto"/>
          <w:color w:val="auto"/>
        </w:rPr>
        <w:t>Intervening Creditor</w:t>
      </w:r>
      <w:r>
        <w:rPr>
          <w:rFonts w:ascii="Arial" w:cs="Arial" w:eastAsia="Arial" w:hAnsi="Arial"/>
          <w:sz w:val="17"/>
          <w:szCs w:val="17"/>
          <w:color w:val="auto"/>
        </w:rPr>
        <w:t>”), the value of any Shared Collateral or Proceeds allocated to such Intervening Creditor shall be deducted on a ratable basis solely from the Shared Collateral or Proceeds to be distributed in respect of the Series of First Lien Obligations with respect to which such Impairment exists.</w:t>
      </w:r>
    </w:p>
    <w:p>
      <w:pPr>
        <w:spacing w:after="0" w:line="184" w:lineRule="exact"/>
        <w:rPr>
          <w:sz w:val="20"/>
          <w:szCs w:val="20"/>
          <w:color w:val="auto"/>
        </w:rPr>
      </w:pPr>
    </w:p>
    <w:p>
      <w:pPr>
        <w:ind w:right="140" w:firstLine="436"/>
        <w:spacing w:after="0" w:line="259" w:lineRule="auto"/>
        <w:tabs>
          <w:tab w:leader="none" w:pos="69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It is acknowledged that the First Lien Obligations of any Series may, subject to the limitations set forth in the then extant Secured Credit Documents, be increased, extended, renewed, replaced, restated, supplemented, restructured, repaid, refunded, Refinanced or otherwise amended or modified from time to time, all without affecting the priorities of claims and applicable of proceeds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or the provisions of this Agreement defining the relative rights of the First Lien Secured Parties of any Series.</w:t>
      </w:r>
    </w:p>
    <w:p>
      <w:pPr>
        <w:spacing w:after="0" w:line="186" w:lineRule="exact"/>
        <w:rPr>
          <w:rFonts w:ascii="Arial" w:cs="Arial" w:eastAsia="Arial" w:hAnsi="Arial"/>
          <w:sz w:val="18"/>
          <w:szCs w:val="18"/>
          <w:color w:val="auto"/>
        </w:rPr>
      </w:pPr>
    </w:p>
    <w:p>
      <w:pPr>
        <w:jc w:val="both"/>
        <w:ind w:right="80" w:firstLine="436"/>
        <w:spacing w:after="0" w:line="257" w:lineRule="auto"/>
        <w:tabs>
          <w:tab w:leader="none" w:pos="68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Notwithstanding the date, time, method, manner or order of grant, attachment or perfection of any Liens securing any Series of First Lien Obligations granted on the Shared Collateral and notwithstanding any provision of the Uniform Commercial Code of any jurisdiction, or any other applicable law or the Secured Credit Documents or any defect or deficiencies in the Liens securing the First Lien Obligations of any Series or any other circumstance whatsoever (but, in each case,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each First Lien Secured Party hereby agrees that the Liens securing each Series of First Lien Obligations on any Shared Collateral shall be of equal priority.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2.02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Actions with Respect to Shared Collateral; Prohibition on Contesting Liens</w:t>
      </w:r>
      <w:r>
        <w:rPr>
          <w:rFonts w:ascii="Arial" w:cs="Arial" w:eastAsia="Arial" w:hAnsi="Arial"/>
          <w:sz w:val="18"/>
          <w:szCs w:val="18"/>
          <w:color w:val="auto"/>
        </w:rPr>
        <w:t>.</w:t>
      </w:r>
    </w:p>
    <w:p>
      <w:pPr>
        <w:spacing w:after="0" w:line="225" w:lineRule="exact"/>
        <w:rPr>
          <w:sz w:val="20"/>
          <w:szCs w:val="20"/>
          <w:color w:val="auto"/>
        </w:rPr>
      </w:pPr>
    </w:p>
    <w:p>
      <w:pPr>
        <w:ind w:right="200" w:firstLine="436"/>
        <w:spacing w:after="0" w:line="263" w:lineRule="auto"/>
        <w:tabs>
          <w:tab w:leader="none" w:pos="68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Subject to the terms of the ABL Intercreditor Agreement with respect to ABL Priority Collateral, only the Controlling Collateral Agent shall act or refrain from acting with respect to any Shared Collateral (including with respect to any intercreditor agreement with respect to any Shared Collateral). At any time when the Credit Agreement Collateral Agent is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84" w:name="page385"/>
    <w:bookmarkEnd w:id="38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Controlling Collateral Agent, no Additional First Lien Secured Party shall or shall instruct any Collateral Agent to, and neither the Initial Additional First Lien Collateral Agent nor any other Collateral Agent that is not the Controlling Collateral Agent shall, commence any judicial or nonjudicial foreclosure or realization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Additional First Lien Security Document, applicable law or otherwise; it being agreed that, subject to the terms of the ABL Intercreditor Agreement with respect to ABL Priority Collateral, at any time when the Credit Agreement Collateral Agent is the Controlling Collateral Agent, only the Credit Agreement Collateral Agent (or a person authorized by it), acting in accordance with the Credit Agreement Collateral Documents, shall be entitled to take any such actions or exercise any such remedies with respect to Shared Collateral at such time and the Initial Additional First Lien Collateral Agent will have not rights to take any action under this Agreement with respect to the Shared Collateral (unless and until it becomes the Controlling Collateral Agent).</w:t>
      </w:r>
    </w:p>
    <w:p>
      <w:pPr>
        <w:spacing w:after="0" w:line="182" w:lineRule="exact"/>
        <w:rPr>
          <w:sz w:val="20"/>
          <w:szCs w:val="20"/>
          <w:color w:val="auto"/>
        </w:rPr>
      </w:pPr>
    </w:p>
    <w:p>
      <w:pPr>
        <w:ind w:right="20" w:firstLine="436"/>
        <w:spacing w:after="0" w:line="287" w:lineRule="auto"/>
        <w:tabs>
          <w:tab w:leader="none" w:pos="695" w:val="left"/>
        </w:tabs>
        <w:numPr>
          <w:ilvl w:val="0"/>
          <w:numId w:val="328"/>
        </w:numPr>
        <w:rPr>
          <w:rFonts w:ascii="Arial" w:cs="Arial" w:eastAsia="Arial" w:hAnsi="Arial"/>
          <w:sz w:val="16"/>
          <w:szCs w:val="16"/>
          <w:color w:val="auto"/>
        </w:rPr>
      </w:pPr>
      <w:r>
        <w:rPr>
          <w:rFonts w:ascii="Arial" w:cs="Arial" w:eastAsia="Arial" w:hAnsi="Arial"/>
          <w:sz w:val="16"/>
          <w:szCs w:val="16"/>
          <w:color w:val="auto"/>
        </w:rPr>
        <w:t>With respect to any Shared Collateral at any time when the Credit Agreement Collateral Agent is not the Controlling Collateral Agent with respect thereto, (i) the Controlling Collateral Agent shall act only on the instructions of the Applicable Authorized Representative, (ii) the Controlling Collateral Agent shall not follow any instructions with respect to such Shared Collateral (including with respect to any intercreditor agreement with respect to any Shared Collateral) from any Non-Controlling Authorized Representative (or any other First Lien Secured Party other than the Applicable Authorized Representative) and (iii) no Non-Controlling Authorized Representative or other First Lien Secured Party (other than the Applicable Authorized Representative) shall or shall instruct the Controlling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First Lien Security Document, applicable law or otherwise, it being agreed that only the Controlling Collateral Agent (or a person authorized by it), acting on the instructions of the Applicable Authorized Representative and in accordance with the applicable First Lien Security Documents shall be entitled to take any such actions or exercise any such remedies with respect to such Shared Collateral.</w:t>
      </w:r>
    </w:p>
    <w:p>
      <w:pPr>
        <w:spacing w:after="0" w:line="167" w:lineRule="exact"/>
        <w:rPr>
          <w:rFonts w:ascii="Arial" w:cs="Arial" w:eastAsia="Arial" w:hAnsi="Arial"/>
          <w:sz w:val="16"/>
          <w:szCs w:val="16"/>
          <w:color w:val="auto"/>
        </w:rPr>
      </w:pPr>
    </w:p>
    <w:p>
      <w:pPr>
        <w:ind w:right="180" w:firstLine="436"/>
        <w:spacing w:after="0" w:line="273" w:lineRule="auto"/>
        <w:tabs>
          <w:tab w:leader="none" w:pos="685" w:val="left"/>
        </w:tabs>
        <w:numPr>
          <w:ilvl w:val="0"/>
          <w:numId w:val="328"/>
        </w:numPr>
        <w:rPr>
          <w:rFonts w:ascii="Arial" w:cs="Arial" w:eastAsia="Arial" w:hAnsi="Arial"/>
          <w:sz w:val="17"/>
          <w:szCs w:val="17"/>
          <w:color w:val="auto"/>
        </w:rPr>
      </w:pPr>
      <w:r>
        <w:rPr>
          <w:rFonts w:ascii="Arial" w:cs="Arial" w:eastAsia="Arial" w:hAnsi="Arial"/>
          <w:sz w:val="17"/>
          <w:szCs w:val="17"/>
          <w:color w:val="auto"/>
        </w:rPr>
        <w:t>Notwithstanding the equal priority of the Liens securing each Series of First Lien Obligations with respect to any Shared Collateral, the Controlling Collateral Agent with respect thereto (acting on the instructions of the Applicable Authorized Representative if it is not the Credit Agreement Collateral Agent) may deal with such Shared Collateral as if such Controlling Collateral Agent had a senior Lien on such Collateral. No Non-Controlling Authorized Representative or Non-Controlling Secured Party in respect of any Shared Collateral will contest, protest or object to any foreclosure proceeding or action brought by the Controlling Collateral Agent, the Applicable Authorized Representative or any other Controlling Secured Party or any other exercise by the Controlling Collateral Agent, the Applicable Authorized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85" w:name="page386"/>
    <w:bookmarkEnd w:id="38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 or a Controlling Secured Party of any rights and remedies relating to such Shared Collateral, or to cause the Controlling Collateral Agent to do so. The foregoing shall not be construed to limit the rights and priorities of any First Lien Secured Party, Collateral Agent or any Authorized Representative with respect to any Collateral not constituting Shared Collateral.</w:t>
      </w:r>
    </w:p>
    <w:p>
      <w:pPr>
        <w:spacing w:after="0" w:line="184" w:lineRule="exact"/>
        <w:rPr>
          <w:sz w:val="20"/>
          <w:szCs w:val="20"/>
          <w:color w:val="auto"/>
        </w:rPr>
      </w:pPr>
    </w:p>
    <w:p>
      <w:pPr>
        <w:ind w:right="20" w:firstLine="436"/>
        <w:spacing w:after="0" w:line="255" w:lineRule="auto"/>
        <w:tabs>
          <w:tab w:leader="none" w:pos="69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Each of the First Lien Secured Parties agrees that it will not (and hereby waives any right to) question or contest or support any other Person in contesting, in any proceeding (including any Insolvency or Liquidation Proceeding), the perfection, priority, allowability, validity, attachment or enforceability of a Lien held by or on behalf of any of the First Lien Secured Parties in all or any part of the Collateral, or the provisions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be construed to prevent or impair the rights of any Collateral Agent or any Authorized Representative to enforce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action is, or could reasonably be expected to be, inconsistent with the terms of the ABL Intercreditor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No Interference; Payment Over</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5" w:lineRule="auto"/>
        <w:tabs>
          <w:tab w:leader="none" w:pos="68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Each First Lien Secured Party agrees that (i) it will not challenge or question in any proceeding the validity or enforceability of any First Lien Obligations of any Series or any First Lien Security Document or the validity, attachment, perfection or priority of any Lien under any First Lien Security 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any Shared Collateral by the Controlling Collateral Agent, (iii) except as provided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it shall have no right to (A) direct the Controlling Collateral Agent or any other First Lien Secured Party to exercise, and shall not exercise, any right, remedy or power with respect to any Shared Collateral (including pursuant to any intercreditor agreement) or (B) consent to the exercise by the Controlling Collateral Agent or any other First Lien Secured Party of any right, remedy or power with respect to any Shared Collateral, (iv) it will not institute any suit or assert in any suit, bankruptcy, insolvency or other proceeding any claim against the Controlling Collateral Agent or any other First Lien Secured Party seeking damages from or other relief by way of specific performance, instructions or otherwise with respect to any Shared Collateral, and none of the Controlling Collateral Agent, any Applicable Authorized Representative or any other First Lien Secured Party shall be liable for any action taken or omitted to be taken by the Controlling Collateral Agent, such Applicable Authorized Representative or other First Lien Secured Party with respect to any Shared Collateral in accordance with the provisions of this Agreement, (v) if not the Controlling Collateral Agent, it will not seek, and hereby waives any right, to have any Shared Collateral or any part thereof marshaled upon any foreclosure or other disposition of such Shared Collateral and (vi) it will not attempt, directly or indirectly, whether by judicial proceedings or otherwise, to challenge the enforceability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be construed to prevent or impair the rights of any of the Controlling Collateral Agent or any other First Lien Secured Party to enforce this Agreement.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86" w:name="page387"/>
    <w:bookmarkEnd w:id="386"/>
    <w:p>
      <w:pPr>
        <w:ind w:firstLine="436"/>
        <w:spacing w:after="0" w:line="293" w:lineRule="auto"/>
        <w:tabs>
          <w:tab w:leader="none" w:pos="695" w:val="left"/>
        </w:tabs>
        <w:numPr>
          <w:ilvl w:val="0"/>
          <w:numId w:val="3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First Lien Secured Party hereby agrees that if it shall obtain possession of any Shared Collateral or shall realize any Proceeds or payment in respect of any such Shared Collateral, pursuant to any First Lien Security Document or by the exercise of any rights available to it under applicable law or in any Insolvency or Liquidation Proceeding or through any other exercise of remedies (including pursuant to any intercreditor agreement), at any time prior to the Discharge of each Series of First Lien Obligations, then it shall hold such Shared Collateral, Proceeds or payment in trust for the other First Lien Secured Parties having a security interest in such Shared Collateral and promptly transfer such Shared Collateral, Proceeds or payment, as the case may be, to the Controlling Collateral Agent, to be distributed in accordance with the provisions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Automatic Release of Liens; Amendments to First Lien Security Documents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5" w:lineRule="auto"/>
        <w:tabs>
          <w:tab w:leader="none" w:pos="68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If, at any time the Controlling Collateral Agent forecloses upon or otherwise exercises remedies against any Shared Collateral resulting in a sale or disposition thereof, then (whether or not any Insolvency or Liquidation Proceeding is pending at the time) the Liens in favor of each other Collateral Agent for the benefit of each Series of First Lien Secured Parties upon such Shared Collateral will automatically be released and discharged as and when, but only to the extent, such Liens of the Controlling Collateral Agent on such Shared Collateral are released and discharged;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Proceeds of any Shared Collateral realized therefrom shall be allocated and applied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40" w:firstLine="436"/>
        <w:spacing w:after="0" w:line="263" w:lineRule="auto"/>
        <w:tabs>
          <w:tab w:leader="none" w:pos="69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Each Collateral Agent and Authorized Representative agrees to execute and deliver (at the sole cost and expense of the Grantors) all such authorizations and other instruments as shall reasonably be requested by the Controlling Collateral Agent to evidence and confirm any release of Shared Collateral provided for in this Section.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Certain Agreements with Respect to Bankruptcy or Insolvency Proceedings</w:t>
      </w:r>
      <w:r>
        <w:rPr>
          <w:rFonts w:ascii="Arial" w:cs="Arial" w:eastAsia="Arial" w:hAnsi="Arial"/>
          <w:sz w:val="18"/>
          <w:szCs w:val="18"/>
          <w:color w:val="auto"/>
        </w:rPr>
        <w:t>.</w:t>
      </w:r>
    </w:p>
    <w:p>
      <w:pPr>
        <w:spacing w:after="0" w:line="225" w:lineRule="exact"/>
        <w:rPr>
          <w:sz w:val="20"/>
          <w:szCs w:val="20"/>
          <w:color w:val="auto"/>
        </w:rPr>
      </w:pPr>
    </w:p>
    <w:p>
      <w:pPr>
        <w:ind w:right="240" w:firstLine="436"/>
        <w:spacing w:after="0" w:line="311" w:lineRule="auto"/>
        <w:tabs>
          <w:tab w:leader="none" w:pos="68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This Agreement shall continue in full force and effect notwithstanding the commencement of any proceeding under the Bankruptcy Code or any other Bankruptcy Law by or against Holdings, the Borrower or any of their respective Subsidiaries. The parties hereto acknowledge that the provisions of this Agreement are intended to be and shall be enforceable as contemplated by Section 510(a) of the Bankruptcy Code.</w:t>
      </w:r>
    </w:p>
    <w:p>
      <w:pPr>
        <w:spacing w:after="0" w:line="148" w:lineRule="exact"/>
        <w:rPr>
          <w:rFonts w:ascii="Arial" w:cs="Arial" w:eastAsia="Arial" w:hAnsi="Arial"/>
          <w:sz w:val="16"/>
          <w:szCs w:val="16"/>
          <w:color w:val="auto"/>
        </w:rPr>
      </w:pPr>
    </w:p>
    <w:p>
      <w:pPr>
        <w:ind w:firstLine="436"/>
        <w:spacing w:after="0" w:line="271" w:lineRule="auto"/>
        <w:tabs>
          <w:tab w:leader="none" w:pos="69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If the Borrower and/or any other Grantor shall become subject to a case (a “</w:t>
      </w:r>
      <w:r>
        <w:rPr>
          <w:rFonts w:ascii="Arial" w:cs="Arial" w:eastAsia="Arial" w:hAnsi="Arial"/>
          <w:sz w:val="17"/>
          <w:szCs w:val="17"/>
          <w:u w:val="single" w:color="auto"/>
          <w:color w:val="auto"/>
        </w:rPr>
        <w:t>Bankruptcy Case</w:t>
      </w:r>
      <w:r>
        <w:rPr>
          <w:rFonts w:ascii="Arial" w:cs="Arial" w:eastAsia="Arial" w:hAnsi="Arial"/>
          <w:sz w:val="17"/>
          <w:szCs w:val="17"/>
          <w:color w:val="auto"/>
        </w:rPr>
        <w:t>”) under the Bankruptcy Law and shall, as debtor(s)-in-possession, move for approval of financing (the “</w:t>
      </w:r>
      <w:r>
        <w:rPr>
          <w:rFonts w:ascii="Arial" w:cs="Arial" w:eastAsia="Arial" w:hAnsi="Arial"/>
          <w:sz w:val="17"/>
          <w:szCs w:val="17"/>
          <w:u w:val="single" w:color="auto"/>
          <w:color w:val="auto"/>
        </w:rPr>
        <w:t>DIP Financing</w:t>
      </w:r>
      <w:r>
        <w:rPr>
          <w:rFonts w:ascii="Arial" w:cs="Arial" w:eastAsia="Arial" w:hAnsi="Arial"/>
          <w:sz w:val="17"/>
          <w:szCs w:val="17"/>
          <w:color w:val="auto"/>
        </w:rPr>
        <w:t>”) to be provided by one or more lenders (the “</w:t>
      </w:r>
      <w:r>
        <w:rPr>
          <w:rFonts w:ascii="Arial" w:cs="Arial" w:eastAsia="Arial" w:hAnsi="Arial"/>
          <w:sz w:val="17"/>
          <w:szCs w:val="17"/>
          <w:u w:val="single" w:color="auto"/>
          <w:color w:val="auto"/>
        </w:rPr>
        <w:t>DIP Lenders</w:t>
      </w:r>
      <w:r>
        <w:rPr>
          <w:rFonts w:ascii="Arial" w:cs="Arial" w:eastAsia="Arial" w:hAnsi="Arial"/>
          <w:sz w:val="17"/>
          <w:szCs w:val="17"/>
          <w:color w:val="auto"/>
        </w:rPr>
        <w:t>”) under Section 364 of the Bankruptcy Code or any equivalent provision of any other Bankruptcy Law or the use of cash collateral under Section 363 of the Bankruptcy Code or any equivalent provision of any other Bankruptcy Law, each First Lien Secured Party (other than any Controlling Secured Party or the Authorized Representative of any Controlling Secured Party) agrees that it will raise no objection to any such financing or to the Liens on the Shared Collateral securing the same (“</w:t>
      </w:r>
      <w:r>
        <w:rPr>
          <w:rFonts w:ascii="Arial" w:cs="Arial" w:eastAsia="Arial" w:hAnsi="Arial"/>
          <w:sz w:val="17"/>
          <w:szCs w:val="17"/>
          <w:u w:val="single" w:color="auto"/>
          <w:color w:val="auto"/>
        </w:rPr>
        <w:t>DIP Financing Liens</w:t>
      </w:r>
      <w:r>
        <w:rPr>
          <w:rFonts w:ascii="Arial" w:cs="Arial" w:eastAsia="Arial" w:hAnsi="Arial"/>
          <w:sz w:val="17"/>
          <w:szCs w:val="17"/>
          <w:color w:val="auto"/>
        </w:rPr>
        <w:t>”) or to any use of cash collateral that constitutes Shared Collateral, unless the Controlling Collateral Agent (in the case of any Collateral Agent other than the Credit Agreement Collateral Agent, acting on the instructions of the Applicable Authorized Representative) shall then oppose or object to such DIP Financing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87" w:name="page388"/>
    <w:bookmarkEnd w:id="38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DIP Financing Liens or use of cash collateral (and (i) to the extent that such DIP Financing Liens are senior to the Liens on any such Shared Collateral for the benefit of the Controlling Secured Parties, each Non-Controlling Secured Party will subordinate its Liens with respect to such Shared Collateral on the same terms as the Liens of the Controlling Secured Parties (other than any Liens of any First Lien Secured Parties constituting DIP Financing Liens) are subordinated thereto, and (ii) to the extent that such DIP Financing Liens rank pari passu with the Liens on any such Shared Collateral granted to secure the First Lien Obligations of the Controlling Secured Parties, each Non-Controlling Secured Party will confirm the priorities with respect to such Shared Collateral as set forth herein), in each case so long as (A) the First Lien Secured Parties of each Series retain the benefit of their Liens on all such Shared Collateral pledged to the DIP Lenders, including proceeds thereof arising after the commencement of such proceeding, with the same priority vis-à-vis all the other First Lien Secured Parties (other than any Liens of the First Lien Secured Parties constituting DIP Financing Liens) as existed prior to the commencement of the Bankruptcy Case, (B) the First Lien Secured Parties of each Series are granted Liens on any additional collateral pledged to any First Lien Secured Parties as adequate protection or otherwise in connection with such DIP Financing and/or use of cash collateral (in each case, except to the extent a Lien on additional collateral is granted to one Series in consideration of Collateral of such Series that is not Shared Collateral for a Series that does not receive a Lien on such additional collateral), with the same priority vis-à-vis the First Lien Secured Parties (other than any Liens of the First Lien Secured Parties constituting DIP Financing Liens) as set forth in this Agreement, (C) if any amount of such DIP Financing and/or cash collateral is applied to repay any of the First Lien Obligations, such amount is applied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(in each case, except to the extent a payment is made to one Series in consideration of Collateral of such Series that is not Shared Collateral for a Series that does not receive such payment), and (D) if any First Lien Secured Parties are granted adequate protection, including in the form of periodic payments, in connection with such DIP Financing and/or use of cash collateral, the proceeds of such adequate protection are applied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(in each case, except to the extent such adequate protection is granted to one Series in consideration of Collateral of such Series that is not Shared Collateral for a Series that does not receive such adequate protection);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Lien Secured Parties of each Series shall have a right to object to the grant of a Lien to secure the DIP Financing over any Collateral subject to Liens in favor of the First Lien Secured Parties of such Series or its Authorized Representative that shall not constitute Shared Collateral;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First Lien Secured Parties receiving adequate protection shall not object to any other First Lien Secured Party receiving adequate protection comparable to any adequate protection granted to such First Lien Secured Parties (other than as a provider of DIP Financing) in connection with a DIP Financing and/or use of cash collateral.</w:t>
      </w:r>
    </w:p>
    <w:p>
      <w:pPr>
        <w:spacing w:after="0" w:line="177"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Reinstatement</w:t>
      </w:r>
      <w:r>
        <w:rPr>
          <w:rFonts w:ascii="Arial" w:cs="Arial" w:eastAsia="Arial" w:hAnsi="Arial"/>
          <w:sz w:val="18"/>
          <w:szCs w:val="18"/>
          <w:color w:val="auto"/>
        </w:rPr>
        <w:t>. In the event that any of the First Lien Obligations shall be paid in full and such payment or any part thereof shall subsequently, for whatever reason (including an order or judgment for disgorgement of a preference under the Bankruptcy Code, or any similar law, or the settlement of any claim in respect thereof), be required to be returned or repaid, the terms and conditions of this Article II shall be fully applicable thereto until all such First Lien Obligations shall again have been paid in full in cash.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88" w:name="page389"/>
    <w:bookmarkEnd w:id="388"/>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2.08 </w:t>
      </w:r>
      <w:r>
        <w:rPr>
          <w:rFonts w:ascii="Arial" w:cs="Arial" w:eastAsia="Arial" w:hAnsi="Arial"/>
          <w:sz w:val="16"/>
          <w:szCs w:val="16"/>
          <w:u w:val="single" w:color="auto"/>
          <w:color w:val="auto"/>
        </w:rPr>
        <w:t>Insurance</w:t>
      </w:r>
      <w:r>
        <w:rPr>
          <w:rFonts w:ascii="Arial" w:cs="Arial" w:eastAsia="Arial" w:hAnsi="Arial"/>
          <w:sz w:val="16"/>
          <w:szCs w:val="16"/>
          <w:color w:val="auto"/>
        </w:rPr>
        <w:t>. As between the First Lien Secured Parties, the Controlling Collateral Agent (acting at the direction of the Applicable Authorized Representative) shall have the right to adjust or settle any insurance policy or claim covering or constituting Shared Collateral in the event of any loss thereunder and to approve any award granted in any condemnation or similar proceeding affecting the Shared Collateral.</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Refinancings</w:t>
      </w:r>
      <w:r>
        <w:rPr>
          <w:rFonts w:ascii="Arial" w:cs="Arial" w:eastAsia="Arial" w:hAnsi="Arial"/>
          <w:sz w:val="18"/>
          <w:szCs w:val="18"/>
          <w:color w:val="auto"/>
        </w:rPr>
        <w:t xml:space="preserve">. The First Lien Obligations of any Series may be Refinanced, in whole or in part, in each case, without notice to, or the consent (except to the extent a consent is otherwise required to permit the Refinancing transaction under any Secured Credit Document) of any First Lien Secured Party of any other Series, all without affecting the priorities provided for herein or the other provisions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Authorized Representative and Collateral Agent of the holders of any such Refinancing indebtedness shall have executed a Joinder Agreement on behalf of the holders of such Refinancing indebtedness.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Possessory Collateral Agent as Gratuitous Bailee for Perfection</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68" w:lineRule="auto"/>
        <w:tabs>
          <w:tab w:leader="none" w:pos="68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Possessory Collateral shall be delivered to the Controlling Collateral Agent and the Controlling Collateral Agent agrees to hold all Possessory Collateral that is in its possession or control (or in the possession or control of its agents or bailees) as gratuitous bailee (such bailment being intended, among other things, to satisfy the requirements of Section 8-301(a)(2) and 9-313(c) of the Uniform Commercial Code, to the extent applicable) for the benefit of each other First Lien Secured Party for which such Possessory Collateral is Shared Collateral and any assignee solely for the purpose of perfecting the security interest granted in such Possessory Collateral, if any, pursuant to the applicable First Lien Security Documents, in each case, subject to the terms and conditions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the ABL Intercreditor Agreement with respect to ABL Priority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a Collateral Agent ceases to be Controlling Collateral Agent with respect to any Possessory Collateral, such former Controlling Collateral Agent shall, at the request of the new Controlling Collateral Agent, promptly deliver all such Possessory Collateral that is in the possession of such former Controlling Collateral Agent to such new Controlling Collateral Agent together with any necessary endorsements (or otherwise allow such new Controlling Collateral Agent to obtain control of such Possessory Collateral). The Borrower shall take such further action as is required to effectuate the transfer contemplated hereby and shall indemnify each Collateral Agent for loss or damage suffered by such Collateral Agent as a result of such transfer except for loss or damage suffered by such Collateral Agent as a result of its own gross negligence or willful misconduct as determined by a final nonappealable judgment of a court of competent jurisdiction.</w:t>
      </w:r>
    </w:p>
    <w:p>
      <w:pPr>
        <w:spacing w:after="0" w:line="186" w:lineRule="exact"/>
        <w:rPr>
          <w:rFonts w:ascii="Arial" w:cs="Arial" w:eastAsia="Arial" w:hAnsi="Arial"/>
          <w:sz w:val="17"/>
          <w:szCs w:val="17"/>
          <w:color w:val="auto"/>
        </w:rPr>
      </w:pPr>
    </w:p>
    <w:p>
      <w:pPr>
        <w:jc w:val="both"/>
        <w:ind w:right="140" w:firstLine="436"/>
        <w:spacing w:after="0" w:line="257" w:lineRule="auto"/>
        <w:tabs>
          <w:tab w:leader="none" w:pos="69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The Controlling Collateral Agent agrees to hold any Shared Collateral constituting Possessory Collateral, from time to time in its possession, as gratuitous bailee (such bailment being intended, among other things, to satisfy the requirements of Section 8-301(a)(2) and 9-313(c) of the Uniform Commercial Code, to the extent applicable) for the benefit of each other First Lien Secured Party and any assignee, solely for the purpose of perfecting the security interest granted in such Possessory Collateral, if any, pursuant to the applicable First Lien Security Documents, in each case, subject to the terms and conditions of this </w:t>
      </w:r>
      <w:r>
        <w:rPr>
          <w:rFonts w:ascii="Arial" w:cs="Arial" w:eastAsia="Arial" w:hAnsi="Arial"/>
          <w:sz w:val="18"/>
          <w:szCs w:val="18"/>
          <w:u w:val="single" w:color="auto"/>
          <w:color w:val="auto"/>
        </w:rPr>
        <w:t>Section 2.10.</w:t>
      </w:r>
    </w:p>
    <w:p>
      <w:pPr>
        <w:spacing w:after="0" w:line="187" w:lineRule="exact"/>
        <w:rPr>
          <w:rFonts w:ascii="Arial" w:cs="Arial" w:eastAsia="Arial" w:hAnsi="Arial"/>
          <w:sz w:val="18"/>
          <w:szCs w:val="18"/>
          <w:color w:val="auto"/>
        </w:rPr>
      </w:pPr>
    </w:p>
    <w:p>
      <w:pPr>
        <w:ind w:right="700" w:firstLine="436"/>
        <w:spacing w:after="0" w:line="291" w:lineRule="auto"/>
        <w:tabs>
          <w:tab w:leader="none" w:pos="68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The duties or responsibilities of each Collateral Agent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limited solely to holding any Shared Collateral constituting Possessory Collateral as gratuitous bailee (such bailment being intended, among other things, to satisfy the requirements of</w:t>
      </w:r>
    </w:p>
    <w:p>
      <w:pPr>
        <w:ind w:right="220"/>
        <w:spacing w:after="0" w:line="260" w:lineRule="auto"/>
        <w:rPr>
          <w:rFonts w:ascii="Arial" w:cs="Arial" w:eastAsia="Arial" w:hAnsi="Arial"/>
          <w:sz w:val="16"/>
          <w:szCs w:val="16"/>
          <w:color w:val="auto"/>
        </w:rPr>
      </w:pPr>
      <w:r>
        <w:rPr>
          <w:rFonts w:ascii="Arial" w:cs="Arial" w:eastAsia="Arial" w:hAnsi="Arial"/>
          <w:sz w:val="18"/>
          <w:szCs w:val="18"/>
          <w:color w:val="auto"/>
        </w:rPr>
        <w:t>Section 8-301(a)(2) and 9-313(c) of the Uniform Commercial Code, to the extent applicable) for the benefit of each other First Lien Secured Party for purposes of perfecting the Lien held by such First Lien Secured Parties thereon.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89" w:name="page390"/>
    <w:bookmarkEnd w:id="3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2.11 </w:t>
      </w:r>
      <w:r>
        <w:rPr>
          <w:rFonts w:ascii="Arial" w:cs="Arial" w:eastAsia="Arial" w:hAnsi="Arial"/>
          <w:sz w:val="18"/>
          <w:szCs w:val="18"/>
          <w:u w:val="single" w:color="auto"/>
          <w:color w:val="auto"/>
        </w:rPr>
        <w:t>Amendments to Security Documents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9" w:lineRule="auto"/>
        <w:tabs>
          <w:tab w:leader="none" w:pos="68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Without the prior written consent of the Credit Agreement Collateral Agent, each Additional First Lien Secured Party agrees that no Additional First Lien Security Document may be amended, restated, supplemented or otherwise modified or entered into to the extent such amendment, restatement, supplement or modification, or the terms of any new Additional First Lien Security Document would contravene any of the terms of this Agreement.</w:t>
      </w:r>
    </w:p>
    <w:p>
      <w:pPr>
        <w:spacing w:after="0" w:line="186" w:lineRule="exact"/>
        <w:rPr>
          <w:rFonts w:ascii="Arial" w:cs="Arial" w:eastAsia="Arial" w:hAnsi="Arial"/>
          <w:sz w:val="18"/>
          <w:szCs w:val="18"/>
          <w:color w:val="auto"/>
        </w:rPr>
      </w:pPr>
    </w:p>
    <w:p>
      <w:pPr>
        <w:ind w:right="40" w:firstLine="436"/>
        <w:spacing w:after="0" w:line="311" w:lineRule="auto"/>
        <w:tabs>
          <w:tab w:leader="none" w:pos="69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Without the prior written consent of the Additional First Lien Collateral Agent, the Credit Agreement Collateral Agent agrees that no Credit Agreement Collateral Document may be amended, restated, supplemented or otherwise modified or entered into to the extent such amendment, restated, supplement or modification, or the terms of any new Credit Agreement Collateral Document would contravene any of the terms of this Agreement.</w:t>
      </w:r>
    </w:p>
    <w:p>
      <w:pPr>
        <w:spacing w:after="0" w:line="148" w:lineRule="exact"/>
        <w:rPr>
          <w:rFonts w:ascii="Arial" w:cs="Arial" w:eastAsia="Arial" w:hAnsi="Arial"/>
          <w:sz w:val="16"/>
          <w:szCs w:val="16"/>
          <w:color w:val="auto"/>
        </w:rPr>
      </w:pPr>
    </w:p>
    <w:p>
      <w:pPr>
        <w:ind w:right="120" w:firstLine="436"/>
        <w:spacing w:after="0" w:line="277" w:lineRule="auto"/>
        <w:tabs>
          <w:tab w:leader="none" w:pos="68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In making determinations required by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each Collateral Agent may conclusively rely on a certificate of an Authorized Officer of the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Existence and Amounts of Liens and Obligations</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Determinations with Respect to Amounts of Liens and Obligations</w:t>
      </w:r>
      <w:r>
        <w:rPr>
          <w:rFonts w:ascii="Arial" w:cs="Arial" w:eastAsia="Arial" w:hAnsi="Arial"/>
          <w:sz w:val="18"/>
          <w:szCs w:val="18"/>
          <w:color w:val="auto"/>
        </w:rPr>
        <w:t xml:space="preserve">. Whenever a Collateral Agent or any Authorized Representative shall be required, in connection with the exercise of its rights or the performance of its obligations hereunder, to determine the existence or amount of any First Lien Obligations of any Series, or the Shared Collateral subject to any Lien securing the First Lien Obligations of any Series, it may request that such information be furnished to it in writing by each other Authorized Representative or Collateral Agent and shall be entitled to make such determination or not make any determination on the basis of the information so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Authorized Representative or a Collateral Agent shall fail or refuse reasonably promptly to provide the requested information, the requesting Collateral Agent or Authorized Representative shall be entitled to make any such determination by such method as it may, in the exercise of its good faith judgment, determine, including by reliance upon a certificate of the Borrower.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First Lien Secured Party or any other Person as a result of such determination.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Controlling Collateral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90" w:name="page391"/>
    <w:bookmarkEnd w:id="390"/>
    <w:p>
      <w:pPr>
        <w:jc w:val="both"/>
        <w:ind w:right="320" w:firstLine="436"/>
        <w:spacing w:after="0" w:line="259" w:lineRule="auto"/>
        <w:tabs>
          <w:tab w:leader="none" w:pos="685" w:val="left"/>
        </w:tabs>
        <w:numPr>
          <w:ilvl w:val="0"/>
          <w:numId w:val="3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 other provision of this Agreement, nothing herein shall be construed to impose any fiduciary or other duty on any Controlling Collateral Agent to any Non-Controlling Secured Party or give any Non-Controlling Secured Party the right to direct any Controlling Collateral Agent, except that each Controlling Collateral Agent shall be obligated to distribute Proceeds of any Shared Collateral in accordance with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firstLine="436"/>
        <w:spacing w:after="0" w:line="284" w:lineRule="auto"/>
        <w:tabs>
          <w:tab w:leader="none" w:pos="69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In furtherance of the foregoing, each Non-Controlling Secured Party acknowledges and agrees that the Controlling Collateral Agent shall be entitled, for the benefit of the First Lien Secured Parties, to sell, transfer or otherwise dispose of or deal with any Shared Collateral as provided herein and in the First Lien Security Documents, as applicable, pursuant to which the Controlling Collateral Agent is the collateral agent for such Shared Collateral, without regard to any rights to which the Non-Controlling Secured Parties would otherwise be entitled as a result of the First Lien Obligations held by such Non-Controlling Secured Parties. Without limiting the foregoing, each Non-Controlling Secured Party agrees that none of the Controlling Collateral Agent, the Applicable Authorized Representative or any other First Lien Secured Party shall have any duty or obligation first to marshal or realize upon any type of Shared Collateral (or any other Collateral securing any of the First Lien Obligations), or to sell, dispose of or otherwise liquidate all or any portion of such Shared Collateral (or any other Collateral securing any First Lien Obligations), in any manner that would maximize the return to the Non-Controlling Secured Parties, notwithstanding that the order and timing of any such realization, sale, disposition or liquidation may affect the amount of Proceeds actually received by the Non-Controlling Secured Parties from such realization, sale, disposition or liquidation. Each of the First Lien Secured Parties waives any claim it may now or hereafter have against any Collateral Agent or the Authorized Representative of any other Series of First Lien Obligations or any other First Lien Secured Party of any other Series arising out of (i) any actions in accordance with this Agreement which any Collateral Agent, Authorized Representative or the First Lien Secured Parties take or omit to take (including, actions with respect to the creation, perfection or continuation of Liens on any Collateral, actions with respect to the foreclosure upon, sale, release or depreciation of, or failure to realize upon, any of the Collateral and actions with respect to the collection of any claim for all or any part of the First Lien Obligations from any account debtor, guarantor or any other party) in accordance with the First Lien Security Documents or any other agreement related thereto or to the collection of the First Lien Obligations or the valuation, use, protection or release of any security for the First Lien Obligations, (ii) any election in accordance with this Agreement by any Applicable Authorized Representative or any holders of First Lien Obligations, in any proceeding instituted under the Bankruptcy Code, of the application of Section 1111(b) of the Bankruptcy Code or (iii) subject to </w:t>
      </w:r>
      <w:r>
        <w:rPr>
          <w:rFonts w:ascii="Arial" w:cs="Arial" w:eastAsia="Arial" w:hAnsi="Arial"/>
          <w:sz w:val="16"/>
          <w:szCs w:val="16"/>
          <w:u w:val="single" w:color="auto"/>
          <w:color w:val="auto"/>
        </w:rPr>
        <w:t>Section 2.06</w:t>
      </w:r>
      <w:r>
        <w:rPr>
          <w:rFonts w:ascii="Arial" w:cs="Arial" w:eastAsia="Arial" w:hAnsi="Arial"/>
          <w:sz w:val="16"/>
          <w:szCs w:val="16"/>
          <w:color w:val="auto"/>
        </w:rPr>
        <w:t>, any borrowing by, or grant of a security interest or administrative expense priority under Section 364 of the Bankruptcy Code or any equivalent provision of any other Bankruptcy Law, by the Borrower or any of their Subsidiaries, as debtor-in-possession. Notwithstanding any other provision of this Agreement, the Controlling Collateral Agent shall not accept any Shared Collateral in full or partial satisfaction of any First Lien Obligations pursuant to Section 9-620 of the Uniform Commercial Code of any jurisdiction, without the consent of each Authorized Representative representing holders of First Lien Obligations for whom such Collateral constitutes Shared Collateral.</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91" w:name="page392"/>
    <w:bookmarkEnd w:id="391"/>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4.02 </w:t>
      </w:r>
      <w:r>
        <w:rPr>
          <w:rFonts w:ascii="Arial" w:cs="Arial" w:eastAsia="Arial" w:hAnsi="Arial"/>
          <w:sz w:val="16"/>
          <w:szCs w:val="16"/>
          <w:u w:val="single" w:color="auto"/>
          <w:color w:val="auto"/>
        </w:rPr>
        <w:t>Appointment</w:t>
      </w:r>
      <w:r>
        <w:rPr>
          <w:rFonts w:ascii="Arial" w:cs="Arial" w:eastAsia="Arial" w:hAnsi="Arial"/>
          <w:sz w:val="16"/>
          <w:szCs w:val="16"/>
          <w:color w:val="auto"/>
        </w:rPr>
        <w:t>. Each of the First Lien Secured Parties hereby irrevocably appoints and authorizes the Controlling Collateral Agent to take such actions on its behalf and to exercise such powers as are delegated to the Controlling Collateral Agent by the terms hereof, together with such powers and discretion as are reasonably incidental thereto. Each of the First Lien Secured Parties also authorizes the Controlling Collateral Agent, at the request of the Borrower, to (x) if applicable, execute and deliver the Second Lien Intercreditor Agreement in the capacity as “Designated Senior Representative,” or the equivalent agent, however referred to for the First Lien Secured Parties under such agreement and authorizes the Controlling Collateral Agent, in accordance with the provisions of this Agreement, to take such actions on its behalf and to exercise such powers as are delegated to, or otherwise given to, the Designated Senior Representative by the terms of the Second Lien Intercreditor Agreement, together with such powers and discretion as are reasonably incidental thereto and (y) execute and deliver the ABL Intercreditor Agreement in the capacity as “Controlling CF Debt Agent,” or the equivalent agent, however referred to for the First Lien Secured Parties under such agreement (the “</w:t>
      </w:r>
      <w:r>
        <w:rPr>
          <w:rFonts w:ascii="Arial" w:cs="Arial" w:eastAsia="Arial" w:hAnsi="Arial"/>
          <w:sz w:val="16"/>
          <w:szCs w:val="16"/>
          <w:u w:val="single" w:color="auto"/>
          <w:color w:val="auto"/>
        </w:rPr>
        <w:t>Controlling CF Debt Agent</w:t>
      </w:r>
      <w:r>
        <w:rPr>
          <w:rFonts w:ascii="Arial" w:cs="Arial" w:eastAsia="Arial" w:hAnsi="Arial"/>
          <w:sz w:val="16"/>
          <w:szCs w:val="16"/>
          <w:color w:val="auto"/>
        </w:rPr>
        <w:t>”) and authorizes the Controlling Collateral Agent, in accordance with the provisions of this Agreement, to take such actions on its behalf and to exercise such powers as are delegated to, or otherwise given to, the Controlling CF Debt Agent by the terms of the ABL Intercreditor Agreement, together with such powers and discretion as are reasonably incidental thereto. In this connection, the Controlling Collateral Agent and any co-agents, sub-agents and attorneys-in-fact appointed by the Controlling Collateral Agent, as the case may be, pursuant to the applicable Secured Credit Documents for purposes of holding or enforcing any Lien on the Collateral (or any portion thereof) granted under any of the First Lien Security Documents, or for exercising any rights and remedies thereunder or under any of the Other Intercreditor Agreements at the direction of the Controlling Collateral Agent, as the case may be, shall be entitled to the benefits of all provisions of this Section 4.02 and Section 12 of the Credit Agreement and the equivalent provision of any Additional First Lien Document (as though such co-agents, sub-agents and attorneys-in-fact were the “Collateral Agent” named therein) as if set forth in full herein with respect thereto. Without limiting the foregoing, each of the First Lien Secured Parties, and each Collateral Agent, hereby agrees to provide such cooperation and assistance as may be reasonably requested by the Controlling Collateral Agent to facilitate and effect actions taken or intended to be taken by the Controlling Collateral Agent pursuant to this Section 4.02, such cooperation to include execution and delivery of notices, instruments and other documents as are reasonably deemed necessary by the Controlling Collateral Agent to effect such actions, and joining in any action, motion or proceeding initiated by the Controlling Collateral Agent for such purposes.</w:t>
      </w:r>
    </w:p>
    <w:p>
      <w:pPr>
        <w:spacing w:after="0" w:line="39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herein shall be in writing and shall be delivered by hand or overnight courier service, mailed by certified or registered mail or sent by facsimile, as follows:</w:t>
      </w:r>
    </w:p>
    <w:p>
      <w:pPr>
        <w:spacing w:after="0" w:line="62" w:lineRule="exact"/>
        <w:rPr>
          <w:sz w:val="20"/>
          <w:szCs w:val="20"/>
          <w:color w:val="auto"/>
        </w:rPr>
      </w:pPr>
    </w:p>
    <w:p>
      <w:pPr>
        <w:ind w:left="1100" w:hanging="241"/>
        <w:spacing w:after="0"/>
        <w:tabs>
          <w:tab w:leader="none" w:pos="110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if to the Borrower or any Grantor, to the Borrower at Academy, Ltd., 1540 North Mason Road, Katy, TX, 77449 Attention: General</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92" w:name="page393"/>
    <w:bookmarkEnd w:id="392"/>
    <w:p>
      <w:pPr>
        <w:ind w:left="440" w:right="140" w:firstLine="419"/>
        <w:spacing w:after="0" w:line="277" w:lineRule="auto"/>
        <w:tabs>
          <w:tab w:leader="none" w:pos="1118" w:val="left"/>
        </w:tabs>
        <w:numPr>
          <w:ilvl w:val="1"/>
          <w:numId w:val="3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Credit Agreement Collateral Agent or the Administrative Agent, to it at Eleven Madison Avenue, New York, New York 10010, Attention of Agency Manager (Fax No.: (212) 322-2291, agency.loanops@creditsuisse.com);</w:t>
      </w:r>
    </w:p>
    <w:p>
      <w:pPr>
        <w:spacing w:after="0" w:line="62" w:lineRule="exact"/>
        <w:rPr>
          <w:rFonts w:ascii="Arial" w:cs="Arial" w:eastAsia="Arial" w:hAnsi="Arial"/>
          <w:sz w:val="18"/>
          <w:szCs w:val="18"/>
          <w:color w:val="auto"/>
        </w:rPr>
      </w:pPr>
    </w:p>
    <w:p>
      <w:pPr>
        <w:ind w:left="440" w:right="80" w:firstLine="419"/>
        <w:spacing w:after="0" w:line="291" w:lineRule="auto"/>
        <w:tabs>
          <w:tab w:leader="none" w:pos="1108" w:val="left"/>
        </w:tabs>
        <w:numPr>
          <w:ilvl w:val="1"/>
          <w:numId w:val="338"/>
        </w:numPr>
        <w:rPr>
          <w:rFonts w:ascii="Arial" w:cs="Arial" w:eastAsia="Arial" w:hAnsi="Arial"/>
          <w:sz w:val="16"/>
          <w:szCs w:val="16"/>
          <w:color w:val="auto"/>
        </w:rPr>
      </w:pPr>
      <w:r>
        <w:rPr>
          <w:rFonts w:ascii="Arial" w:cs="Arial" w:eastAsia="Arial" w:hAnsi="Arial"/>
          <w:sz w:val="16"/>
          <w:szCs w:val="16"/>
          <w:color w:val="auto"/>
        </w:rPr>
        <w:t>if to the Initial Additional Authorized Representative or the Initial Additional First Lien Collateral Agent, to it at The Bank of New York Mellon Trust Company, N.A., 601 Travis Street, The Chase Center, Houston, TX 77002, Attention of Corporate Trust Administration (Fax No.</w:t>
      </w:r>
    </w:p>
    <w:p>
      <w:pPr>
        <w:ind w:left="880" w:hanging="444"/>
        <w:spacing w:after="0"/>
        <w:tabs>
          <w:tab w:leader="none" w:pos="8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483-6954); or</w:t>
      </w:r>
    </w:p>
    <w:p>
      <w:pPr>
        <w:spacing w:after="0" w:line="102" w:lineRule="exact"/>
        <w:rPr>
          <w:rFonts w:ascii="Arial" w:cs="Arial" w:eastAsia="Arial" w:hAnsi="Arial"/>
          <w:sz w:val="18"/>
          <w:szCs w:val="18"/>
          <w:color w:val="auto"/>
        </w:rPr>
      </w:pPr>
    </w:p>
    <w:p>
      <w:pPr>
        <w:ind w:left="1120" w:hanging="261"/>
        <w:spacing w:after="0"/>
        <w:tabs>
          <w:tab w:leader="none" w:pos="112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if to any other Authorized Representative or Collateral Agent, to it at the address set forth in the applicable Joinder Agreement.</w:t>
      </w:r>
    </w:p>
    <w:p>
      <w:pPr>
        <w:spacing w:after="0" w:line="2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facsimile or on the date three Business Days after dispatch by certified or registered mail if mailed, in each case delivered, sent or mailed (properly addressed) to such party as provided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in accordance with the latest unrevoked direction from such party given in accordance with this </w:t>
      </w:r>
      <w:r>
        <w:rPr>
          <w:rFonts w:ascii="Arial" w:cs="Arial" w:eastAsia="Arial" w:hAnsi="Arial"/>
          <w:sz w:val="18"/>
          <w:szCs w:val="18"/>
          <w:u w:val="single" w:color="auto"/>
          <w:color w:val="auto"/>
        </w:rPr>
        <w:t>Section 5.01</w:t>
      </w:r>
      <w:r>
        <w:rPr>
          <w:rFonts w:ascii="Arial" w:cs="Arial" w:eastAsia="Arial" w:hAnsi="Arial"/>
          <w:sz w:val="18"/>
          <w:szCs w:val="18"/>
          <w:color w:val="auto"/>
        </w:rPr>
        <w:t>. As agreed to in writing among each Collateral Agent and each Authorized Representative from time to time, notices and other communications may also be delivered by e-mail to the e-mail address of a representative of the applicable Person provided from time to time by such Person.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Waivers; Amendment; Joinder Agreements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2" w:lineRule="auto"/>
        <w:tabs>
          <w:tab w:leader="none" w:pos="68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w:t>
      </w:r>
      <w:r>
        <w:rPr>
          <w:rFonts w:ascii="Arial" w:cs="Arial" w:eastAsia="Arial" w:hAnsi="Arial"/>
          <w:sz w:val="17"/>
          <w:szCs w:val="17"/>
          <w:u w:val="single" w:color="auto"/>
          <w:color w:val="auto"/>
        </w:rPr>
        <w:t>Section 5.02(b)</w:t>
      </w:r>
      <w:r>
        <w:rPr>
          <w:rFonts w:ascii="Arial" w:cs="Arial" w:eastAsia="Arial" w:hAnsi="Arial"/>
          <w:sz w:val="17"/>
          <w:szCs w:val="17"/>
          <w:color w:val="auto"/>
        </w:rPr>
        <w:t>,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77" w:lineRule="exact"/>
        <w:rPr>
          <w:rFonts w:ascii="Arial" w:cs="Arial" w:eastAsia="Arial" w:hAnsi="Arial"/>
          <w:sz w:val="17"/>
          <w:szCs w:val="17"/>
          <w:color w:val="auto"/>
        </w:rPr>
      </w:pPr>
    </w:p>
    <w:p>
      <w:pPr>
        <w:ind w:right="300" w:firstLine="436"/>
        <w:spacing w:after="0" w:line="263" w:lineRule="auto"/>
        <w:tabs>
          <w:tab w:leader="none" w:pos="69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Neither this Agreement nor any provision hereof may be terminated, waived, amended or modified (other than pursuant to any Joinder Agreement) except pursuant to an agreement or agreements in writing entered into by each Authorized Representative, each Collateral Agent and the Grantors.</w:t>
      </w:r>
    </w:p>
    <w:p>
      <w:pPr>
        <w:spacing w:after="0" w:line="183" w:lineRule="exact"/>
        <w:rPr>
          <w:rFonts w:ascii="Arial" w:cs="Arial" w:eastAsia="Arial" w:hAnsi="Arial"/>
          <w:sz w:val="18"/>
          <w:szCs w:val="18"/>
          <w:color w:val="auto"/>
        </w:rPr>
      </w:pPr>
    </w:p>
    <w:p>
      <w:pPr>
        <w:ind w:right="40" w:firstLine="436"/>
        <w:spacing w:after="0" w:line="259" w:lineRule="auto"/>
        <w:tabs>
          <w:tab w:leader="none" w:pos="68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Notwithstanding the foregoing, without the consent of any First Lien Secured Party, any Authorized Representative may become a party hereto by execution and delivery of a Joinder Agreement in accordance with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upon such execution and delivery, such Authorized Representative and the Additional First Lien Secured Parties and Additional First Lien Obligations of the Series for which such Authorized Representative is acting shall be subject to the terms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93" w:name="page394"/>
    <w:bookmarkEnd w:id="393"/>
    <w:p>
      <w:pPr>
        <w:ind w:firstLine="436"/>
        <w:spacing w:after="0" w:line="291" w:lineRule="auto"/>
        <w:tabs>
          <w:tab w:leader="none" w:pos="695" w:val="left"/>
        </w:tabs>
        <w:numPr>
          <w:ilvl w:val="0"/>
          <w:numId w:val="3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in connection with any Refinancing of First Lien Obligations of any Series, or the incurrence of Additional First Lien Obligations of any Series, the Collateral Agents and the Authorized Representatives then party hereto shall enter (and are hereby authorized to enter without the consent of any other First Lien Secured Party or any Loan Party), at the request of any Collateral Agent, any Authorized Representative or the Borrower, into such amendments or modifications of this Agreement as are reasonably necessary to reflect such Refinancing or such incurrence and are reasonably satisfactory to each such Collateral Agent and each such Authorized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Collateral Agent or Authorized Representative may condition its execution and delivery of any such amendment or modification on a receipt of a certificate from an Authorized Officer of the Borrower to the effect that such Refinancing or incurrence is permitted by the then existing Secured Credit Documents.</w:t>
      </w:r>
    </w:p>
    <w:p>
      <w:pPr>
        <w:spacing w:after="0" w:line="16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Agreement and the rights and benefits hereof shall inure to the benefit of each of the parties hereto and their respective successors and assigns and shall inure to the benefit of and bind each of the First Lien Secured Parties. Nothing in this Agreement is intended to or shall impair the obligations of any Grantor, which are absolute and unconditional, to pay the First Lien Obligations as and when the same shall become due and payable in accordance with their terms.</w:t>
      </w:r>
    </w:p>
    <w:p>
      <w:pPr>
        <w:spacing w:after="0" w:line="18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Survival of Agreement</w:t>
      </w:r>
      <w:r>
        <w:rPr>
          <w:rFonts w:ascii="Arial" w:cs="Arial" w:eastAsia="Arial" w:hAnsi="Arial"/>
          <w:sz w:val="17"/>
          <w:szCs w:val="17"/>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46"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Delivery of an executed signature page of this Agreement by facsimile or other electronic transmission (e.g., “pdf” or “tif” format) shall be effective as delivery of a manually executed counterpart hereof.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Each of the parties hereto hereby represents and warrants to each other party hereto that it has the corporate capacity and authority to execute this Agreement through electronic means and there are no restrictions for doing so in that party’s constitutive documents.</w:t>
      </w:r>
    </w:p>
    <w:p>
      <w:pPr>
        <w:spacing w:after="0" w:line="181"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Any provision of this Agreement that is prohibited or unenforceable in any jurisdiction shall not invalidate the remaining provisions hereof, and any such prohibition or unenforceability in any jurisdiction shall not invalidate or render unenforceable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94" w:name="page395"/>
    <w:bookmarkEnd w:id="394"/>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SHALL BE GOVERNED BY, AND CONSTRUED AND INTERPRETED IN ACCORDANCE WITH, THE LAW OF THE STATE OF NEW YORK.</w:t>
      </w:r>
    </w:p>
    <w:p>
      <w:pPr>
        <w:spacing w:after="0" w:line="22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Submission to Jurisdiction Waivers; Consent to Service of Process</w:t>
      </w:r>
      <w:r>
        <w:rPr>
          <w:rFonts w:ascii="Arial" w:cs="Arial" w:eastAsia="Arial" w:hAnsi="Arial"/>
          <w:sz w:val="18"/>
          <w:szCs w:val="18"/>
          <w:color w:val="auto"/>
        </w:rPr>
        <w:t>. Each Collateral Agent and each Authorized Representative, on behalf of itself and the First Lien Secured Parties of the Series for whom it is acting, irrevocably and unconditionally:</w:t>
      </w:r>
    </w:p>
    <w:p>
      <w:pPr>
        <w:spacing w:after="0" w:line="62" w:lineRule="exact"/>
        <w:rPr>
          <w:sz w:val="20"/>
          <w:szCs w:val="20"/>
          <w:color w:val="auto"/>
        </w:rPr>
      </w:pPr>
    </w:p>
    <w:p>
      <w:pPr>
        <w:ind w:left="440" w:right="240" w:firstLine="419"/>
        <w:spacing w:after="0" w:line="263" w:lineRule="auto"/>
        <w:tabs>
          <w:tab w:leader="none" w:pos="110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75" w:lineRule="exact"/>
        <w:rPr>
          <w:rFonts w:ascii="Arial" w:cs="Arial" w:eastAsia="Arial" w:hAnsi="Arial"/>
          <w:sz w:val="18"/>
          <w:szCs w:val="18"/>
          <w:color w:val="auto"/>
        </w:rPr>
      </w:pPr>
    </w:p>
    <w:p>
      <w:pPr>
        <w:ind w:left="440" w:right="100" w:firstLine="419"/>
        <w:spacing w:after="0" w:line="259" w:lineRule="auto"/>
        <w:tabs>
          <w:tab w:leader="none" w:pos="111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78" w:lineRule="exact"/>
        <w:rPr>
          <w:rFonts w:ascii="Arial" w:cs="Arial" w:eastAsia="Arial" w:hAnsi="Arial"/>
          <w:sz w:val="18"/>
          <w:szCs w:val="18"/>
          <w:color w:val="auto"/>
        </w:rPr>
      </w:pPr>
    </w:p>
    <w:p>
      <w:pPr>
        <w:ind w:left="440" w:right="140" w:firstLine="419"/>
        <w:spacing w:after="0" w:line="277" w:lineRule="auto"/>
        <w:tabs>
          <w:tab w:leader="none" w:pos="110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Person at its address set forth in </w:t>
      </w:r>
      <w:r>
        <w:rPr>
          <w:rFonts w:ascii="Arial" w:cs="Arial" w:eastAsia="Arial" w:hAnsi="Arial"/>
          <w:sz w:val="18"/>
          <w:szCs w:val="18"/>
          <w:u w:val="single" w:color="auto"/>
          <w:color w:val="auto"/>
        </w:rPr>
        <w:t>Section 5.01;</w:t>
      </w:r>
    </w:p>
    <w:p>
      <w:pPr>
        <w:spacing w:after="0" w:line="62" w:lineRule="exact"/>
        <w:rPr>
          <w:rFonts w:ascii="Arial" w:cs="Arial" w:eastAsia="Arial" w:hAnsi="Arial"/>
          <w:sz w:val="18"/>
          <w:szCs w:val="18"/>
          <w:color w:val="auto"/>
        </w:rPr>
      </w:pPr>
    </w:p>
    <w:p>
      <w:pPr>
        <w:jc w:val="both"/>
        <w:ind w:left="440" w:right="160" w:firstLine="419"/>
        <w:spacing w:after="0" w:line="263" w:lineRule="auto"/>
        <w:tabs>
          <w:tab w:leader="none" w:pos="111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of any other party hereto (or any Secured Party) to effect service of process in any other manner permitted by law or to commence legal proceedings or otherwise proceed against Holdings or the Borrower or any other Credit Party in any other jurisdiction; and</w:t>
      </w:r>
    </w:p>
    <w:p>
      <w:pPr>
        <w:spacing w:after="0" w:line="75" w:lineRule="exact"/>
        <w:rPr>
          <w:rFonts w:ascii="Arial" w:cs="Arial" w:eastAsia="Arial" w:hAnsi="Arial"/>
          <w:sz w:val="18"/>
          <w:szCs w:val="18"/>
          <w:color w:val="auto"/>
        </w:rPr>
      </w:pPr>
    </w:p>
    <w:p>
      <w:pPr>
        <w:ind w:left="440" w:right="20" w:firstLine="419"/>
        <w:spacing w:after="0" w:line="277" w:lineRule="auto"/>
        <w:tabs>
          <w:tab w:leader="none" w:pos="110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5.08</w:t>
      </w:r>
      <w:r>
        <w:rPr>
          <w:rFonts w:ascii="Arial" w:cs="Arial" w:eastAsia="Arial" w:hAnsi="Arial"/>
          <w:sz w:val="18"/>
          <w:szCs w:val="18"/>
          <w:color w:val="auto"/>
        </w:rPr>
        <w:t xml:space="preserve"> any special, exemplary, punitive or consequential damages.</w:t>
      </w:r>
    </w:p>
    <w:p>
      <w:pPr>
        <w:spacing w:after="0" w:line="170"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IRREVOCABLY AND UNCONDITIONALLY WAIVE (TO THE EXTENT PERMITTED BY APPLICABLE LAW) TRIAL BY JURY IN ANY LEGAL ACTION OR PROCEEDING RELATING TO THIS AGREEMENT OR FOR ANY COUNTERCLAIM THEREIN.</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Headings</w:t>
      </w:r>
      <w:r>
        <w:rPr>
          <w:rFonts w:ascii="Arial" w:cs="Arial" w:eastAsia="Arial" w:hAnsi="Arial"/>
          <w:sz w:val="18"/>
          <w:szCs w:val="18"/>
          <w:color w:val="auto"/>
        </w:rPr>
        <w:t>. Article, Section and Annex headings used herein are included for convenience of reference only and shall not affect the interpretation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95" w:name="page396"/>
    <w:bookmarkEnd w:id="395"/>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5.11 </w:t>
      </w: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or inconsistency between the provisions of this Agreement and the provisions of any of the First Lien Security Documents, any of the other Secured Credit Documents, the provisions of this Agreement shall control.</w:t>
      </w:r>
    </w:p>
    <w:p>
      <w:pPr>
        <w:spacing w:after="0" w:line="170"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Additional Senior Debt.</w:t>
      </w:r>
      <w:r>
        <w:rPr>
          <w:rFonts w:ascii="Arial" w:cs="Arial" w:eastAsia="Arial" w:hAnsi="Arial"/>
          <w:sz w:val="17"/>
          <w:szCs w:val="17"/>
          <w:color w:val="auto"/>
        </w:rPr>
        <w:t xml:space="preserve"> To the extent, but only to the extent, permitted by the provisions of the Credit Agreement and the Additional First Lien Documents, the Borrower may incur additional indebtedness after the date hereof that is permitted by the Credit Agreement and the Additional First Lien Documents to be incurred and secured on an equal and ratable basis by the Liens securing the First Lien Obligations (such indebtedness referred to as “</w:t>
      </w:r>
      <w:r>
        <w:rPr>
          <w:rFonts w:ascii="Arial" w:cs="Arial" w:eastAsia="Arial" w:hAnsi="Arial"/>
          <w:sz w:val="17"/>
          <w:szCs w:val="17"/>
          <w:u w:val="single" w:color="auto"/>
          <w:color w:val="auto"/>
        </w:rPr>
        <w:t>Additional Senior Class Debt</w:t>
      </w:r>
      <w:r>
        <w:rPr>
          <w:rFonts w:ascii="Arial" w:cs="Arial" w:eastAsia="Arial" w:hAnsi="Arial"/>
          <w:sz w:val="17"/>
          <w:szCs w:val="17"/>
          <w:color w:val="auto"/>
        </w:rPr>
        <w:t>”). Any such Additional Senior Class Debt, together with obligations relating thereto, may be secured by such Liens if and subject to the condition that the trustee, administrative agent or similar representative for the holders of such Additional Senior Class Debt (each, an “</w:t>
      </w:r>
      <w:r>
        <w:rPr>
          <w:rFonts w:ascii="Arial" w:cs="Arial" w:eastAsia="Arial" w:hAnsi="Arial"/>
          <w:sz w:val="17"/>
          <w:szCs w:val="17"/>
          <w:u w:val="single" w:color="auto"/>
          <w:color w:val="auto"/>
        </w:rPr>
        <w:t>Additional Senior Class Debt Representative</w:t>
      </w:r>
      <w:r>
        <w:rPr>
          <w:rFonts w:ascii="Arial" w:cs="Arial" w:eastAsia="Arial" w:hAnsi="Arial"/>
          <w:sz w:val="17"/>
          <w:szCs w:val="17"/>
          <w:color w:val="auto"/>
        </w:rPr>
        <w:t>”), and the collateral agent, collateral trustee or similar representative for the holders of such Additional Senior Class Debt (each, an “</w:t>
      </w:r>
      <w:r>
        <w:rPr>
          <w:rFonts w:ascii="Arial" w:cs="Arial" w:eastAsia="Arial" w:hAnsi="Arial"/>
          <w:sz w:val="17"/>
          <w:szCs w:val="17"/>
          <w:u w:val="single" w:color="auto"/>
          <w:color w:val="auto"/>
        </w:rPr>
        <w:t>Additional Senior Class Debt Collateral Agent</w:t>
      </w:r>
      <w:r>
        <w:rPr>
          <w:rFonts w:ascii="Arial" w:cs="Arial" w:eastAsia="Arial" w:hAnsi="Arial"/>
          <w:sz w:val="17"/>
          <w:szCs w:val="17"/>
          <w:color w:val="auto"/>
        </w:rPr>
        <w:t>” and, together with the holders of such Additional Senior Class Debt and the related Additional Senior Class Debt Representative, the “</w:t>
      </w:r>
      <w:r>
        <w:rPr>
          <w:rFonts w:ascii="Arial" w:cs="Arial" w:eastAsia="Arial" w:hAnsi="Arial"/>
          <w:sz w:val="17"/>
          <w:szCs w:val="17"/>
          <w:u w:val="single" w:color="auto"/>
          <w:color w:val="auto"/>
        </w:rPr>
        <w:t>Additional Senior Class Debt Parties</w:t>
      </w:r>
      <w:r>
        <w:rPr>
          <w:rFonts w:ascii="Arial" w:cs="Arial" w:eastAsia="Arial" w:hAnsi="Arial"/>
          <w:sz w:val="17"/>
          <w:szCs w:val="17"/>
          <w:color w:val="auto"/>
        </w:rPr>
        <w:t>”), in each case acting on behalf of the holders of such Additional Senior Class Debt, become a party to this Agreement by satisfying the conditions set forth in clauses (i) through (iv) of the immediately succeeding paragraph.</w:t>
      </w:r>
    </w:p>
    <w:p>
      <w:pPr>
        <w:spacing w:after="0" w:line="18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In order, with respect to any Additional Senior Class Debt, for an Additional Senior Class Debt Representative and the related Additional Senior Class Debt Collateral Agent to become a party to this Agreement,</w:t>
      </w:r>
    </w:p>
    <w:p>
      <w:pPr>
        <w:spacing w:after="0" w:line="62" w:lineRule="exact"/>
        <w:rPr>
          <w:sz w:val="20"/>
          <w:szCs w:val="20"/>
          <w:color w:val="auto"/>
        </w:rPr>
      </w:pPr>
    </w:p>
    <w:p>
      <w:pPr>
        <w:ind w:left="440" w:right="40" w:firstLine="419"/>
        <w:spacing w:after="0" w:line="255" w:lineRule="auto"/>
        <w:tabs>
          <w:tab w:leader="none" w:pos="1078"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xml:space="preserve">such Additional Senior Class Debt Representative and Additional Senior Class Debt Collateral Agent, each Collateral Agent, each Authorized Representative and each Grantor shall have executed and delivered an instrument substantially in the form of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(with such changes as may be reasonably approved by such Authorized Representatives and such Additional Senior Class Debt Representative) pursuant to which such Additional Senior Class Debt Representative becomes an “Authorized Representative” hereunder, such Additional Senior Class Debt Collateral Agent becomes a “Collateral Agent” hereunder and such Additional Senior Class Debt and the related Additional Senior Class Debt Parties become subject hereto and bound hereby;</w:t>
      </w:r>
    </w:p>
    <w:p>
      <w:pPr>
        <w:spacing w:after="0" w:line="84" w:lineRule="exact"/>
        <w:rPr>
          <w:rFonts w:ascii="Arial" w:cs="Arial" w:eastAsia="Arial" w:hAnsi="Arial"/>
          <w:sz w:val="18"/>
          <w:szCs w:val="18"/>
          <w:color w:val="auto"/>
        </w:rPr>
      </w:pPr>
    </w:p>
    <w:p>
      <w:pPr>
        <w:ind w:left="440" w:right="140" w:firstLine="419"/>
        <w:spacing w:after="0" w:line="291" w:lineRule="auto"/>
        <w:tabs>
          <w:tab w:leader="none" w:pos="1128" w:val="left"/>
        </w:tabs>
        <w:numPr>
          <w:ilvl w:val="1"/>
          <w:numId w:val="343"/>
        </w:numPr>
        <w:rPr>
          <w:rFonts w:ascii="Arial" w:cs="Arial" w:eastAsia="Arial" w:hAnsi="Arial"/>
          <w:sz w:val="16"/>
          <w:szCs w:val="16"/>
          <w:color w:val="auto"/>
        </w:rPr>
      </w:pPr>
      <w:r>
        <w:rPr>
          <w:rFonts w:ascii="Arial" w:cs="Arial" w:eastAsia="Arial" w:hAnsi="Arial"/>
          <w:sz w:val="16"/>
          <w:szCs w:val="16"/>
          <w:color w:val="auto"/>
        </w:rPr>
        <w:t>the Borrower shall have (x) delivered to each Authorized Representative true and complete copies of each of the Additional First Lien Documents relating to such Additional Senior Class Debt, certified as being true and correct by an Authorized Officer of the Borrower and</w:t>
      </w:r>
    </w:p>
    <w:p>
      <w:pPr>
        <w:jc w:val="both"/>
        <w:ind w:left="440" w:hanging="4"/>
        <w:spacing w:after="0" w:line="253" w:lineRule="auto"/>
        <w:tabs>
          <w:tab w:leader="none" w:pos="69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identified in a certificate of an Authorized Officer of the Borrower such Additional Senior Class Debt, stating the initial aggregate principal amount or face amount thereof, and the obligations to be designated as Additional First Lien Obligations and certified that such obligations are permitted to be incurred and secured on a pari passu basis with Liens securing the then-extant First Lien Obligations and by the terms of the then-extant Secured Credit Documents;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4" w:right="539" w:bottom="1440" w:gutter="0" w:footer="0" w:header="0"/>
        </w:sectPr>
      </w:pPr>
    </w:p>
    <w:bookmarkStart w:id="396" w:name="page397"/>
    <w:bookmarkEnd w:id="396"/>
    <w:p>
      <w:pPr>
        <w:ind w:left="440" w:firstLine="419"/>
        <w:spacing w:after="0" w:line="286" w:lineRule="auto"/>
        <w:tabs>
          <w:tab w:leader="none" w:pos="1178" w:val="left"/>
        </w:tabs>
        <w:numPr>
          <w:ilvl w:val="0"/>
          <w:numId w:val="3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filings, recordations and/or amendments or supplements to the First Lien Security Documents necessary or desirable in the reasonable judgment of such Additional Senior Class Debt Representative to confirm and perfect the Liens securing the relevant obligations relating to such Additional Senior Class Debt shall have been made, executed and/or delivered (or, with respect to any such filings or recordations, acceptable provisions to perform such filings or recordations shall have been taken in the reasonable judgment of such Additional Senior</w:t>
      </w:r>
    </w:p>
    <w:p>
      <w:pPr>
        <w:spacing w:after="0" w:line="1" w:lineRule="exact"/>
        <w:rPr>
          <w:rFonts w:ascii="Arial" w:cs="Arial" w:eastAsia="Arial" w:hAnsi="Arial"/>
          <w:sz w:val="16"/>
          <w:szCs w:val="16"/>
          <w:color w:val="auto"/>
        </w:rPr>
      </w:pPr>
    </w:p>
    <w:p>
      <w:pPr>
        <w:ind w:left="440" w:right="140"/>
        <w:spacing w:after="0" w:line="260" w:lineRule="auto"/>
        <w:rPr>
          <w:rFonts w:ascii="Arial" w:cs="Arial" w:eastAsia="Arial" w:hAnsi="Arial"/>
          <w:sz w:val="16"/>
          <w:szCs w:val="16"/>
          <w:color w:val="auto"/>
        </w:rPr>
      </w:pPr>
      <w:r>
        <w:rPr>
          <w:rFonts w:ascii="Arial" w:cs="Arial" w:eastAsia="Arial" w:hAnsi="Arial"/>
          <w:sz w:val="18"/>
          <w:szCs w:val="18"/>
          <w:color w:val="auto"/>
        </w:rPr>
        <w:t>Class Debt Representative), and all fees and taxes in connection therewith shall have been paid (or acceptable provisions to make such payments have been taken in the reasonable judgment of such Additional Senior Class Debt Representative); and</w:t>
      </w:r>
    </w:p>
    <w:p>
      <w:pPr>
        <w:spacing w:after="0" w:line="77" w:lineRule="exact"/>
        <w:rPr>
          <w:rFonts w:ascii="Arial" w:cs="Arial" w:eastAsia="Arial" w:hAnsi="Arial"/>
          <w:sz w:val="16"/>
          <w:szCs w:val="16"/>
          <w:color w:val="auto"/>
        </w:rPr>
      </w:pPr>
    </w:p>
    <w:p>
      <w:pPr>
        <w:ind w:left="440" w:right="60" w:firstLine="419"/>
        <w:spacing w:after="0" w:line="286" w:lineRule="auto"/>
        <w:tabs>
          <w:tab w:leader="none" w:pos="1168"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Additional First Lien Documents, as applicable, relating to such Additional Senior Class Debt shall provide, in a manner reasonably satisfactory to each Collateral Agent, that each Additional Senior Class Debt Party with respect to such Additional Senior Class Debt will be subject to and bound by the provisions of this Agreement in its capacity as a holder of such Additional Senior Class Debt.</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Agent Capacities</w:t>
      </w:r>
      <w:r>
        <w:rPr>
          <w:rFonts w:ascii="Arial" w:cs="Arial" w:eastAsia="Arial" w:hAnsi="Arial"/>
          <w:sz w:val="17"/>
          <w:szCs w:val="17"/>
          <w:color w:val="auto"/>
        </w:rPr>
        <w:t>. Except as expressly provided herein or in the Credit Agreement Collateral Documents, Credit Suisse AG, Cayman Islands Branch is acting in the capacities of Administrative Agent and Credit Agreement Collateral Agent solely for the Credit Agreement Secured Parties. Except as expressly provided herein or in the Initial Additional First Lien Security Documents, The Bank of New York Mellon Trust Company, N.A. is acting in the capacities of Initial Additional Authorized Representative and Initial Additional First Lien Collateral Agent solely for the Initial Additional First Lien Secured Parties. Except as expressly provided herein or in the Additional First Lien Security Documents in respect of any Series of Additional Senior Class Debt, the Additional Senior Class Debt Representative and Additional Senior Class Debt Collateral Agent in respect of such Series of Additional Senior Class Debt is acting solely in such capacities for the Additional Senior Class Debt Parties in respect of such Series of Additional Senior Class Debt. Except as expressly set forth herein, none of the Administrative Agent, the Credit Agreement Collateral Agent, the Initial Additional Authorized Representative, the Initial Additional First Lien Collateral Agent, any other Authorized Representative or any other Collateral Agent shall have any duties or obligations in respect of any of the Collateral, all of such duties and obligations, if any, being subject to and governed by the applicable Secured Credit Documents. The Administrative Agent and the Credit Agreement Collateral Agent shall have no liability for any actions in any role under this Agreement to anyone other than the Credit Agreement Secured Parties and only then in accordance with the Credit Agreement Collateral Documents.</w:t>
      </w:r>
    </w:p>
    <w:p>
      <w:pPr>
        <w:spacing w:after="0" w:line="186"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Additional Grantors</w:t>
      </w:r>
      <w:r>
        <w:rPr>
          <w:rFonts w:ascii="Arial" w:cs="Arial" w:eastAsia="Arial" w:hAnsi="Arial"/>
          <w:sz w:val="17"/>
          <w:szCs w:val="17"/>
          <w:color w:val="auto"/>
        </w:rPr>
        <w:t xml:space="preserve">. In the event any Subsidiary or a Grantor shall have granted a Lien on any of its assets to secure any First Lien Obligations, such Grantor shall cause such Subsidiary, if not already a party hereto, to become a party hereto as a “Grantor”. Upon the execution and delivery by any Subsidiary of a Grantor of a Grantor Joinder Agreement in substantially the form of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hereof, any such Subsidiary shall become a party hereto and a Grantor hereunder with the same force and effect as if originally named as such herein. The execution and delivery of any such instrument shall not require the consent of any other party hereto. The rights and obligations of each party hereto shall remain in full force and effect notwithstanding the addition of any new Grantor as a party to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97" w:name="page398"/>
    <w:bookmarkEnd w:id="397"/>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5.15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together with the other Secured Credit Documents and the First Lien Security Documents represents the agreement of each of the Grantors and the First Lien Secured Parties with respect to the subject matter hereof and there are no promises, undertakings, representations or warranties by any Grantor, the Credit Agreement Collateral Agent, or any other First Lien Secured Party relative to the subject matter hereof not expressly set forth or referred to herein or in the other Secured Credit Documents or the First Lien Security Documents.</w:t>
      </w:r>
    </w:p>
    <w:p>
      <w:pPr>
        <w:spacing w:after="0" w:line="157"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ABL Intercreditor Agreement</w:t>
      </w:r>
      <w:r>
        <w:rPr>
          <w:rFonts w:ascii="Arial" w:cs="Arial" w:eastAsia="Arial" w:hAnsi="Arial"/>
          <w:sz w:val="18"/>
          <w:szCs w:val="18"/>
          <w:color w:val="auto"/>
        </w:rPr>
        <w:t>. Notwithstanding anything herein to the contrary, the exercise of any right or remedy by any Collateral Agent or First Lien Secured Party hereunder with respect to ABL Priority Collateral is subject to the terms of the ABL Intercreditor Agreement and in the event of any conflict or inconsistency between this Agreement and the ABL Intercreditor Agreement with respect to the ABL Priority Collateral, the ABL Intercreditor Agreement shall govern.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440" w:top="274" w:right="559" w:bottom="1440" w:gutter="0" w:footer="0" w:header="0"/>
        </w:sectPr>
      </w:pPr>
    </w:p>
    <w:bookmarkStart w:id="398" w:name="page399"/>
    <w:bookmarkEnd w:id="39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CREDIT SUISSE AG, CAYMAN ISLANDS BRANCH,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First Lien Collateral Agent for the Credit Agreement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Secured Parties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William O’Daly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Zybrick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Christopher Zybrick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CREDIT SUISSE AG, CAYMAN ISLANDS BRANCH,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 for the Credit Agreement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Secured Parties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William O’Daly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Zybrick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Christopher Zybrick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First Lien Intercreditor Agreement]</w:t>
      </w:r>
    </w:p>
    <w:p>
      <w:pPr>
        <w:sectPr>
          <w:pgSz w:w="11900" w:h="16838" w:orient="portrait"/>
          <w:cols w:equalWidth="0" w:num="1">
            <w:col w:w="10920"/>
          </w:cols>
          <w:pgMar w:left="440" w:top="274" w:right="539" w:bottom="1440" w:gutter="0" w:footer="0" w:header="0"/>
        </w:sectPr>
      </w:pPr>
    </w:p>
    <w:bookmarkStart w:id="399" w:name="page400"/>
    <w:bookmarkEnd w:id="39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 TRUST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COMPANY, N.A., as Initial Additional First Lien Collateral</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Agent for the Initial Additional First Lien Secured Parties</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[Signature Page to First Lien Intercreditor Agreement]</w:t>
      </w:r>
    </w:p>
    <w:p>
      <w:pPr>
        <w:sectPr>
          <w:pgSz w:w="11900" w:h="16838" w:orient="portrait"/>
          <w:cols w:equalWidth="0" w:num="1">
            <w:col w:w="9940"/>
          </w:cols>
          <w:pgMar w:left="1440" w:top="274" w:right="519" w:bottom="1440" w:gutter="0" w:footer="0" w:header="0"/>
        </w:sectPr>
      </w:pPr>
    </w:p>
    <w:bookmarkStart w:id="400" w:name="page401"/>
    <w:bookmarkEnd w:id="40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ACADEMY, LTD.,</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Academy Managing Co., L.L.C.,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Rene Casares</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-130175</wp:posOffset>
            </wp:positionV>
            <wp:extent cx="259715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and General Counsel</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ACADEMY HOLDING COMPANY, LLC,</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Rene Casares</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-130175</wp:posOffset>
            </wp:positionV>
            <wp:extent cx="259715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and General Counsel</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ASSOCIATED INVESTORS, L.L.C.,</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Rene Casares</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-130175</wp:posOffset>
            </wp:positionV>
            <wp:extent cx="25971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and General Counsel</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ACADEMY MANAGING CO., L.L.C.,</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Rene Casares</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-130175</wp:posOffset>
            </wp:positionV>
            <wp:extent cx="259715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and General Counsel</w:t>
      </w:r>
    </w:p>
    <w:p>
      <w:pPr>
        <w:spacing w:after="0" w:line="24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[Signature Page to First Lien Intercreditor Agreement]</w:t>
      </w:r>
    </w:p>
    <w:p>
      <w:pPr>
        <w:sectPr>
          <w:pgSz w:w="11900" w:h="16838" w:orient="portrait"/>
          <w:cols w:equalWidth="0" w:num="1">
            <w:col w:w="9680"/>
          </w:cols>
          <w:pgMar w:left="1440" w:top="274" w:right="77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10.13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SECURITY AGREEMENT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THIS SECURITY AGREEMENT, dated as of November 6, 2020 (as the same may be amended, restated, supplemented or otherwise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modified from time to time, this “</w:t>
      </w:r>
      <w:r>
        <w:rPr>
          <w:rFonts w:ascii="Arial" w:cs="Arial" w:eastAsia="Arial" w:hAnsi="Arial"/>
          <w:sz w:val="16"/>
          <w:szCs w:val="16"/>
          <w:u w:val="single" w:color="auto"/>
          <w:color w:val="auto"/>
        </w:rPr>
        <w:t>Security Agreement</w:t>
      </w:r>
      <w:r>
        <w:rPr>
          <w:rFonts w:ascii="Arial" w:cs="Arial" w:eastAsia="Arial" w:hAnsi="Arial"/>
          <w:sz w:val="16"/>
          <w:szCs w:val="16"/>
          <w:color w:val="auto"/>
        </w:rPr>
        <w:t>”), among Academy, Ltd., a Texas limited partnership (the “</w:t>
      </w:r>
      <w:r>
        <w:rPr>
          <w:rFonts w:ascii="Arial" w:cs="Arial" w:eastAsia="Arial" w:hAnsi="Arial"/>
          <w:sz w:val="16"/>
          <w:szCs w:val="16"/>
          <w:u w:val="single" w:color="auto"/>
          <w:color w:val="auto"/>
        </w:rPr>
        <w:t>Issuer</w:t>
      </w:r>
      <w:r>
        <w:rPr>
          <w:rFonts w:ascii="Arial" w:cs="Arial" w:eastAsia="Arial" w:hAnsi="Arial"/>
          <w:sz w:val="16"/>
          <w:szCs w:val="16"/>
          <w:color w:val="auto"/>
        </w:rPr>
        <w:t>”), each of the entities listed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signature pages hereto or that becomes a party hereto pursuant to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hereof (each such entity being a “</w:t>
      </w:r>
      <w:r>
        <w:rPr>
          <w:rFonts w:ascii="Arial" w:cs="Arial" w:eastAsia="Arial" w:hAnsi="Arial"/>
          <w:sz w:val="16"/>
          <w:szCs w:val="16"/>
          <w:u w:val="single" w:color="auto"/>
          <w:color w:val="auto"/>
        </w:rPr>
        <w:t>Guarantor</w:t>
      </w:r>
      <w:r>
        <w:rPr>
          <w:rFonts w:ascii="Arial" w:cs="Arial" w:eastAsia="Arial" w:hAnsi="Arial"/>
          <w:sz w:val="16"/>
          <w:szCs w:val="16"/>
          <w:color w:val="auto"/>
        </w:rPr>
        <w:t>” and,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and The Bank of New York Mellon Trust Company, N.A.,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for the benefit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Secured Parties.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1" w:lineRule="exact"/>
        <w:rPr>
          <w:sz w:val="20"/>
          <w:szCs w:val="20"/>
          <w:color w:val="auto"/>
        </w:rPr>
      </w:pPr>
    </w:p>
    <w:p>
      <w:pPr>
        <w:ind w:right="20" w:firstLine="991"/>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Issuer and each of the Guarantors are party to the Indenture, dated as of the date hereof (as the same may be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supplemented or otherwise modified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by and among the Issuer, the Guarantors, and The Bank of New York Mellon Trust Company, N.A., in its capacity as trustee (in such capacity, together with any successor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as Collateral Agent, pursuant to which the Issuer issued $400,000,000 aggregate principal amount of its 6.000% Senior Secured Notes due 2027 (the “</w:t>
      </w:r>
      <w:r>
        <w:rPr>
          <w:rFonts w:ascii="Arial" w:cs="Arial" w:eastAsia="Arial" w:hAnsi="Arial"/>
          <w:sz w:val="17"/>
          <w:szCs w:val="17"/>
          <w:u w:val="single" w:color="auto"/>
          <w:color w:val="auto"/>
        </w:rPr>
        <w:t>Notes</w:t>
      </w:r>
      <w:r>
        <w:rPr>
          <w:rFonts w:ascii="Arial" w:cs="Arial" w:eastAsia="Arial" w:hAnsi="Arial"/>
          <w:sz w:val="17"/>
          <w:szCs w:val="17"/>
          <w:color w:val="auto"/>
        </w:rPr>
        <w:t>”), and may from time to time issue additional Notes upon the terms and subject to the conditions set forth therein;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Indenture, each of the Guarantors has agreed to unconditionally and irrevocably guarantee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Guarantees</w:t>
      </w:r>
      <w:r>
        <w:rPr>
          <w:rFonts w:ascii="Arial" w:cs="Arial" w:eastAsia="Arial" w:hAnsi="Arial"/>
          <w:sz w:val="17"/>
          <w:szCs w:val="17"/>
          <w:color w:val="auto"/>
        </w:rPr>
        <w:t>”), as primary obligor and not merely as surety, the prompt and complete payment and performance when due (whether at the stated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maturity, by acceleration or otherwise) of the Obligations;</w:t>
      </w:r>
    </w:p>
    <w:p>
      <w:pPr>
        <w:spacing w:after="0" w:line="20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ABL Intercreditor Agreement, dated as of July 2, 2015, and the joinder, dated as of the date hereof, among,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alios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Collateral Agent, the Term Loan Collateral Agent and the ABL Collateral Agent (as amended, restated, supplemented or otherwise modified from time to time, the “</w:t>
      </w:r>
      <w:r>
        <w:rPr>
          <w:rFonts w:ascii="Arial" w:cs="Arial" w:eastAsia="Arial" w:hAnsi="Arial"/>
          <w:sz w:val="17"/>
          <w:szCs w:val="17"/>
          <w:u w:val="single" w:color="auto"/>
          <w:color w:val="auto"/>
        </w:rPr>
        <w:t>ABL Intercreditor Agreement</w:t>
      </w:r>
      <w:r>
        <w:rPr>
          <w:rFonts w:ascii="Arial" w:cs="Arial" w:eastAsia="Arial" w:hAnsi="Arial"/>
          <w:sz w:val="17"/>
          <w:szCs w:val="17"/>
          <w:color w:val="auto"/>
        </w:rPr>
        <w:t>”) governs the relative rights and priorities of the Term Loan Secured Parties (as defined therein), the ABL Secured Parties (as defined therein) and Additional Debt Secured Parties (as defined therein) in respect of the Collateral and the ABL Priority Collateral (and with respect to certain other matters as described therein);</w:t>
      </w:r>
    </w:p>
    <w:p>
      <w:pPr>
        <w:spacing w:after="0" w:line="168" w:lineRule="exact"/>
        <w:rPr>
          <w:sz w:val="20"/>
          <w:szCs w:val="20"/>
          <w:color w:val="auto"/>
        </w:rPr>
      </w:pPr>
    </w:p>
    <w:p>
      <w:pPr>
        <w:ind w:right="100" w:firstLine="99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First Lien Intercreditor Agreement, dated as of the date hereof, between,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alios</w:t>
      </w:r>
      <w:r>
        <w:rPr>
          <w:rFonts w:ascii="Arial" w:cs="Arial" w:eastAsia="Arial" w:hAnsi="Arial"/>
          <w:sz w:val="18"/>
          <w:szCs w:val="18"/>
          <w:color w:val="auto"/>
        </w:rPr>
        <w:t>, the Collateral Agent and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 Collateral Agent (as amended, restated, supplemented or otherwise modified from time to time, the “</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governs the relative rights and priorities of the First Lien Secured Parties (as defined therein) in respect of the Collateral (and with respect to certain other matters as described therein);</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each Grantor is the Issuer or a Guarantor;</w:t>
      </w:r>
    </w:p>
    <w:p>
      <w:pPr>
        <w:spacing w:after="0" w:line="225" w:lineRule="exact"/>
        <w:rPr>
          <w:sz w:val="20"/>
          <w:szCs w:val="20"/>
          <w:color w:val="auto"/>
        </w:rPr>
      </w:pPr>
    </w:p>
    <w:p>
      <w:pPr>
        <w:ind w:right="660" w:firstLine="99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proceeds of the Notes will be used in part to enable the Issuer to make valuable transfers to the other Grantors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operation of their respectiev businesses;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02" w:name="page403"/>
    <w:bookmarkEnd w:id="402"/>
    <w:p>
      <w:pPr>
        <w:ind w:right="16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WHEREAS, </w:t>
      </w:r>
      <w:r>
        <w:rPr>
          <w:rFonts w:ascii="Arial" w:cs="Arial" w:eastAsia="Arial" w:hAnsi="Arial"/>
          <w:sz w:val="18"/>
          <w:szCs w:val="18"/>
          <w:color w:val="auto"/>
        </w:rPr>
        <w:t>each Grantor acknowledges that it will derive substantial direct and indirect benefit from the sale and issuance of the Notes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provision of the Guarantees.</w:t>
      </w:r>
    </w:p>
    <w:p>
      <w:pPr>
        <w:spacing w:after="0" w:line="162"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to induce the Trustee and the Collateral Agent to enter into the Indenture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to induce the Holders to purchase and hold the Notes, the Grantors hereby agree with the Collateral Agent, for the benefit of the Secured Parties, as follows:</w:t>
      </w:r>
    </w:p>
    <w:p>
      <w:pPr>
        <w:spacing w:after="0" w:line="72" w:lineRule="exact"/>
        <w:rPr>
          <w:sz w:val="20"/>
          <w:szCs w:val="20"/>
          <w:color w:val="auto"/>
        </w:rPr>
      </w:pPr>
    </w:p>
    <w:p>
      <w:pPr>
        <w:ind w:left="1160" w:hanging="173"/>
        <w:spacing w:after="0"/>
        <w:tabs>
          <w:tab w:leader="none" w:pos="116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Unless otherwise defined herein, terms defined in the Indenture and used herein shall have the meanings given to them in the Indenture.</w:t>
      </w:r>
    </w:p>
    <w:p>
      <w:pPr>
        <w:spacing w:after="0" w:line="140" w:lineRule="exact"/>
        <w:rPr>
          <w:rFonts w:ascii="Arial" w:cs="Arial" w:eastAsia="Arial" w:hAnsi="Arial"/>
          <w:sz w:val="16"/>
          <w:szCs w:val="16"/>
          <w:color w:val="auto"/>
        </w:rPr>
      </w:pPr>
    </w:p>
    <w:p>
      <w:pPr>
        <w:ind w:right="40" w:firstLine="987"/>
        <w:spacing w:after="0" w:line="259" w:lineRule="auto"/>
        <w:tabs>
          <w:tab w:leader="none" w:pos="12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Terms used herein without definition that are defined in the UCC have the meanings given to them in the UCC, including the following terms (which are capitalized herein): Account, Chattel Paper, Commercial Tort Claims, Commodity Contract, Deposit Accounts, Documents, Fixtures, Goods, Instruments, Inventory, Letter-of-Credit Right, Securities, Securities Accounts, Security Entitlement, Software, Supporting Obligation and Tangible Chattel Paper.</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shall have the meaning assigned to that term in the ABL Intercreditor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Account</w:t>
      </w:r>
      <w:r>
        <w:rPr>
          <w:rFonts w:ascii="Arial" w:cs="Arial" w:eastAsia="Arial" w:hAnsi="Arial"/>
          <w:sz w:val="17"/>
          <w:szCs w:val="17"/>
          <w:color w:val="auto"/>
        </w:rPr>
        <w:t xml:space="preserve">” shall mean any collateral account established by the Collateral Agent as provided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have the meaning provided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mean “control,” as such term is defined in Section 9-104 or 9-106, as applicable, of the UCC.</w:t>
      </w:r>
    </w:p>
    <w:p>
      <w:pPr>
        <w:spacing w:after="0" w:line="225"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xml:space="preserve">” shall mean, with respect to any Person, all of the following now owned or hereafter acquired by such Person: (i) all copyrights arising under the laws of the United States, whether as author, assignee, transferee, licensee or otherwise, including copyrights in Software, and (ii) all registrations and applications for registration of any such copyright in the United States, including registrations, recordings, supplemental registrations and pending applications for registration in the United States Copyright Office, including those U.S. registered copyrights owned by any Grantor and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or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mean a “default” or “event of default” under the Indenture.</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403" w:name="page404"/>
    <w:bookmarkEnd w:id="403"/>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Equipment</w:t>
      </w:r>
      <w:r>
        <w:rPr>
          <w:rFonts w:ascii="Arial" w:cs="Arial" w:eastAsia="Arial" w:hAnsi="Arial"/>
          <w:sz w:val="18"/>
          <w:szCs w:val="18"/>
          <w:color w:val="auto"/>
        </w:rPr>
        <w:t>” shall mean all “equipment,” as such term is defined in Article 9 of the UCC, now or hereafter owned by any Grantor or to which any Grantor has rights and, in any event, shall include all machinery, equipment, furnishings, movable trade fixtures and vehicles now or hereafter owned by any Grantor or to which any Grantor has rights and any and all Proceeds, additions, substitutions and replacements of any of the foregoing, wherever located, together with all attachments, components, parts, equipment and accessories installed thereon or affixed thereto; but excluding any Excluded Assets.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shall mean the following:</w:t>
      </w:r>
    </w:p>
    <w:p>
      <w:pPr>
        <w:spacing w:after="0" w:line="117" w:lineRule="exact"/>
        <w:rPr>
          <w:sz w:val="20"/>
          <w:szCs w:val="20"/>
          <w:color w:val="auto"/>
        </w:rPr>
      </w:pPr>
    </w:p>
    <w:p>
      <w:pPr>
        <w:ind w:left="440" w:right="240" w:firstLine="419"/>
        <w:spacing w:after="0" w:line="277" w:lineRule="auto"/>
        <w:tabs>
          <w:tab w:leader="none" w:pos="111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(x) all leasehold interests in real property and (y) any parcel of real estate and the improvements thereto owned in fee by a Grantor not constituting Mortgaged Property (but not any Collateral located thereon);</w:t>
      </w:r>
    </w:p>
    <w:p>
      <w:pPr>
        <w:spacing w:after="0" w:line="62" w:lineRule="exact"/>
        <w:rPr>
          <w:rFonts w:ascii="Arial" w:cs="Arial" w:eastAsia="Arial" w:hAnsi="Arial"/>
          <w:sz w:val="18"/>
          <w:szCs w:val="18"/>
          <w:color w:val="auto"/>
        </w:rPr>
      </w:pPr>
    </w:p>
    <w:p>
      <w:pPr>
        <w:jc w:val="both"/>
        <w:ind w:left="440" w:right="680" w:firstLine="419"/>
        <w:spacing w:after="0" w:line="263" w:lineRule="auto"/>
        <w:tabs>
          <w:tab w:leader="none" w:pos="111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motor vehicles and other assets subject to certificates of title, Letter-of-Credit Rights (other than to the extent such rights can be perfected by filing a UCC-1) and Commercial Tort Claims with a claim value of less than the greater of (a) $45,000,000 and (b) 10.0% of Consolidated EBITDA of the Issuer for the Applicable Measurement Period;</w:t>
      </w:r>
    </w:p>
    <w:p>
      <w:pPr>
        <w:spacing w:after="0" w:line="75" w:lineRule="exact"/>
        <w:rPr>
          <w:rFonts w:ascii="Arial" w:cs="Arial" w:eastAsia="Arial" w:hAnsi="Arial"/>
          <w:sz w:val="18"/>
          <w:szCs w:val="18"/>
          <w:color w:val="auto"/>
        </w:rPr>
      </w:pPr>
    </w:p>
    <w:p>
      <w:pPr>
        <w:ind w:left="440" w:right="20" w:firstLine="419"/>
        <w:spacing w:after="0" w:line="273" w:lineRule="auto"/>
        <w:tabs>
          <w:tab w:leader="none" w:pos="1118"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those assets over which the granting of security interests in such assets would be prohibited by applicable law or regulation (in each case, except to the extent such prohibition is unenforceable after giving effect to applicable provisions of the Uniform Commercial Code of any applicable jurisdiction, other than proceeds thereof, the assignment of which is expressly deemed effective under the Uniform Commercial Code of any applicable jurisdiction notwithstanding such prohibitions) or to the extent that such security interests would require obtaining the consent of any Governmental Authority (except to the extent such consent has been obtained) or would result in materially adverse tax consequences as reasonably determined by the Issuer in consultation with the Term Loan Collateral Agent;</w:t>
      </w:r>
    </w:p>
    <w:p>
      <w:pPr>
        <w:spacing w:after="0" w:line="69" w:lineRule="exact"/>
        <w:rPr>
          <w:rFonts w:ascii="Arial" w:cs="Arial" w:eastAsia="Arial" w:hAnsi="Arial"/>
          <w:sz w:val="17"/>
          <w:szCs w:val="17"/>
          <w:color w:val="auto"/>
        </w:rPr>
      </w:pPr>
    </w:p>
    <w:p>
      <w:pPr>
        <w:ind w:left="440" w:right="140" w:firstLine="419"/>
        <w:spacing w:after="0" w:line="259" w:lineRule="auto"/>
        <w:tabs>
          <w:tab w:leader="none" w:pos="111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margin stock and, to the extent requiring the consent of one or more third parties or prohibited by the terms of any applicable organizational documents, joint venture agreement or shareholders’ agreement, Equity Interests in any Person (other than Wholly-Owned Subsidiaries that are Restricted Subsidiaries) after giving effect to the applicable anti-assignment provisions of the Uniform Commercial Code of any applicable jurisdiction;</w:t>
      </w:r>
    </w:p>
    <w:p>
      <w:pPr>
        <w:spacing w:after="0" w:line="78" w:lineRule="exact"/>
        <w:rPr>
          <w:rFonts w:ascii="Arial" w:cs="Arial" w:eastAsia="Arial" w:hAnsi="Arial"/>
          <w:sz w:val="18"/>
          <w:szCs w:val="18"/>
          <w:color w:val="auto"/>
        </w:rPr>
      </w:pPr>
    </w:p>
    <w:p>
      <w:pPr>
        <w:ind w:left="440" w:right="140" w:firstLine="419"/>
        <w:spacing w:after="0" w:line="342" w:lineRule="auto"/>
        <w:tabs>
          <w:tab w:leader="none" w:pos="1118"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those assets as to which the Term Loan Collateral Agent and the Issuer reasonably determine in writing that the cost of obtaining such a security interest or perfection thereof are excessive in relation to the benefit to the lenders and/or Holders of the security to be afforded thereby;</w:t>
      </w:r>
    </w:p>
    <w:p>
      <w:pPr>
        <w:spacing w:after="0" w:line="15" w:lineRule="exact"/>
        <w:rPr>
          <w:rFonts w:ascii="Arial" w:cs="Arial" w:eastAsia="Arial" w:hAnsi="Arial"/>
          <w:sz w:val="16"/>
          <w:szCs w:val="16"/>
          <w:color w:val="auto"/>
        </w:rPr>
      </w:pPr>
    </w:p>
    <w:p>
      <w:pPr>
        <w:ind w:left="440" w:right="380" w:firstLine="419"/>
        <w:spacing w:after="0" w:line="277" w:lineRule="auto"/>
        <w:tabs>
          <w:tab w:leader="none" w:pos="111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intent-to-use trademark application filed in the United States Patent and Trademark Office prior to the filing and acceptance of a “Statement of Use” or “Amendment to Allege Use” with respect thereto;</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any contract, lease, license or other agreement or any property subject to a purchase money security interest, Capitalized Lease</w:t>
      </w:r>
    </w:p>
    <w:p>
      <w:pPr>
        <w:spacing w:after="0" w:line="34" w:lineRule="exact"/>
        <w:rPr>
          <w:rFonts w:ascii="Arial" w:cs="Arial" w:eastAsia="Arial" w:hAnsi="Arial"/>
          <w:sz w:val="17"/>
          <w:szCs w:val="17"/>
          <w:color w:val="auto"/>
        </w:rPr>
      </w:pPr>
    </w:p>
    <w:p>
      <w:pPr>
        <w:ind w:left="440" w:right="100"/>
        <w:spacing w:after="0" w:line="255" w:lineRule="auto"/>
        <w:rPr>
          <w:rFonts w:ascii="Arial" w:cs="Arial" w:eastAsia="Arial" w:hAnsi="Arial"/>
          <w:sz w:val="17"/>
          <w:szCs w:val="17"/>
          <w:color w:val="auto"/>
        </w:rPr>
      </w:pPr>
      <w:r>
        <w:rPr>
          <w:rFonts w:ascii="Arial" w:cs="Arial" w:eastAsia="Arial" w:hAnsi="Arial"/>
          <w:sz w:val="18"/>
          <w:szCs w:val="18"/>
          <w:color w:val="auto"/>
        </w:rPr>
        <w:t>Obligation or similar arrangement permitted under the Senior Credit Facilities and/or the Indenture, as the case may be, in each case, to the extent that a grant of a security interest therein would violate or invalidate such contract lease, license or agreement or purchase money, Capitalized Lease Obligation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04" w:name="page405"/>
    <w:bookmarkEnd w:id="404"/>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similar arrangement or create a right of termination in favor of any other party thereto (other than a Grantor)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 and</w:t>
      </w:r>
    </w:p>
    <w:p>
      <w:pPr>
        <w:spacing w:after="0" w:line="79" w:lineRule="exact"/>
        <w:rPr>
          <w:sz w:val="20"/>
          <w:szCs w:val="20"/>
          <w:color w:val="auto"/>
        </w:rPr>
      </w:pPr>
    </w:p>
    <w:p>
      <w:pPr>
        <w:ind w:left="440" w:right="40" w:firstLine="419"/>
        <w:spacing w:after="0" w:line="259" w:lineRule="auto"/>
        <w:tabs>
          <w:tab w:leader="none" w:pos="111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property that is subject to a Lien permitted pursuant to clause (17) of the definition of “Permitted Liens” in the Indenture if the contract or other agreement in which such Lien is granted (or the documentation providing for Indebtedness subject to such Lien) prohibits the creation of any other Lien on such property or creates a right of termination in favor of any other party thereto (other than a Grantor) as a result of the creation of any such Lien;</w:t>
      </w:r>
    </w:p>
    <w:p>
      <w:pPr>
        <w:spacing w:after="0" w:line="18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proceeds and products from any and all of the foregoing that would constitute Excluded Assets shall also not be considered Collateral and proceeds and products from any and all of the foregoing that do not constitute Excluded Assets shall be considered Collateral.</w:t>
      </w:r>
    </w:p>
    <w:p>
      <w:pPr>
        <w:spacing w:after="0" w:line="124"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shall mean all “general intangibles” as such term is defined in Article 9 of the UCC and, in any event, including with respect to any Grantor, all contracts, agreements, instruments and indentures in any form, and portions thereof, to which such Grantor is a party or under which such Grantor has any right, title or interest or to which such Grantor or any property of such Grantor is subject, as the same may from time to time be amended, supplemented or otherwise modified, including (a) all rights of such Grantor to receive moneys due and to become due to it thereunder or in connection therewith, (b) all rights of such Grantor to receive proceeds of any insurance, indemnity, warranty or guarantee with respect thereto, (c) all claims of such Grantor for damages arising out of any breach of or default thereunder and (d) all rights of such Grantor to terminate, amend, supplement, modify or exercise rights or options thereunder.</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shall mean the Issuer and the Guarantors, and “</w:t>
      </w:r>
      <w:r>
        <w:rPr>
          <w:rFonts w:ascii="Arial" w:cs="Arial" w:eastAsia="Arial" w:hAnsi="Arial"/>
          <w:sz w:val="18"/>
          <w:szCs w:val="18"/>
          <w:u w:val="single" w:color="auto"/>
          <w:color w:val="auto"/>
        </w:rPr>
        <w:t>Grantor</w:t>
      </w:r>
      <w:r>
        <w:rPr>
          <w:rFonts w:ascii="Arial" w:cs="Arial" w:eastAsia="Arial" w:hAnsi="Arial"/>
          <w:sz w:val="18"/>
          <w:szCs w:val="18"/>
          <w:color w:val="auto"/>
        </w:rPr>
        <w:t>” shall mean each of them.</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mean all U.S. intellectual property, including all (i) (a) Patents, inventions, processes, developments, technology and know-how; (b) Copyrights, graphics, advertising materials, labels, package designs and photographs; (c) Trademarks; (d) trade secrets, designs, intellectual property rights in Software, data, databases and confidential, proprietary or non-public information; and (e) all other intellectual property rights, and (ii) all rights, priorities and privileges related thereto and all rights to sue at law or in equity for any infringement or other impairment thereof, including the right to receive all Proceeds therefrom.</w:t>
      </w:r>
    </w:p>
    <w:p>
      <w:pPr>
        <w:spacing w:after="0" w:line="188"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the ABL Intercreditor Agreement, the First Lien Intercreditor Agreement and/or, if executed, any Junior Lien Intercreditor Agreement, as the context may require (each, an “</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Intercreditor Agreements</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05" w:name="page406"/>
    <w:bookmarkEnd w:id="405"/>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shall mean all Securities (whether certificated or uncertificated), Security Entitlements and Commodity Contracts of any Grantor (other than Excluded Stock and Stock Equivalents).</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Documents</w:t>
      </w:r>
      <w:r>
        <w:rPr>
          <w:rFonts w:ascii="Arial" w:cs="Arial" w:eastAsia="Arial" w:hAnsi="Arial"/>
          <w:sz w:val="18"/>
          <w:szCs w:val="18"/>
          <w:color w:val="auto"/>
        </w:rPr>
        <w:t>” shall mean the collective reference to the Indenture, the Notes, the Guarantee and the Security Documents (as defined in the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shall mean the Notes Obligations (as defined in the Indenture).</w:t>
      </w:r>
    </w:p>
    <w:p>
      <w:pPr>
        <w:spacing w:after="0" w:line="225"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xml:space="preserve">” shall mean, with respect to any Person, all of the following now owned or hereafter acquired by such Person and arising under the laws of the United States: (a) all patents and pending applications in the United States Patent and Trademark Office, and (b) all reissues, reexaminations, continuations, divisionals, continuations-in-part, or extensions thereof, and the inventions, discoveries or designs disclosed or claimed therein, including those U.S. patents and applications therefor owned by any Grantor and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w:t>
      </w:r>
    </w:p>
    <w:p>
      <w:pPr>
        <w:spacing w:after="0" w:line="17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Proceeds</w:t>
      </w:r>
      <w:r>
        <w:rPr>
          <w:rFonts w:ascii="Arial" w:cs="Arial" w:eastAsia="Arial" w:hAnsi="Arial"/>
          <w:sz w:val="17"/>
          <w:szCs w:val="17"/>
          <w:color w:val="auto"/>
        </w:rPr>
        <w:t>” shall mean all “proceeds” as such term is defined in Article 9 of the UCC and, in any event, shall include with respect to any Grantor, any consideration received from the sale, exchange, license, lease or other disposition of any asset or property that constitutes Collateral, any value received as a consequence of the possession of any Collateral and any payment received from any insurer or other Person or entity as a result of the destruction, loss, theft, damage or other involuntary conversion of whatever nature of any asset or property that constitutes Collateral, and shall include (a) all cash and negotiable instruments received by or held on behalf of the Collateral Agent, (b) any claim of any Grantor against any third party for (and the right to sue and recover for and the rights to damages or profits due or accrued arising out of or in connection with) (i) past, present or future infringement of any Patent now or hereafter owned by any Grantor, (ii) past, present or future infringement or dilution of any Trademark now or hereafter owned by any Grantor or injury to the goodwill associated with or symbolized thereby, (iii) past, present or future infringement of any Copyright now or hereafter owned by any Grantor and (c) any and all other amounts from time to time paid or payable under or in connection with any of the Collateral.</w:t>
      </w:r>
    </w:p>
    <w:p>
      <w:pPr>
        <w:spacing w:after="0" w:line="18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shall mean all Copyrights, Patents and Trademarks issued by, registered with, renewed by or the subject of a pending application before the United States Patent and Trademark Office or the United States Copyright Office.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the “Notes Secured Parties” as defined in the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shall have the meaning provided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Short-form Intellectual Property Security Agreement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6" w:name="page407"/>
    <w:bookmarkEnd w:id="406"/>
    <w:p>
      <w:pPr>
        <w:ind w:right="6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Trademarks</w:t>
      </w:r>
      <w:r>
        <w:rPr>
          <w:rFonts w:ascii="Arial" w:cs="Arial" w:eastAsia="Arial" w:hAnsi="Arial"/>
          <w:sz w:val="16"/>
          <w:szCs w:val="16"/>
          <w:color w:val="auto"/>
        </w:rPr>
        <w:t xml:space="preserve">” shall mean, with respect to any Person, all of the following now owned or hereafter acquired by such Person and arising under the laws of the United States: (i) all trademarks, service marks, trade names, brand names, domain names, corporate names, company names, business names, fictitious business names, trade dress, logos, other source or business identifiers and designs, all registrations and recordings thereof (if any), and all registrations and applications filed in connection therewith in the United States Patent and Trademark Office or any similar offices in any State of the United States, and all extensions or renewals thereof, including those U.S. registered trademarks and applications therefor owned by any Grantor and listed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 and (ii) all goodwill associated therewith or symbolized thereby.</w:t>
      </w:r>
    </w:p>
    <w:p>
      <w:pPr>
        <w:spacing w:after="0" w:line="164"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xml:space="preserve">” shall mean the Uniform Commercial Code or any successor provision thereof as the same may from time to time be in effect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by reason of any provisions of law, any of the attachment, perfection or priority of the Collateral Agent’s and the Secured Parties’ security interest in any Collateral is governed by the Uniform Commercial Code as in effect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Sections 1.01, 1.13 and 1.14 of the Indenture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17" w:lineRule="exact"/>
        <w:rPr>
          <w:sz w:val="20"/>
          <w:szCs w:val="20"/>
          <w:color w:val="auto"/>
        </w:rPr>
      </w:pPr>
    </w:p>
    <w:p>
      <w:pPr>
        <w:ind w:left="1160" w:hanging="173"/>
        <w:spacing w:after="0"/>
        <w:tabs>
          <w:tab w:leader="none" w:pos="116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Each Grantor hereby grants to the Collateral Agent, for the benefit of the Secured Parties, a lien on and security interest in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Interest</w:t>
      </w:r>
      <w:r>
        <w:rPr>
          <w:rFonts w:ascii="Arial" w:cs="Arial" w:eastAsia="Arial" w:hAnsi="Arial"/>
          <w:sz w:val="16"/>
          <w:szCs w:val="16"/>
          <w:color w:val="auto"/>
        </w:rPr>
        <w:t>”), all of its right, title and interest in, to and under all of the following property now owned or at any time hereafter acquired by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Grantor or in which such Grantor now has or at any time in the future may acquire any right, title or interest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 as collateral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security for the prompt and complete payment and performance when due (whether at the stated maturity, by acceleration or otherwise)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103" w:lineRule="exact"/>
        <w:rPr>
          <w:sz w:val="20"/>
          <w:szCs w:val="20"/>
          <w:color w:val="auto"/>
        </w:rPr>
      </w:pPr>
    </w:p>
    <w:p>
      <w:pPr>
        <w:ind w:left="1080" w:hanging="221"/>
        <w:spacing w:after="0"/>
        <w:tabs>
          <w:tab w:leader="none" w:pos="10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all Commercial Tort Claims described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(as such Schedule may be amended from time to time);</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Equipment, Fixtures and Goods;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117" w:lineRule="exact"/>
        <w:rPr>
          <w:rFonts w:ascii="Arial" w:cs="Arial" w:eastAsia="Arial" w:hAnsi="Arial"/>
          <w:sz w:val="18"/>
          <w:szCs w:val="18"/>
          <w:color w:val="auto"/>
        </w:rPr>
      </w:pPr>
    </w:p>
    <w:p>
      <w:pPr>
        <w:ind w:left="1220" w:hanging="361"/>
        <w:spacing w:after="0"/>
        <w:tabs>
          <w:tab w:leader="none" w:pos="12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407" w:name="page408"/>
    <w:bookmarkEnd w:id="407"/>
    <w:p>
      <w:pPr>
        <w:ind w:left="1160" w:hanging="301"/>
        <w:spacing w:after="0"/>
        <w:tabs>
          <w:tab w:leader="none" w:pos="11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Inventory;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all cash and Deposit Accounts;</w:t>
      </w:r>
    </w:p>
    <w:p>
      <w:pPr>
        <w:spacing w:after="0" w:line="117" w:lineRule="exact"/>
        <w:rPr>
          <w:rFonts w:ascii="Arial" w:cs="Arial" w:eastAsia="Arial" w:hAnsi="Arial"/>
          <w:sz w:val="18"/>
          <w:szCs w:val="18"/>
          <w:color w:val="auto"/>
        </w:rPr>
      </w:pPr>
    </w:p>
    <w:p>
      <w:pPr>
        <w:ind w:left="1220" w:hanging="361"/>
        <w:spacing w:after="0"/>
        <w:tabs>
          <w:tab w:leader="none" w:pos="12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all books and records pertaining to the Collateral; and</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extent not otherwise included, all Proceeds and products of any and all of the foregoing;</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(or any defined term used in the definition thereof) for any Obligations shall not include any (x) Excluded Stock and Stock Equivalents with respect to such Obligations or (y) Excluded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Collateral shall include any Proceeds, substitutions or replacements of any assets referred to in the foregoing clauses (x) and (y) (unless such Proceeds, substitutions or replacements would constitute assets referred to in clause (x) or (y)).</w:t>
      </w:r>
    </w:p>
    <w:p>
      <w:pPr>
        <w:spacing w:after="0" w:line="79" w:lineRule="exact"/>
        <w:rPr>
          <w:sz w:val="20"/>
          <w:szCs w:val="20"/>
          <w:color w:val="auto"/>
        </w:rPr>
      </w:pPr>
    </w:p>
    <w:p>
      <w:pPr>
        <w:ind w:firstLine="987"/>
        <w:spacing w:after="0" w:line="290" w:lineRule="auto"/>
        <w:tabs>
          <w:tab w:leader="none" w:pos="124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Each Grantor hereby irrevocably authorizes (but does not obligate) the Collateral Agent and its Affiliates, counsel and other representatives, at any time and from time to time, to file or record financing statements, amendments to financing statements and, with notice to the applicable Grantors, other filing or recording documents or instruments with respect to the Collateral in such form and in such offices appropriate to perfect the Security Interests of the Collateral Agent under this Security Agreement, and such financing statements and amendments may describe the Collateral covered thereby as “all assets”, “all assets now owned or hereafter acquired” or words of similar effect, provided that with respect to fixtures the Collateral Agent shall only file or record financing statements in the jurisdiction of organization of a Grantor, except in connection with a Mortgage. Each Grantor hereby also authorizes, but does not obligate, the Collateral Agent and its Affiliates, counsel and other representatives, at any time and from time to time, to file continuation statements with respect to previously filed financing statements.</w:t>
      </w:r>
    </w:p>
    <w:p>
      <w:pPr>
        <w:spacing w:after="0" w:line="165"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 xml:space="preserve">Subject to the limitations contained herein and in the Indenture, each Grantor hereby agrees to provide to the Collateral Agent, promptly upon request, any information reasonably necessary to effectuate the filings or recordings authorized by this </w:t>
      </w:r>
      <w:r>
        <w:rPr>
          <w:rFonts w:ascii="Arial" w:cs="Arial" w:eastAsia="Arial" w:hAnsi="Arial"/>
          <w:sz w:val="17"/>
          <w:szCs w:val="17"/>
          <w:u w:val="single" w:color="auto"/>
          <w:color w:val="auto"/>
        </w:rPr>
        <w:t>Section 2(b)</w:t>
      </w:r>
      <w:r>
        <w:rPr>
          <w:rFonts w:ascii="Arial" w:cs="Arial" w:eastAsia="Arial" w:hAnsi="Arial"/>
          <w:sz w:val="17"/>
          <w:szCs w:val="17"/>
          <w:color w:val="auto"/>
        </w:rPr>
        <w:t>.</w:t>
      </w:r>
    </w:p>
    <w:p>
      <w:pPr>
        <w:spacing w:after="0" w:line="146"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The Collateral Agent is further authorized (but not obligated) to file with the United States Patent and Trademark Office or United States Copyright Office (or any successor office), with the signature of each applicable Grantor, such documents as may be necessary or advisable for the purpose of perfecting, confirming, continuing, enforcing or protecting the Security Interest granted hereunder by each Grantor and naming any Grantor or the Grantors as debtors and the Collateral Agent, as the case may be, as secured party.</w:t>
      </w:r>
    </w:p>
    <w:p>
      <w:pPr>
        <w:spacing w:after="0" w:line="17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Security Interests are granted as security only and shall not subject the Collateral Agent or any other Secured Party to, or in any way alter or modify, any obligation or liability of any Grantor with respect to or arising out of the Collateral.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408" w:name="page409"/>
    <w:bookmarkEnd w:id="408"/>
    <w:p>
      <w:pPr>
        <w:ind w:left="4" w:right="6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perfection through control, control agreements or other control arrangements (other than delivery of certificated Equity Interests and Instruments to the extent required hereunder and control over Collateral Account) shall be required, including with respect to Deposit Accounts, Securities Accounts and Commodities Accounts;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Deposit Accounts and Securities Accounts are under the control of the collateral agent under the ABL Credit Agreement at any time pursuant to the terms of the ABL Intercreditor Agreement, the collateral agent under the ABL Credit Agreement shall act as agent and gratuitous bailee for the Collateral Agent for the purpose of perfecting the Collateral Agent’s liens in such Deposit Accounts and Security Accounts.</w:t>
      </w:r>
    </w:p>
    <w:p>
      <w:pPr>
        <w:spacing w:after="0" w:line="84" w:lineRule="exact"/>
        <w:rPr>
          <w:sz w:val="20"/>
          <w:szCs w:val="20"/>
          <w:color w:val="auto"/>
        </w:rPr>
      </w:pPr>
    </w:p>
    <w:p>
      <w:pPr>
        <w:ind w:left="1164" w:hanging="173"/>
        <w:spacing w:after="0"/>
        <w:tabs>
          <w:tab w:leader="none" w:pos="1164"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Each Grantor hereby represents and warrants to the Collateral Agent and each Secured Party on the date hereof that:</w:t>
      </w:r>
    </w:p>
    <w:p>
      <w:pPr>
        <w:spacing w:after="0" w:line="117"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Title; No Other Liens</w:t>
      </w:r>
      <w:r>
        <w:rPr>
          <w:rFonts w:ascii="Arial" w:cs="Arial" w:eastAsia="Arial" w:hAnsi="Arial"/>
          <w:sz w:val="16"/>
          <w:szCs w:val="16"/>
          <w:color w:val="auto"/>
        </w:rPr>
        <w:t>. Except for (a) the Security Interest granted to the Collateral Agent for the benefit of the Secured Parties pursuant to this Security Agreement and the Pledge Agreement and (b) the Liens permitted by the Indenture (and which, in the case of Liens permitted in respect of the ABL Credit Agreement and the Term Loan Facility, are subject to the Intercreditor Agreements, as applicable), such Grantor owns, or has valid leaseholds in or the right to use, each item of the Collateral free and clear of any and all Liens. To the knowledge of such Grantor, no security agreement, financing statement or other public notice with respect to all or any part of the Collateral that evidences a Lien securing any material Indebtedness is on file or of record in any public office, except such as (i) have been filed in favor of the Collateral Agent for the benefit of the Secured Parties pursuant to this Security Agreement, (ii) are permitted by the Indenture (and which, in the case of Liens permitted in respect of the ABL Credit Agreement and the Term Loan Facility, are subject to the Intercreditor Agreements, as applicable) or (iii) relate to obligations no longer outstanding or are in respect of commitments to lend which have been terminated and, in each case, with respect to which the Grantors have provided to the Collateral Agent a payoff letter and UCC-3 termination statements and other releases as required by applicable law and satisfactory to the Collateral Agent.</w:t>
      </w:r>
    </w:p>
    <w:p>
      <w:pPr>
        <w:spacing w:after="0" w:line="6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Perfected Liens</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75" w:lineRule="auto"/>
        <w:tabs>
          <w:tab w:leader="none" w:pos="1230" w:val="left"/>
        </w:tabs>
        <w:numPr>
          <w:ilvl w:val="1"/>
          <w:numId w:val="355"/>
        </w:numPr>
        <w:rPr>
          <w:rFonts w:ascii="Arial" w:cs="Arial" w:eastAsia="Arial" w:hAnsi="Arial"/>
          <w:sz w:val="17"/>
          <w:szCs w:val="17"/>
          <w:color w:val="auto"/>
        </w:rPr>
      </w:pPr>
      <w:r>
        <w:rPr>
          <w:rFonts w:ascii="Arial" w:cs="Arial" w:eastAsia="Arial" w:hAnsi="Arial"/>
          <w:sz w:val="17"/>
          <w:szCs w:val="17"/>
          <w:color w:val="auto"/>
        </w:rPr>
        <w:t>After giving effect to the Transactions, this Security Agreement is effective to create in favor of the Collateral Agent, for its benefit and for the benefit of the Secured Parties, legal, valid and enforceable Security Interests in the Collateral (with respect to Collateral consisting of Capital Stock of Foreign Subsidiaries, Stock Equivalents issued by Foreign Subsidiaries and Indebtedness of Foreign Subsidiaries, to the extent the enforceability of such Security Interest is governed by the UCC), subject to the effects of bankruptcy, insolvency or similar laws affecting creditors’ rights generally, general equitable principles, and principles of good faith and fair dealing.</w:t>
      </w:r>
    </w:p>
    <w:p>
      <w:pPr>
        <w:spacing w:after="0" w:line="68" w:lineRule="exact"/>
        <w:rPr>
          <w:rFonts w:ascii="Arial" w:cs="Arial" w:eastAsia="Arial" w:hAnsi="Arial"/>
          <w:sz w:val="17"/>
          <w:szCs w:val="17"/>
          <w:color w:val="auto"/>
        </w:rPr>
      </w:pPr>
    </w:p>
    <w:p>
      <w:pPr>
        <w:ind w:left="1244" w:hanging="253"/>
        <w:spacing w:after="0"/>
        <w:tabs>
          <w:tab w:leader="none" w:pos="1244"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clause (c)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 Security Interests granted pursuant to this Security Agreement</w:t>
      </w:r>
    </w:p>
    <w:p>
      <w:pPr>
        <w:spacing w:after="0" w:line="46" w:lineRule="exact"/>
        <w:rPr>
          <w:rFonts w:ascii="Arial" w:cs="Arial" w:eastAsia="Arial" w:hAnsi="Arial"/>
          <w:sz w:val="16"/>
          <w:szCs w:val="16"/>
          <w:color w:val="auto"/>
        </w:rPr>
      </w:pPr>
    </w:p>
    <w:p>
      <w:pPr>
        <w:ind w:left="4" w:right="680" w:hanging="4"/>
        <w:spacing w:after="0" w:line="260" w:lineRule="auto"/>
        <w:tabs>
          <w:tab w:leader="none" w:pos="21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will constitute valid and perfected Security Interests in the Collateral (to the extent perfection may be obtained by the filings or other actions described in clause (A), (B) or (C) of this paragraph) in favor of the Collateral</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409" w:name="page410"/>
    <w:bookmarkEnd w:id="40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Agent, for the benefit of the Secured Parties, as collateral security for the Obligations, upon (A) with respect to Collateral in which perfection can be obtained by filing a financing statement, the filing in the applicable filing offices of all financing statements, in each case, naming each Grantor as “debtor” and the Collateral Agent as “secured party” and describing the Collateral, (B) with respect to Instruments, Chattel Paper, Certificated Securities and negotiable Documents, delivery to the Collateral Agent (or its bailee) of all Instruments, Chattel Paper, Certificated Securities and negotiable Documents in each case, properly endorsed for transfer in blank and (C) with respect to Intellectual Property that is not Excluded Assets, completion or recordation of the filing of a fully executed agreement substantially in the form of Annex B hereof (the “</w:t>
      </w:r>
      <w:r>
        <w:rPr>
          <w:rFonts w:ascii="Arial" w:cs="Arial" w:eastAsia="Arial" w:hAnsi="Arial"/>
          <w:sz w:val="17"/>
          <w:szCs w:val="17"/>
          <w:u w:val="single" w:color="auto"/>
          <w:color w:val="auto"/>
        </w:rPr>
        <w:t>Short-form Intellectual Property Security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containing a description of all Collateral constituting Registered Intellectual Property in the United States Patent and Trademark Office, with respect to U.S. registered and applied for Patents and Trademarks, within 90 days from the execution date of such Short-form Intellectual Property Security Agreement, or in the United States Copyright Office, with respect to U.S. registered Copyrights, within thirty (30) days from the execution date of such Short-form Intellectual Property Security Agreement, as applicable and (ii) are prior to all other Liens on the Collateral other than Liens permitted pursuant to Section 10.12 of the Indenture (and which, in the case of Liens permitted in respect of the ABL Credit Agreement and the Term Loan Facility, are subject to the Intercreditor Agreements, as applicable).</w:t>
      </w:r>
    </w:p>
    <w:p>
      <w:pPr>
        <w:spacing w:after="0" w:line="71" w:lineRule="exact"/>
        <w:rPr>
          <w:sz w:val="20"/>
          <w:szCs w:val="20"/>
          <w:color w:val="auto"/>
        </w:rPr>
      </w:pPr>
    </w:p>
    <w:p>
      <w:pPr>
        <w:ind w:right="20" w:firstLine="987"/>
        <w:spacing w:after="0" w:line="288" w:lineRule="auto"/>
        <w:tabs>
          <w:tab w:leader="none" w:pos="1236"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no Grantor shall be required to perfect the Security Interests granted by this Security Agreement or the Pledge Agreement by any means other than by (i) filings pursuant to the Uniform Commercial Code of the relevant State(s), (ii) filings approved or required by United States federal government offices with respect to Registered Intellectual Property under applicable United States law, (iii) delivery to the Collateral Agent (or its bailee) to be held in its possession of all Collateral consisting of (y) Pledged Shares and Pledged Debt (each as defined in the Pledge Agreement) and (z) Tangible Chattel Paper, Instruments or Certificated Securities (other than Pledged Shares and Pledged Debt) with a fair market value in excess of the greater of (a) $45,000,000 and (b) 10% of Consolidated EBITDA of the Issuer for the Applicable Measurement Period; and (iv) actions to perfect a security interest in Commercial Tort Claims to the extent set forth in </w:t>
      </w:r>
      <w:r>
        <w:rPr>
          <w:rFonts w:ascii="Arial" w:cs="Arial" w:eastAsia="Arial" w:hAnsi="Arial"/>
          <w:sz w:val="16"/>
          <w:szCs w:val="16"/>
          <w:u w:val="single" w:color="auto"/>
          <w:color w:val="auto"/>
        </w:rPr>
        <w:t>Section 4.1(f)</w:t>
      </w:r>
      <w:r>
        <w:rPr>
          <w:rFonts w:ascii="Arial" w:cs="Arial" w:eastAsia="Arial" w:hAnsi="Arial"/>
          <w:sz w:val="16"/>
          <w:szCs w:val="16"/>
          <w:color w:val="auto"/>
        </w:rPr>
        <w:t>. No additional actions shall be required hereunder with respect to any assets that are located outside of the United States or assets that require action under the law of any non-U.S. jurisdiction to create or perfect a security interest in such assets; it being understood, for the avoidance of doubt, that there shall be no requirement to execute any security agreement or pledge agreement governed by the laws of any non-U.S. jurisdiction.</w:t>
      </w:r>
    </w:p>
    <w:p>
      <w:pPr>
        <w:spacing w:after="0" w:line="60" w:lineRule="exact"/>
        <w:rPr>
          <w:rFonts w:ascii="Arial" w:cs="Arial" w:eastAsia="Arial" w:hAnsi="Arial"/>
          <w:sz w:val="16"/>
          <w:szCs w:val="16"/>
          <w:color w:val="auto"/>
        </w:rPr>
      </w:pPr>
    </w:p>
    <w:p>
      <w:pPr>
        <w:ind w:right="60" w:firstLine="987"/>
        <w:spacing w:after="0" w:line="277" w:lineRule="auto"/>
        <w:tabs>
          <w:tab w:leader="none" w:pos="124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It is understood and agreed that the Security Interests in cash and Investment Property created hereunder shall not prevent the Grantors from using such assets in the ordinary course of their respective businesses.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Schedules</w:t>
      </w:r>
    </w:p>
    <w:p>
      <w:pPr>
        <w:spacing w:after="0" w:line="117" w:lineRule="exact"/>
        <w:rPr>
          <w:sz w:val="20"/>
          <w:szCs w:val="20"/>
          <w:color w:val="auto"/>
        </w:rPr>
      </w:pPr>
    </w:p>
    <w:p>
      <w:pPr>
        <w:ind w:right="180" w:firstLine="987"/>
        <w:spacing w:after="0" w:line="277" w:lineRule="auto"/>
        <w:tabs>
          <w:tab w:leader="none" w:pos="123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As of the Closing Date,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sets forth a true and complete list of all of each Grantor’s United States registered and applied for Copyrights, including the name of the registered owner and the registration number.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10" w:name="page411"/>
    <w:bookmarkEnd w:id="410"/>
    <w:p>
      <w:pPr>
        <w:jc w:val="both"/>
        <w:ind w:left="4" w:right="160" w:firstLine="987"/>
        <w:spacing w:after="0" w:line="259" w:lineRule="auto"/>
        <w:tabs>
          <w:tab w:leader="none" w:pos="1250" w:val="left"/>
        </w:tabs>
        <w:numPr>
          <w:ilvl w:val="1"/>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of the Closing Date,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set forth a true and complete list of all of each Grantor’s Patents and Trademarks, respectively, applied for or registered with the United States Patent and Trademark Office, including the name of the registered owner or applicant and the registration, application, or publication number, as applicable, of each United States Patent or United States registered Trademark owned by each Grantor.</w:t>
      </w:r>
    </w:p>
    <w:p>
      <w:pPr>
        <w:spacing w:after="0" w:line="78" w:lineRule="exact"/>
        <w:rPr>
          <w:rFonts w:ascii="Arial" w:cs="Arial" w:eastAsia="Arial" w:hAnsi="Arial"/>
          <w:sz w:val="18"/>
          <w:szCs w:val="18"/>
          <w:color w:val="auto"/>
        </w:rPr>
      </w:pPr>
    </w:p>
    <w:p>
      <w:pPr>
        <w:ind w:left="4" w:right="40" w:firstLine="987"/>
        <w:spacing w:after="0" w:line="284" w:lineRule="auto"/>
        <w:tabs>
          <w:tab w:leader="none" w:pos="124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 xml:space="preserve">As of the Closing Date, </w:t>
      </w:r>
      <w:r>
        <w:rPr>
          <w:rFonts w:ascii="Arial" w:cs="Arial" w:eastAsia="Arial" w:hAnsi="Arial"/>
          <w:sz w:val="16"/>
          <w:szCs w:val="16"/>
          <w:u w:val="single" w:color="auto"/>
          <w:color w:val="auto"/>
        </w:rPr>
        <w:t>Schedule 5(a)</w:t>
      </w:r>
      <w:r>
        <w:rPr>
          <w:rFonts w:ascii="Arial" w:cs="Arial" w:eastAsia="Arial" w:hAnsi="Arial"/>
          <w:sz w:val="16"/>
          <w:szCs w:val="16"/>
          <w:color w:val="auto"/>
        </w:rPr>
        <w:t xml:space="preserve"> sets forth, with respect to each Grantor, (i) its exact legal name, as such name appears in its respective certificate of incorporation or formation or any other organizational document filed in its jurisdiction of incorporation, formation or organization, (ii) its type of organization, (iii) its organizational identification number, if any, (iv) its jurisdiction of formation and (v) the address of its chief executive office. As of the Closing Date, set forth in </w:t>
      </w:r>
      <w:r>
        <w:rPr>
          <w:rFonts w:ascii="Arial" w:cs="Arial" w:eastAsia="Arial" w:hAnsi="Arial"/>
          <w:sz w:val="16"/>
          <w:szCs w:val="16"/>
          <w:u w:val="single" w:color="auto"/>
          <w:color w:val="auto"/>
        </w:rPr>
        <w:t>Schedule 5(b)</w:t>
      </w:r>
      <w:r>
        <w:rPr>
          <w:rFonts w:ascii="Arial" w:cs="Arial" w:eastAsia="Arial" w:hAnsi="Arial"/>
          <w:sz w:val="16"/>
          <w:szCs w:val="16"/>
          <w:color w:val="auto"/>
        </w:rPr>
        <w:t xml:space="preserve"> hereto is a list of (w) any other corporate or organizational legal names each Grantor has had, together with the date of the relevant change, (x) all other names used by each Grantor, (y) any other business or organization to which each Grantor became the successor by merger, consolidation or acquisition, (other than any merger or consolidation with, or acquisition from, any other Grantor), and in each case to the extent such merger, consolidation or acquisition exceeded the greater of (a) $45,000,000 and (b) 10% of Consolidated EBITDA of the Issuer for the Applicable Measurement Period, and any changes in the form, nature or jurisdiction of organization or otherwise, and</w:t>
      </w:r>
    </w:p>
    <w:p>
      <w:pPr>
        <w:ind w:left="4" w:hanging="4"/>
        <w:spacing w:after="0" w:line="255" w:lineRule="auto"/>
        <w:tabs>
          <w:tab w:leader="none" w:pos="24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all other names used by each Grantor on any filings with the Internal Revenue Service, in the case of each of </w:t>
      </w:r>
      <w:r>
        <w:rPr>
          <w:rFonts w:ascii="Arial" w:cs="Arial" w:eastAsia="Arial" w:hAnsi="Arial"/>
          <w:sz w:val="18"/>
          <w:szCs w:val="18"/>
          <w:u w:val="single" w:color="auto"/>
          <w:color w:val="auto"/>
        </w:rPr>
        <w:t>clauses (w)</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(z)</w:t>
      </w:r>
      <w:r>
        <w:rPr>
          <w:rFonts w:ascii="Arial" w:cs="Arial" w:eastAsia="Arial" w:hAnsi="Arial"/>
          <w:sz w:val="18"/>
          <w:szCs w:val="18"/>
          <w:color w:val="auto"/>
        </w:rPr>
        <w:t>, at any time in the past five years. As of the Closing Date, except as set forth in Schedule 5(c), no Grantor has changed is jurisdiction of organization at any time during the past four months.</w:t>
      </w:r>
    </w:p>
    <w:p>
      <w:pPr>
        <w:spacing w:after="0" w:line="82" w:lineRule="exact"/>
        <w:rPr>
          <w:sz w:val="20"/>
          <w:szCs w:val="20"/>
          <w:color w:val="auto"/>
        </w:rPr>
      </w:pPr>
    </w:p>
    <w:p>
      <w:pPr>
        <w:ind w:left="1164" w:hanging="173"/>
        <w:spacing w:after="0"/>
        <w:tabs>
          <w:tab w:leader="none" w:pos="1164"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117"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Each Grantor hereby covenants and agrees with the Collateral Agent and the Secured Parties that, from and after the date of this Security Agreement until the Termination Date:</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Maintenance of Perfected Security Interest; Further Documentation</w:t>
      </w:r>
      <w:r>
        <w:rPr>
          <w:rFonts w:ascii="Arial" w:cs="Arial" w:eastAsia="Arial" w:hAnsi="Arial"/>
          <w:sz w:val="18"/>
          <w:szCs w:val="18"/>
          <w:color w:val="auto"/>
        </w:rPr>
        <w:t>.</w:t>
      </w:r>
    </w:p>
    <w:p>
      <w:pPr>
        <w:spacing w:after="0" w:line="117" w:lineRule="exact"/>
        <w:rPr>
          <w:sz w:val="20"/>
          <w:szCs w:val="20"/>
          <w:color w:val="auto"/>
        </w:rPr>
      </w:pPr>
    </w:p>
    <w:p>
      <w:pPr>
        <w:ind w:left="4" w:right="160" w:firstLine="987"/>
        <w:spacing w:after="0" w:line="255" w:lineRule="auto"/>
        <w:tabs>
          <w:tab w:leader="none" w:pos="12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Except as otherwise permitted in the Notes Documents, such Grantor shall maintain the Security Interest created by this Security Agreement as a perfected Security Interest having at least the priority described in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and shall use commercially reasonable efforts to defend such Security Interest against the material claims and demands of all Persons (except to the extent that the Agent and the Issuer agree that the cost of such defense is excessive in relation to the benefit to the Secured Parties of the security interest and priority), in each case other than a Security Interest in assets of such Grantor subject to a disposition permitted by the Indenture to a Person that is not a Grantor, and in each case subject to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right="60" w:firstLine="987"/>
        <w:spacing w:after="0" w:line="263" w:lineRule="auto"/>
        <w:tabs>
          <w:tab w:leader="none" w:pos="125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Such Grantor will furnish to the Collateral Agent and the Holders from time to time statements and schedules further identifying and describing the Collateral of such Grantor and such other reports in connection therewith to the extent provided to the Term Loan Collateral Agent under the security agreement relating to the Term Loan Facility (acting at the direction of the Holders).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411" w:name="page412"/>
    <w:bookmarkEnd w:id="41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Such Grantor will (A) furnish to the Collateral Agent at the time of the delivery of the financial statements provided for in</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Section 10.09(a) of the Indenture: a schedule setting forth any new or additional Registered Intellectual Property owned by any Grantor, which has not been previously disclosed to the Collateral Agent, following the Closing Date (or following the date of the last supplement provided to the Collateral Agent pursuant to this </w:t>
      </w:r>
      <w:r>
        <w:rPr>
          <w:rFonts w:ascii="Arial" w:cs="Arial" w:eastAsia="Arial" w:hAnsi="Arial"/>
          <w:sz w:val="18"/>
          <w:szCs w:val="18"/>
          <w:u w:val="single" w:color="auto"/>
          <w:color w:val="auto"/>
        </w:rPr>
        <w:t>Section 4.1(c)</w:t>
      </w:r>
      <w:r>
        <w:rPr>
          <w:rFonts w:ascii="Arial" w:cs="Arial" w:eastAsia="Arial" w:hAnsi="Arial"/>
          <w:sz w:val="18"/>
          <w:szCs w:val="18"/>
          <w:color w:val="auto"/>
        </w:rPr>
        <w:t>), all in reasonable detail, and (B) within thirty (30) days following the delivery of such financial statements, execute and file appropriate supplement agreements in substantially the same form as the Short-form Intellectual Property Security Agreement with the United States Patent and Trademark Office or the United States Copyright Office, as applicable, evidencing the Collateral Agent’s security interest in such new or additional Registered Intellectual Property.</w:t>
      </w:r>
    </w:p>
    <w:p>
      <w:pPr>
        <w:spacing w:after="0" w:line="86" w:lineRule="exact"/>
        <w:rPr>
          <w:sz w:val="20"/>
          <w:szCs w:val="20"/>
          <w:color w:val="auto"/>
        </w:rPr>
      </w:pPr>
    </w:p>
    <w:p>
      <w:pPr>
        <w:ind w:right="420" w:firstLine="987"/>
        <w:spacing w:after="0" w:line="287" w:lineRule="auto"/>
        <w:tabs>
          <w:tab w:leader="none" w:pos="124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4.1(a)</w:t>
      </w:r>
      <w:r>
        <w:rPr>
          <w:rFonts w:ascii="Arial" w:cs="Arial" w:eastAsia="Arial" w:hAnsi="Arial"/>
          <w:sz w:val="16"/>
          <w:szCs w:val="16"/>
          <w:color w:val="auto"/>
        </w:rPr>
        <w:t>, each Grantor agrees that at any time and from time to time, at the expense of such Grantor, it will execute any and all further documents, financing statements, agreements and instruments, and take all such further actions (including the filing and recording of financing statements and other documents, including all applicable documents required under</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3.2(b)(C)</w:t>
      </w:r>
      <w:r>
        <w:rPr>
          <w:rFonts w:ascii="Arial" w:cs="Arial" w:eastAsia="Arial" w:hAnsi="Arial"/>
          <w:sz w:val="18"/>
          <w:szCs w:val="18"/>
          <w:color w:val="auto"/>
        </w:rPr>
        <w:t xml:space="preserve">), which may be required under any applicable law, or which, subject to the terms of the Intercreditor Agreements the Collateral Agent may reasonably request (acting at the direction of the Holders), in order (i) to grant, preserve, protect and perfect the validity and priority of the Security Interests created or intended to be created hereby or (ii) to enable the Collateral Agent to exercise and enforce its rights and remedies hereunder with respect to any Collateral, including the filing of any financing or continuation statements under the Uniform Commercial Code in effect in any jurisdiction with respect to the Security Interests created hereby and all applicable documents required under </w:t>
      </w:r>
      <w:r>
        <w:rPr>
          <w:rFonts w:ascii="Arial" w:cs="Arial" w:eastAsia="Arial" w:hAnsi="Arial"/>
          <w:sz w:val="18"/>
          <w:szCs w:val="18"/>
          <w:u w:val="single" w:color="auto"/>
          <w:color w:val="auto"/>
        </w:rPr>
        <w:t>Section 3.2(b)(C)</w:t>
      </w:r>
      <w:r>
        <w:rPr>
          <w:rFonts w:ascii="Arial" w:cs="Arial" w:eastAsia="Arial" w:hAnsi="Arial"/>
          <w:sz w:val="18"/>
          <w:szCs w:val="18"/>
          <w:color w:val="auto"/>
        </w:rPr>
        <w:t>, all at the expense of such Grantor.</w:t>
      </w:r>
    </w:p>
    <w:p>
      <w:pPr>
        <w:spacing w:after="0" w:line="85" w:lineRule="exact"/>
        <w:rPr>
          <w:rFonts w:ascii="Arial" w:cs="Arial" w:eastAsia="Arial" w:hAnsi="Arial"/>
          <w:sz w:val="16"/>
          <w:szCs w:val="16"/>
          <w:color w:val="auto"/>
        </w:rPr>
      </w:pPr>
    </w:p>
    <w:p>
      <w:pPr>
        <w:ind w:right="220" w:firstLine="987"/>
        <w:spacing w:after="0" w:line="259" w:lineRule="auto"/>
        <w:tabs>
          <w:tab w:leader="none" w:pos="123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to the contrary, (i) with respect to any assets acquired by such Grantor after the date hereof that are required by the Indenture to be subject to the Lien created hereby or (ii) with respect to any Person that, subsequent to the date hereof, becomes a Subsidiary that is required by the Indenture to become a party hereto, the relevant Grantor after the acquisition or creation thereof shall promptly take all actions required by the Indenture and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right="100" w:firstLine="987"/>
        <w:spacing w:after="0" w:line="287" w:lineRule="auto"/>
        <w:tabs>
          <w:tab w:leader="none" w:pos="121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As of the date hereof, each Grantor hereby represents and warrants that it holds no Commercial Tort Claims with a claim value of the greater of (a) $45,000,000 and (b) 10% of Consolidated EBITDA of the Issuer for the Applicable Measurement Period, or more, other than those listed in </w:t>
      </w:r>
      <w:r>
        <w:rPr>
          <w:rFonts w:ascii="Arial" w:cs="Arial" w:eastAsia="Arial" w:hAnsi="Arial"/>
          <w:sz w:val="16"/>
          <w:szCs w:val="16"/>
          <w:u w:val="single" w:color="auto"/>
          <w:color w:val="auto"/>
        </w:rPr>
        <w:t>Schedule 4</w:t>
      </w:r>
      <w:r>
        <w:rPr>
          <w:rFonts w:ascii="Arial" w:cs="Arial" w:eastAsia="Arial" w:hAnsi="Arial"/>
          <w:sz w:val="16"/>
          <w:szCs w:val="16"/>
          <w:color w:val="auto"/>
        </w:rPr>
        <w:t>. If any Grantor shall at any time hold or acquire a Commercial Tort Claim with a claim value of the greater of (a) $45,000,000 and (b)</w:t>
      </w:r>
    </w:p>
    <w:p>
      <w:pPr>
        <w:spacing w:after="0" w:line="2"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10% of Consolidated EBITDA of the Issuer for the Applicable Measurement Period, or more, such Grantor shall promptly (and in any event within thirty (30) days upon obtaining knowledge thereof, or such longer period as the Collateral Agent (acting at the direction of the Holders) may reasonably agree) notify the Collateral Agent in a writing signed by such Grantor of the brief details thereof which writing shall serve to supplement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w:t>
      </w:r>
    </w:p>
    <w:p>
      <w:pPr>
        <w:spacing w:after="0" w:line="84" w:lineRule="exact"/>
        <w:rPr>
          <w:rFonts w:ascii="Arial" w:cs="Arial" w:eastAsia="Arial" w:hAnsi="Arial"/>
          <w:sz w:val="16"/>
          <w:szCs w:val="16"/>
          <w:color w:val="auto"/>
        </w:rPr>
      </w:pPr>
    </w:p>
    <w:p>
      <w:pPr>
        <w:jc w:val="both"/>
        <w:ind w:right="60" w:firstLine="987"/>
        <w:spacing w:after="0" w:line="301" w:lineRule="auto"/>
        <w:tabs>
          <w:tab w:leader="none" w:pos="124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With respect to each material item of its Intellectual Property included in the Collateral, each Grantor agrees to take, at its expense, all commercially reasonable steps, including, without limitation, in the United States Patent and Trademark Office and the United States Copyright Office, to (i) maintain the validity and enforceability of such material Intellectual Property and maintain such material Intellectual Property in full force and effect, and (ii) pursue the registration and maintenance of each material patent, trademark or service mark registration or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412" w:name="page413"/>
    <w:bookmarkEnd w:id="412"/>
    <w:p>
      <w:pPr>
        <w:jc w:val="both"/>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application, or copyright registration or application, now or hereafter included in such material Intellectual Property of such Grantor, including, without limitation, the payment of required fees and taxes, the filing of responses to office actions issued by the United States Patent and Trademark Office and the United States Copyright Office, the filing of affidavits under Sections 8 and 15 of the U.S. Trademark Act, and the payment of maintenance fees.</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Each Grantor shall take all commercially reasonable steps which it, or the Collateral Agent (during the continuation of an Event of Default acting at the direction of the Holders), deems reasonable and appropriate under the circumstances to preserve and protect each material item of its Intellectual Property included in the Collateral, including, without limitation, maintaining the quality of any and all products or services used or provided in connection with any of the material Trademarks, at least consistent with the quality of the products and services as of the date hereof, and taking all commercially reasonable steps to ensure that all licensed users of any of the material Trademarks use such consistent standards of quality. Notwithstanding the foregoing or any other provision of this Security Agreement, nothing in this Security Agreement prevents or shall be deemed to prevent any Grantor from disposing of, discontinuing the use or maintenance of, failing to pursue, or otherwise allowing to lapse, terminate or be put into the public domain, any of its Intellectual Property to the extent permitted by the Indenture if such Grantor determines in its reasonable business judgment that such discontinuance is desirable in the conduct of its business.</w:t>
      </w:r>
    </w:p>
    <w:p>
      <w:pPr>
        <w:spacing w:after="0" w:line="73"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Changes in Locations, Name, etc</w:t>
      </w:r>
      <w:r>
        <w:rPr>
          <w:rFonts w:ascii="Arial" w:cs="Arial" w:eastAsia="Arial" w:hAnsi="Arial"/>
          <w:sz w:val="17"/>
          <w:szCs w:val="17"/>
          <w:color w:val="auto"/>
        </w:rPr>
        <w:t xml:space="preserve">. Each Grantor will furnish to the Collateral Agent promptly (and in any event within thirty (30) days (or such longer period as the Collateral Agent may reasonably agree) of such change) a written notice of any change (i) in its legal name, (ii) in its jurisdiction of organization or, if not a registered organization, location for purposes of the UCC, (iii) in its type of organization or corporate structure which would impair the perfection and priority of the Security Interest granted hereby; or (iv) in its organizational identification number (if any). Each Grantor agrees promptly to provide the Collateral Agent with certified organizational documents reflecting any of the changes described in the first sentence of this paragraph and, subject to </w:t>
      </w:r>
      <w:r>
        <w:rPr>
          <w:rFonts w:ascii="Arial" w:cs="Arial" w:eastAsia="Arial" w:hAnsi="Arial"/>
          <w:sz w:val="17"/>
          <w:szCs w:val="17"/>
          <w:u w:val="single" w:color="auto"/>
          <w:color w:val="auto"/>
        </w:rPr>
        <w:t>Section 3.2(c)</w:t>
      </w:r>
      <w:r>
        <w:rPr>
          <w:rFonts w:ascii="Arial" w:cs="Arial" w:eastAsia="Arial" w:hAnsi="Arial"/>
          <w:sz w:val="17"/>
          <w:szCs w:val="17"/>
          <w:color w:val="auto"/>
        </w:rPr>
        <w:t>, take all other action reasonably necessary to maintain the perfection and priority of the security interest of the Collateral Agent for the benefit of the Secured Parties in the Collateral.</w:t>
      </w:r>
    </w:p>
    <w:p>
      <w:pPr>
        <w:spacing w:after="0" w:line="69" w:lineRule="exact"/>
        <w:rPr>
          <w:sz w:val="20"/>
          <w:szCs w:val="20"/>
          <w:color w:val="auto"/>
        </w:rPr>
      </w:pPr>
    </w:p>
    <w:p>
      <w:pPr>
        <w:ind w:left="1160" w:hanging="173"/>
        <w:spacing w:after="0"/>
        <w:tabs>
          <w:tab w:leader="none" w:pos="116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REMEDIAL PROVISIONS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Certain Matters Relating to Accounts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5" w:lineRule="auto"/>
        <w:tabs>
          <w:tab w:leader="none" w:pos="123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At any time after the occurrence and during the continuance of an Event of Default and after giving reasonable notice to the Issuer and any other relevant Grantor, the Collateral Agent shall have the right, but not the obligation, to make test verifications of the Accounts in any manner and through any medium that the Collateral Agent reasonably considers advisable, and each Grantor shall furnish all such assistance and information as the Collateral Agent (acting at the direction of the Holders) may require in connection with such test verifications. The Collateral Agent shall have the absolute right to share any information it gains from such inspection or verification with any Secured Party.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413" w:name="page414"/>
    <w:bookmarkEnd w:id="413"/>
    <w:p>
      <w:pPr>
        <w:ind w:firstLine="987"/>
        <w:spacing w:after="0" w:line="289" w:lineRule="auto"/>
        <w:tabs>
          <w:tab w:leader="none" w:pos="1246" w:val="left"/>
        </w:tabs>
        <w:numPr>
          <w:ilvl w:val="0"/>
          <w:numId w:val="3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Collateral Agent hereby authorizes each Grantor to collect such Grantor’s Accounts and the Collateral Agent may curtail or terminate said authority at any time after the occurrence and during the continuance of an Event of Default and after giving reasonable prior notice to the Issuer and any other relevant Grantor. If required in writing by the Collateral Agent at any time after the occurrence and during the continuance of an Event of Default, any payments of Accounts, when collected by any Grantor, (i) shall be forthwith (and, in any event, within two (2) Business Days) deposited by such Grantor in the exact form received, duly endorsed by such Grantor to the Collateral Agent if required, in a Collateral Account maintained under the sole dominion and control of and on terms and conditions reasonably satisfactory to the Collateral Agent, subject to withdrawal by the Collateral Agent for the account of the Secured Parties only as provided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 until so turned over, shall be held by such Grantor in trust for the Collateral Agent and the Secured Parties, segregated from other funds of such Grantor. Each such deposit of Proceeds of Accounts shall be accompanied by a report identifying in reasonable detail the nature and source of the payments included in the deposit.</w:t>
      </w:r>
    </w:p>
    <w:p>
      <w:pPr>
        <w:spacing w:after="0" w:line="58" w:lineRule="exact"/>
        <w:rPr>
          <w:rFonts w:ascii="Arial" w:cs="Arial" w:eastAsia="Arial" w:hAnsi="Arial"/>
          <w:sz w:val="16"/>
          <w:szCs w:val="16"/>
          <w:color w:val="auto"/>
        </w:rPr>
      </w:pPr>
    </w:p>
    <w:p>
      <w:pPr>
        <w:ind w:firstLine="987"/>
        <w:spacing w:after="0" w:line="259" w:lineRule="auto"/>
        <w:tabs>
          <w:tab w:leader="none" w:pos="123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At the Collateral Agent’s request at any time after the occurrence and during the continuance of an Event of Default, subject to the terms of the Indenture and the Intercreditor Agreements, each Grantor shall deliver to the Collateral Agent all original (if available) and other documents evidencing, and relating to, the agreements and transactions which gave rise to the Accounts, including all original (if available) orders, invoices and shipping receipts.</w:t>
      </w:r>
    </w:p>
    <w:p>
      <w:pPr>
        <w:spacing w:after="0" w:line="78" w:lineRule="exact"/>
        <w:rPr>
          <w:rFonts w:ascii="Arial" w:cs="Arial" w:eastAsia="Arial" w:hAnsi="Arial"/>
          <w:sz w:val="18"/>
          <w:szCs w:val="18"/>
          <w:color w:val="auto"/>
        </w:rPr>
      </w:pPr>
    </w:p>
    <w:p>
      <w:pPr>
        <w:ind w:right="20" w:firstLine="987"/>
        <w:spacing w:after="0" w:line="287" w:lineRule="auto"/>
        <w:tabs>
          <w:tab w:leader="none" w:pos="1246"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Each Grantor hereby grants to the Collateral Agent, to be exercised solely upon the occurrence and during the continuance of an Event of Default, subject to the terms of the Indenture and the Intercreditor Agreements, solely for the purpose of enabling Agent to exercise rights and remedies under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solely to the extent such grant would not constitute or result in the abandonment, termination, acceleration, invalidation of or rendering unenforceable any right, title or interest therein or result in a breach of the terms of, or constitute a breach or default under such Intellectual Property, a non-exclusive, fully paid-up, royalty-free, worldwide license to use, license or sublicense (on a non-exclusive basis) any of the Intellectual Property included in the Collateral and now owned or hereafter acquired by such Grantor (subject to the rights of any person or entity under any pre-existing license or other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require any Grantor to grant any license that is prohibited by any rule of law, statute or regulation or is prohibited by, or constitutes a breach of default under or results in the termination of or gives rise to any right of acceleration, modification or cancellation under any contract, license, agreement, instrument or other document evidencing, giving rise to a right to use or theretofore granted with respect to such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licenses to be granted hereunder with respect to Trademarks shall be subject to reasonable quality control standards applicable to each such Trademark as in effect as of the date such licenses hereunder are granted. Any license granted pursuant to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shall be exercisable solely during the continuance of an Event of Default.</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Communications with Secured Parties; Grantors Remain Liable</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7" w:lineRule="auto"/>
        <w:tabs>
          <w:tab w:leader="none" w:pos="123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Collateral Agent in its own name or in the name of others may at any time after the occurrence and during the continuance of an Event of Default, subject to the terms of the Indenture and the Intercreditor Agreements, after giving reasonable notice to the relevant Grantor of its intent to do so, communicate with obligors under the Accounts to verify with them to the Collateral Agent’s satisfaction the existence, amount and terms of any Accounts. The Collateral Agent shall have the absolute right to share any information it gains from such inspection or verification with any Secured Party.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14" w:name="page415"/>
    <w:bookmarkEnd w:id="414"/>
    <w:p>
      <w:pPr>
        <w:ind w:firstLine="987"/>
        <w:spacing w:after="0" w:line="311" w:lineRule="auto"/>
        <w:tabs>
          <w:tab w:leader="none" w:pos="1246" w:val="left"/>
        </w:tabs>
        <w:numPr>
          <w:ilvl w:val="0"/>
          <w:numId w:val="3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written request of the Collateral Agent at any time after the occurrence and during the continuance of an Event of Default, subject to the terms of the Indenture and the Intercreditor Agreements, each Grantor shall notify obligors on the Accounts that the Accounts have been assigned to the Collateral Agent for the benefit of the Secured Parties and that payments in respect thereof shall be made directly to the Collateral Agent.</w:t>
      </w:r>
    </w:p>
    <w:p>
      <w:pPr>
        <w:spacing w:after="0" w:line="40" w:lineRule="exact"/>
        <w:rPr>
          <w:rFonts w:ascii="Arial" w:cs="Arial" w:eastAsia="Arial" w:hAnsi="Arial"/>
          <w:sz w:val="16"/>
          <w:szCs w:val="16"/>
          <w:color w:val="auto"/>
        </w:rPr>
      </w:pPr>
    </w:p>
    <w:p>
      <w:pPr>
        <w:ind w:right="20" w:firstLine="987"/>
        <w:spacing w:after="0" w:line="289" w:lineRule="auto"/>
        <w:tabs>
          <w:tab w:leader="none" w:pos="123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Anything herein to the contrary notwithstanding, each Grantor shall remain liable under each of the Accounts to observe and perform all the conditions and obligations to be observed and performed by it thereunder, all in accordance with the terms of any agreement giving rise thereto. Unless the Collateral Agent has expressly in writing assumed the obligations and liabilities with respect thereto, and released the Grantors therefrom, neither the Collateral Agent nor any Secured Party shall have any obligation or liability under any Account (or any agreement giving rise thereto) by reason of or arising out of this Security Agreement or the receipt by the Collateral Agent or any Secured Party of any payment relating thereto, nor shall the Collateral Agent or any Secured Party be obligated in any manner to perform any of the obligations of any Grantor under or pursuant to any Account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w:t>
      </w:r>
    </w:p>
    <w:p>
      <w:pPr>
        <w:spacing w:after="0" w:line="58"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Proceeds to be Turned Over To Collateral Agent</w:t>
      </w:r>
      <w:r>
        <w:rPr>
          <w:rFonts w:ascii="Arial" w:cs="Arial" w:eastAsia="Arial" w:hAnsi="Arial"/>
          <w:sz w:val="17"/>
          <w:szCs w:val="17"/>
          <w:color w:val="auto"/>
        </w:rPr>
        <w:t xml:space="preserve">. In addition to the rights of the Collateral Agent and the Secured Parties specified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with respect to payments of Accounts, if an Event of Default shall occur and be continuing and the Collateral Agent, subject to the terms of the Indenture and the Intercreditor Agreements, so requires by notice in writing to the relevant Grantor, all Proceeds received by any Grantor consisting of cash, checks and other near cash items shall be held by such Grantor in trust for the Collateral Agent and the Secured Parties, segregated from other funds of such Grantor, and shall, forthwith upon receipt by such Grantor, be turned over to the Collateral Agent in the exact form received by such Grantor (duly endorsed by such Grantor to the Collateral Agent, if required). All Proceeds received by the Collateral Agent hereunder shall be held by the Collateral Agent in a Collateral Account maintained under its dominion and control and on terms and conditions reasonably satisfactory to the Collateral Agent. All Proceeds while held by the Collateral Agent in a Collateral Account (or by such Grantor in trust for the Collateral Agent and the Secured Parties) shall continue to be held as collateral security for all the Obligations and shall not constitute payment thereof until applied as provided in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77"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Subject to the Indenture and the Intercreditor Agreements then in effect, the Collateral Agent shall apply the proceeds of any collection or sale of the Collateral as well as any Collateral consisting of cash, at any time after receipt in the order set forth in Article Five of the Indenture.</w:t>
      </w:r>
    </w:p>
    <w:p>
      <w:pPr>
        <w:spacing w:after="0" w:line="184" w:lineRule="exact"/>
        <w:rPr>
          <w:sz w:val="20"/>
          <w:szCs w:val="20"/>
          <w:color w:val="auto"/>
        </w:rPr>
      </w:pPr>
    </w:p>
    <w:p>
      <w:pPr>
        <w:jc w:val="both"/>
        <w:ind w:right="320" w:firstLine="440"/>
        <w:spacing w:after="0" w:line="311" w:lineRule="auto"/>
        <w:rPr>
          <w:sz w:val="20"/>
          <w:szCs w:val="20"/>
          <w:color w:val="auto"/>
        </w:rPr>
      </w:pPr>
      <w:r>
        <w:rPr>
          <w:rFonts w:ascii="Arial" w:cs="Arial" w:eastAsia="Arial" w:hAnsi="Arial"/>
          <w:sz w:val="16"/>
          <w:szCs w:val="16"/>
          <w:color w:val="auto"/>
        </w:rPr>
        <w:t xml:space="preserve">If, despite the provisions of this Security Agreement, any Secured Party shall receive any payment or other recovery in excess of its portion of payments on account of the Obligations to which it is then entitled in accordance with this Security Agreement, such Secured Party shall, hold such payment or other recovery in trust for the benefit of all Secured Parties hereunder for distribution in accordance with this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15" w:name="page416"/>
    <w:bookmarkEnd w:id="415"/>
    <w:p>
      <w:pPr>
        <w:ind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 </w:t>
      </w:r>
      <w:r>
        <w:rPr>
          <w:rFonts w:ascii="Arial" w:cs="Arial" w:eastAsia="Arial" w:hAnsi="Arial"/>
          <w:sz w:val="16"/>
          <w:szCs w:val="16"/>
          <w:u w:val="single" w:color="auto"/>
          <w:color w:val="auto"/>
        </w:rPr>
        <w:t>Code and Other Remedies</w:t>
      </w:r>
      <w:r>
        <w:rPr>
          <w:rFonts w:ascii="Arial" w:cs="Arial" w:eastAsia="Arial" w:hAnsi="Arial"/>
          <w:sz w:val="16"/>
          <w:szCs w:val="16"/>
          <w:color w:val="auto"/>
        </w:rPr>
        <w:t xml:space="preserve">. Subject to the terms of the Indenture and the Intercreditor Agreements, if an Event of Default shall occur and be continuing, and after giving prior notice to the Issuer and any applicable Grantor, the Collateral Agent may exercise in respect of the Collateral, in addition to all other rights and remedies provided for herein or otherwise available to it, all the rights and remedies of a secured party upon default under the UCC or any other applicable law (whether or not the UCC applies to the affected Collateral) and also may with notice to the relevant Grantor, sell the Collateral or any part thereof in one or more parcels at public or private sale or sales, at any exchange, broker’s board, office of the Collateral Agent or any Secured Party or elsewhere for cash or on credit or for future delivery at such price or prices and upon such other terms as are commercially reasonable irrespective of the impact of any such sales on the market price of the Collateral. The Collateral Agent shall be authorized at any such sale (if it deems it advisable to do so) to restrict the prospective bidders or purchasers of such Collateral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purchaser at any such sale shall hold the property sold absolutely free from any claim or right on the part of any Grantor, and each Grantor hereby waives (to the extent permitted by law) all rights of redemption, stay and/or appraisal that it now has or may at any time in the future have under any rule of law or statute now existing or hereafter enacted. The Collateral Agent and any Secured Party shall have the right upon any such public sale, and, to the extent permitted by law, upon any such private sale, to purchase the whole or any part of the Collateral so sold, and the Collateral Agent or such Secured Party may pay the purchase price by crediting the amount thereof against the Obligations. Each Grantor agrees that, to the extent notice of sale shall be required by law, at least ten (10) days’ notice to such Grantor of the time and place of any public sale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To the extent permitted by law, each Grantor hereby waives any claim against the Collateral Agent arising by reason of the fact that the price at which any Collateral may have been sold at such a private sale was less than the price that might have been obtained at a public sale, even if the Collateral Agent accepts the first offer received and does not offer such Collateral to more than one offeree. Each Grantor further agrees, at the Collateral Agent’s request, to assemble the Collateral and make it available to the Collateral Agent, at places which the Collateral Agent shall reasonably select, whether at such Grantor’s premises or elsewhere. The Collateral Agent shall apply the net proceeds of any action taken by it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in accordance with the provisions of </w:t>
      </w:r>
      <w:r>
        <w:rPr>
          <w:rFonts w:ascii="Arial" w:cs="Arial" w:eastAsia="Arial" w:hAnsi="Arial"/>
          <w:sz w:val="16"/>
          <w:szCs w:val="16"/>
          <w:u w:val="single" w:color="auto"/>
          <w:color w:val="auto"/>
        </w:rPr>
        <w:t>Section 5.4</w:t>
      </w:r>
      <w:r>
        <w:rPr>
          <w:rFonts w:ascii="Arial" w:cs="Arial" w:eastAsia="Arial" w:hAnsi="Arial"/>
          <w:sz w:val="16"/>
          <w:szCs w:val="16"/>
          <w:color w:val="auto"/>
        </w:rPr>
        <w:t>. The Collateral Agent shall incur no liability as a result of the sale (whether public or private) of the Collateral or any part thereof at any sale pursuant to this Security Agreement conducted in a commercially reasonable manner. Each of the Grantors and Secured Parties hereby waive any claims against the Collateral Agent arising by reason of the fact that the price at which the Collateral may have been sold at such sale (whether public or private) was less than the price that might have been obtained otherwise, even if the Collateral Agent accepts the first offer received and does not offer the Collateral to more than one offeree, so long as such sale is conducted in a commercially reasonable manner. Each of the Grantors and Secured Parties hereby agree that in respect of any sale of any of the Collateral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416" w:name="page417"/>
    <w:bookmarkEnd w:id="41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the terms hereof, Collateral Agent is hereby authorized to comply with any limitation or restriction in connection with such sale as it may be advised by counsel is necessary in order to avoid any violation of applicable laws, or in order to obtain any required approval of the sale or of the purchaser by any governmental authority or official, and the Grantors and Secured Parties further agree that such compliance shall not, in and of itself, result in such sale being considered or deemed not to have been made in a commercially reasonable manner, nor shall the Collateral Agent be liable or accountable to the Pledgors or Secured Parties for any discount allowed by reason of the fact that the Collateral or any part thereof is sold in compliance with any such limitation or restriction.</w:t>
      </w:r>
    </w:p>
    <w:p>
      <w:pPr>
        <w:spacing w:after="0" w:line="84"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Deficiency</w:t>
      </w:r>
      <w:r>
        <w:rPr>
          <w:rFonts w:ascii="Arial" w:cs="Arial" w:eastAsia="Arial" w:hAnsi="Arial"/>
          <w:sz w:val="16"/>
          <w:szCs w:val="16"/>
          <w:color w:val="auto"/>
        </w:rPr>
        <w:t>. Each Grantor shall remain liable for any deficiency if the proceeds of any sale or other disposition of the Collateral are insufficient to pay its Obligations and the reasonable and documented fees and disbursements of any attorneys employed by the Collateral Agent or any Secured Party to collect such deficiency (in each case subject to the limitations set forth in Sections 6.07 and 14.08 of the Indenture).</w:t>
      </w:r>
    </w:p>
    <w:p>
      <w:pPr>
        <w:spacing w:after="0" w:line="41"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Amendments, etc. with Respect to the Obligations; Waiver of Rights</w:t>
      </w:r>
      <w:r>
        <w:rPr>
          <w:rFonts w:ascii="Arial" w:cs="Arial" w:eastAsia="Arial" w:hAnsi="Arial"/>
          <w:sz w:val="16"/>
          <w:szCs w:val="16"/>
          <w:color w:val="auto"/>
        </w:rPr>
        <w:t>. Each Grantor shall remain obligated hereunder notwithstanding that, without any reservation of rights against any Grantor and without notice to or further assent by any Grantor, (a) any demand for payment of any of the Obligations made by the Collateral Agent or any other Secured Party may be rescinded by such party and any of the Obligations continued, (b) the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Collateral Agent or any other Secured Party, (c) the Indenture, the other Notes Documents and any other documents executed and delivered in connection therewith may, in accordance with Article Nine of the Indenture, be amended, modified, supplemented or terminated, in whole or in part, from time to time and (d) any collateral security, guarantee or right of offset at any time held by the Collateral Agent or any other Secured Party for the payment of the Obligations may be sold, exchanged, waived, surrendered or released. Neither the Collateral Agent nor any other Secured Party shall have any obligation to protect, secure, perfect or insure any Lien at any time held by it as security for the Obligations or for this Security Agreement or any property subject thereto. When making any demand hereunder against any Grantor, the Collateral Agent or any other Secured Party may, but shall be under no obligation to, make a similar demand on any Grantor or any other Person, and any failure by the Collateral Agent or any other Secured Party to make any such demand or to collect any payments from any Grantor or any other Person or any release of any Grantor or any other Person shall not relieve any Grantor in respect of which a demand or collection is not made or any Grantor not so released of its several obligations or liabilities hereunder, and shall not impair or affect the rights and remedies, express or implied, or as a matter of law, of the Collateral Agent or any other Secured Party against any Grantor. For the purposes hereof “demand” shall include the commencement and continuance of any legal proceedings.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417" w:name="page418"/>
    <w:bookmarkEnd w:id="417"/>
    <w:p>
      <w:pPr>
        <w:ind w:left="1160" w:hanging="173"/>
        <w:spacing w:after="0"/>
        <w:tabs>
          <w:tab w:leader="none" w:pos="116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COLLATERAL AGENT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Collateral Agent’s Appointment as Attorney-in-Fact, etc</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1"/>
          <w:numId w:val="370"/>
        </w:numPr>
        <w:rPr>
          <w:rFonts w:ascii="Arial" w:cs="Arial" w:eastAsia="Arial" w:hAnsi="Arial"/>
          <w:sz w:val="17"/>
          <w:szCs w:val="17"/>
          <w:color w:val="auto"/>
        </w:rPr>
      </w:pPr>
      <w:r>
        <w:rPr>
          <w:rFonts w:ascii="Arial" w:cs="Arial" w:eastAsia="Arial" w:hAnsi="Arial"/>
          <w:sz w:val="17"/>
          <w:szCs w:val="17"/>
          <w:color w:val="auto"/>
        </w:rPr>
        <w:t xml:space="preserve">Each Grantor hereby appoints, which appointment is irrevocable and coupled with an interest, and shall automatically terminate with respect to such Grantor on the Termination Date or, if sooner, upon the termination or release of such Grantor hereunder pursuant to </w:t>
      </w:r>
      <w:r>
        <w:rPr>
          <w:rFonts w:ascii="Arial" w:cs="Arial" w:eastAsia="Arial" w:hAnsi="Arial"/>
          <w:sz w:val="17"/>
          <w:szCs w:val="17"/>
          <w:u w:val="single" w:color="auto"/>
          <w:color w:val="auto"/>
        </w:rPr>
        <w:t>Section 6.5</w:t>
      </w:r>
      <w:r>
        <w:rPr>
          <w:rFonts w:ascii="Arial" w:cs="Arial" w:eastAsia="Arial" w:hAnsi="Arial"/>
          <w:sz w:val="17"/>
          <w:szCs w:val="17"/>
          <w:color w:val="auto"/>
        </w:rPr>
        <w:t>, effective upon the occurrence and during the continuance of an Event of Default, the Collateral Agent and any officer or agent thereof, with full power of substitution, as its true and lawful attorney-in-fact with full irrevocable power and authority in the place and stead of such Grantor and in the name of such Grantor or otherwise, for the purpose of carrying out the terms of this Security Agreement, to take any and all appropriate action and to execute any and all documents and instruments that may be necessary or advisable to accomplish the purposes of this Security Agreement, and, without limiting the generality of the foregoing, each Grantor hereby gives the Collateral Agent the power and right, on behalf of such Grantor, either in the Collateral Agent’s name or in the name of such Grantor or otherwise, without assent by such Grantor, to do any or all of the following, in each case after the occurrence and during the continuance of an Event of Default and after written notice by the Collateral Agent to the Issuer and any applicable Grantor of its intent to do so:</w:t>
      </w:r>
    </w:p>
    <w:p>
      <w:pPr>
        <w:spacing w:after="0" w:line="77" w:lineRule="exact"/>
        <w:rPr>
          <w:rFonts w:ascii="Arial" w:cs="Arial" w:eastAsia="Arial" w:hAnsi="Arial"/>
          <w:sz w:val="17"/>
          <w:szCs w:val="17"/>
          <w:color w:val="auto"/>
        </w:rPr>
      </w:pPr>
    </w:p>
    <w:p>
      <w:pPr>
        <w:ind w:left="440" w:right="160" w:firstLine="419"/>
        <w:spacing w:after="0" w:line="279" w:lineRule="auto"/>
        <w:tabs>
          <w:tab w:leader="none" w:pos="1078"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take possession of and endorse and collect any checks, drafts, notes, acceptances or other instruments for the payment of moneys due under any Account constituting Collateral or with respect to any other Collateral and file any claim or take any other action or proceeding in any court of law or equity or otherwise deemed appropriate by the Collateral Agent for the purpose of collecting any and all such moneys due under any Account constituting Collateral or with respect to any other Collateral whenever payable;</w:t>
      </w:r>
    </w:p>
    <w:p>
      <w:pPr>
        <w:spacing w:after="0" w:line="63" w:lineRule="exact"/>
        <w:rPr>
          <w:rFonts w:ascii="Arial" w:cs="Arial" w:eastAsia="Arial" w:hAnsi="Arial"/>
          <w:sz w:val="17"/>
          <w:szCs w:val="17"/>
          <w:color w:val="auto"/>
        </w:rPr>
      </w:pPr>
    </w:p>
    <w:p>
      <w:pPr>
        <w:ind w:left="440" w:right="380" w:firstLine="419"/>
        <w:spacing w:after="0" w:line="311" w:lineRule="auto"/>
        <w:tabs>
          <w:tab w:leader="none" w:pos="1128" w:val="left"/>
        </w:tabs>
        <w:numPr>
          <w:ilvl w:val="0"/>
          <w:numId w:val="371"/>
        </w:numPr>
        <w:rPr>
          <w:rFonts w:ascii="Arial" w:cs="Arial" w:eastAsia="Arial" w:hAnsi="Arial"/>
          <w:sz w:val="16"/>
          <w:szCs w:val="16"/>
          <w:color w:val="auto"/>
        </w:rPr>
      </w:pPr>
      <w:r>
        <w:rPr>
          <w:rFonts w:ascii="Arial" w:cs="Arial" w:eastAsia="Arial" w:hAnsi="Arial"/>
          <w:sz w:val="16"/>
          <w:szCs w:val="16"/>
          <w:color w:val="auto"/>
        </w:rPr>
        <w:t>in the case of any Intellectual Property, execute and deliver, and have recorded, any and all agreements, instruments, documents and papers as the Collateral Agent may reasonably request to evidence the Collateral Agent’s and the Secured Parties’ Security Interest in such Intellectual Property and the goodwill and general intangibles of such Grantor relating thereto or represented thereby;</w:t>
      </w:r>
    </w:p>
    <w:p>
      <w:pPr>
        <w:spacing w:after="0" w:line="40" w:lineRule="exact"/>
        <w:rPr>
          <w:rFonts w:ascii="Arial" w:cs="Arial" w:eastAsia="Arial" w:hAnsi="Arial"/>
          <w:sz w:val="16"/>
          <w:szCs w:val="16"/>
          <w:color w:val="auto"/>
        </w:rPr>
      </w:pPr>
    </w:p>
    <w:p>
      <w:pPr>
        <w:ind w:left="440" w:firstLine="419"/>
        <w:spacing w:after="0" w:line="308" w:lineRule="auto"/>
        <w:tabs>
          <w:tab w:leader="none" w:pos="1178" w:val="left"/>
        </w:tabs>
        <w:numPr>
          <w:ilvl w:val="0"/>
          <w:numId w:val="371"/>
        </w:numPr>
        <w:rPr>
          <w:rFonts w:ascii="Arial" w:cs="Arial" w:eastAsia="Arial" w:hAnsi="Arial"/>
          <w:sz w:val="17"/>
          <w:szCs w:val="17"/>
          <w:color w:val="auto"/>
        </w:rPr>
      </w:pPr>
      <w:r>
        <w:rPr>
          <w:rFonts w:ascii="Arial" w:cs="Arial" w:eastAsia="Arial" w:hAnsi="Arial"/>
          <w:sz w:val="17"/>
          <w:szCs w:val="17"/>
          <w:color w:val="auto"/>
        </w:rPr>
        <w:t>upon at least three (3) Business Days’ prior written notice, pay or discharge taxes and Liens levied or placed on or threatened against the Collateral (other than taxes not required to be discharged under the Indenture and other than Permitted Liens);</w:t>
      </w:r>
    </w:p>
    <w:p>
      <w:pPr>
        <w:spacing w:after="0" w:line="38" w:lineRule="exact"/>
        <w:rPr>
          <w:rFonts w:ascii="Arial" w:cs="Arial" w:eastAsia="Arial" w:hAnsi="Arial"/>
          <w:sz w:val="17"/>
          <w:szCs w:val="17"/>
          <w:color w:val="auto"/>
        </w:rPr>
      </w:pPr>
    </w:p>
    <w:p>
      <w:pPr>
        <w:ind w:left="440" w:right="120" w:firstLine="419"/>
        <w:spacing w:after="0" w:line="277" w:lineRule="auto"/>
        <w:tabs>
          <w:tab w:leader="none" w:pos="116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execute, in connection with any sale provided for in </w:t>
      </w:r>
      <w:r>
        <w:rPr>
          <w:rFonts w:ascii="Arial" w:cs="Arial" w:eastAsia="Arial" w:hAnsi="Arial"/>
          <w:sz w:val="18"/>
          <w:szCs w:val="18"/>
          <w:u w:val="single" w:color="auto"/>
          <w:color w:val="auto"/>
        </w:rPr>
        <w:t>Section 5.5</w:t>
      </w:r>
      <w:r>
        <w:rPr>
          <w:rFonts w:ascii="Arial" w:cs="Arial" w:eastAsia="Arial" w:hAnsi="Arial"/>
          <w:sz w:val="18"/>
          <w:szCs w:val="18"/>
          <w:color w:val="auto"/>
        </w:rPr>
        <w:t>, any endorsements, assignments or other instruments of conveyance or transfer with respect to the Collateral;</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obtain and adjust insurance required to be maintained by such Grantor pursuant to Section 14.10 of the Indenture;</w:t>
      </w:r>
    </w:p>
    <w:p>
      <w:pPr>
        <w:spacing w:after="0" w:line="117" w:lineRule="exact"/>
        <w:rPr>
          <w:rFonts w:ascii="Arial" w:cs="Arial" w:eastAsia="Arial" w:hAnsi="Arial"/>
          <w:sz w:val="18"/>
          <w:szCs w:val="18"/>
          <w:color w:val="auto"/>
        </w:rPr>
      </w:pPr>
    </w:p>
    <w:p>
      <w:pPr>
        <w:ind w:left="440" w:right="560" w:firstLine="419"/>
        <w:spacing w:after="0" w:line="277" w:lineRule="auto"/>
        <w:tabs>
          <w:tab w:leader="none" w:pos="116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direct any party liable for any payment under any of the Collateral to make payment of any and all moneys due or to become due thereunder directly to the Collateral Agent or as the Collateral Agent shall direct;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18" w:name="page419"/>
    <w:bookmarkEnd w:id="418"/>
    <w:p>
      <w:pPr>
        <w:ind w:left="440" w:right="100" w:firstLine="419"/>
        <w:spacing w:after="0" w:line="277" w:lineRule="auto"/>
        <w:tabs>
          <w:tab w:leader="none" w:pos="1218"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ask or demand for, collect and receive payment of and receipt for, any and all moneys, claims and other amounts due or to become due at any time in respect of or arising out of any Collateral;</w:t>
      </w:r>
    </w:p>
    <w:p>
      <w:pPr>
        <w:spacing w:after="0" w:line="62" w:lineRule="exact"/>
        <w:rPr>
          <w:rFonts w:ascii="Arial" w:cs="Arial" w:eastAsia="Arial" w:hAnsi="Arial"/>
          <w:sz w:val="18"/>
          <w:szCs w:val="18"/>
          <w:color w:val="auto"/>
        </w:rPr>
      </w:pPr>
    </w:p>
    <w:p>
      <w:pPr>
        <w:ind w:left="440" w:right="880" w:firstLine="419"/>
        <w:spacing w:after="0" w:line="277" w:lineRule="auto"/>
        <w:tabs>
          <w:tab w:leader="none" w:pos="126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sign and endorse any invoices, freight or express bills, bills of lading, storage or warehouse receipts, drafts against debtors, assignments, verifications, notices and other documents in connection with any of the Collateral;</w:t>
      </w:r>
    </w:p>
    <w:p>
      <w:pPr>
        <w:spacing w:after="0" w:line="62" w:lineRule="exact"/>
        <w:rPr>
          <w:rFonts w:ascii="Arial" w:cs="Arial" w:eastAsia="Arial" w:hAnsi="Arial"/>
          <w:sz w:val="18"/>
          <w:szCs w:val="18"/>
          <w:color w:val="auto"/>
        </w:rPr>
      </w:pPr>
    </w:p>
    <w:p>
      <w:pPr>
        <w:ind w:left="440" w:right="540" w:firstLine="419"/>
        <w:spacing w:after="0" w:line="277" w:lineRule="auto"/>
        <w:tabs>
          <w:tab w:leader="none" w:pos="116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commence and prosecute any suits, actions or proceedings at law or in equity in any court of competent jurisdiction to collect the Collateral or any portion thereof and to enforce any other right in respect of any Collateral;</w:t>
      </w:r>
    </w:p>
    <w:p>
      <w:pPr>
        <w:spacing w:after="0" w:line="62" w:lineRule="exact"/>
        <w:rPr>
          <w:rFonts w:ascii="Arial" w:cs="Arial" w:eastAsia="Arial" w:hAnsi="Arial"/>
          <w:sz w:val="18"/>
          <w:szCs w:val="18"/>
          <w:color w:val="auto"/>
        </w:rPr>
      </w:pPr>
    </w:p>
    <w:p>
      <w:pPr>
        <w:ind w:left="440" w:right="340" w:firstLine="419"/>
        <w:spacing w:after="0" w:line="263" w:lineRule="auto"/>
        <w:tabs>
          <w:tab w:leader="none" w:pos="111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defend any suit, action or proceeding brought against such Grantor with respect to any Collateral (with such Grantor’s consent to the extent such action or its resolution could materially affect such Grantor or any of its Affiliates in any manner other than with respect to its continuing rights in such Collateral);</w:t>
      </w:r>
    </w:p>
    <w:p>
      <w:pPr>
        <w:spacing w:after="0" w:line="75" w:lineRule="exact"/>
        <w:rPr>
          <w:rFonts w:ascii="Arial" w:cs="Arial" w:eastAsia="Arial" w:hAnsi="Arial"/>
          <w:sz w:val="18"/>
          <w:szCs w:val="18"/>
          <w:color w:val="auto"/>
        </w:rPr>
      </w:pPr>
    </w:p>
    <w:p>
      <w:pPr>
        <w:ind w:left="440" w:right="100" w:firstLine="419"/>
        <w:spacing w:after="0" w:line="311" w:lineRule="auto"/>
        <w:tabs>
          <w:tab w:leader="none" w:pos="1168" w:val="left"/>
        </w:tabs>
        <w:numPr>
          <w:ilvl w:val="0"/>
          <w:numId w:val="372"/>
        </w:numPr>
        <w:rPr>
          <w:rFonts w:ascii="Arial" w:cs="Arial" w:eastAsia="Arial" w:hAnsi="Arial"/>
          <w:sz w:val="16"/>
          <w:szCs w:val="16"/>
          <w:color w:val="auto"/>
        </w:rPr>
      </w:pPr>
      <w:r>
        <w:rPr>
          <w:rFonts w:ascii="Arial" w:cs="Arial" w:eastAsia="Arial" w:hAnsi="Arial"/>
          <w:sz w:val="16"/>
          <w:szCs w:val="16"/>
          <w:color w:val="auto"/>
        </w:rPr>
        <w:t>settle, compromise or adjust any such suit, action or proceeding with respect to the Collateral and, in connection therewith, give such discharges or releases as the Collateral Agent may deem appropriate (with such Grantor’s consent to the extent such action or its resolution could materially affect such Grantor or any of its Affiliates in any manner other than with respect to its continuing rights in such Collateral); and</w:t>
      </w:r>
    </w:p>
    <w:p>
      <w:pPr>
        <w:spacing w:after="0" w:line="40" w:lineRule="exact"/>
        <w:rPr>
          <w:rFonts w:ascii="Arial" w:cs="Arial" w:eastAsia="Arial" w:hAnsi="Arial"/>
          <w:sz w:val="16"/>
          <w:szCs w:val="16"/>
          <w:color w:val="auto"/>
        </w:rPr>
      </w:pPr>
    </w:p>
    <w:p>
      <w:pPr>
        <w:ind w:left="440" w:right="220" w:firstLine="419"/>
        <w:spacing w:after="0" w:line="257" w:lineRule="auto"/>
        <w:tabs>
          <w:tab w:leader="none" w:pos="121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generally, sell, transfer, pledge and make any agreement with respect to or otherwise deal with any of the Collateral as fully and completely as though the Collateral Agent were the absolute owner thereof for all purposes, and do, at the Collateral Agent’s option and such Grantor’s expense, at any time, or from time to time, all acts and things that the Collateral Agent deems necessary to protect, preserve or realize upon the Collateral and the Collateral Agent’s and the Secured Parties’ Security Interests therein and to effect the intent of this Security Agreement, all as fully and effectively as such Grantor might do.</w:t>
      </w:r>
    </w:p>
    <w:p>
      <w:pPr>
        <w:spacing w:after="0" w:line="188"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to the contrary notwithstanding, the Collateral Agent agrees that it will not exercise any rights under the power of attorney provided for in this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unless an Event of Default shall have occurred and be continuing and after the expiration of any notice periods otherwise required hereunder or under any other Notes Document.</w:t>
      </w:r>
    </w:p>
    <w:p>
      <w:pPr>
        <w:spacing w:after="0" w:line="76" w:lineRule="exact"/>
        <w:rPr>
          <w:sz w:val="20"/>
          <w:szCs w:val="20"/>
          <w:color w:val="auto"/>
        </w:rPr>
      </w:pPr>
    </w:p>
    <w:p>
      <w:pPr>
        <w:ind w:right="100" w:firstLine="987"/>
        <w:spacing w:after="0" w:line="311" w:lineRule="auto"/>
        <w:tabs>
          <w:tab w:leader="none" w:pos="1246"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Subject to any limitations of the Collateral Agent to take actions as set forth in clause (a), if any Grantor fails to perform or comply with any of its agreements contained herein within a reasonable period of time after the Collateral Agent has requested it to do so, the Collateral Agent, at its option, but without any obligation so to do, may perform or comply, or otherwise cause performance or compliance, with such agreement.</w:t>
      </w:r>
    </w:p>
    <w:p>
      <w:pPr>
        <w:spacing w:after="0" w:line="40" w:lineRule="exact"/>
        <w:rPr>
          <w:rFonts w:ascii="Arial" w:cs="Arial" w:eastAsia="Arial" w:hAnsi="Arial"/>
          <w:sz w:val="16"/>
          <w:szCs w:val="16"/>
          <w:color w:val="auto"/>
        </w:rPr>
      </w:pPr>
    </w:p>
    <w:p>
      <w:pPr>
        <w:ind w:firstLine="987"/>
        <w:spacing w:after="0" w:line="259" w:lineRule="auto"/>
        <w:tabs>
          <w:tab w:leader="none" w:pos="123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The reasonable and documented out-of-pocket expenses of the Collateral Agent, in each case subject to the limitations on reimbursement of costs and expenses set forth in Sections 6.07 and 14.08 of the Indenture, incurred in connection with actions undertaken as provided in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 shall be payable by such Grantor to the Collateral Agent within ten (10) Business Days of receipt by the Issuer of an invoice setting forth such expense in reasonable detail.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419" w:name="page420"/>
    <w:bookmarkEnd w:id="419"/>
    <w:p>
      <w:pPr>
        <w:ind w:right="180" w:firstLine="987"/>
        <w:spacing w:after="0" w:line="263" w:lineRule="auto"/>
        <w:tabs>
          <w:tab w:leader="none" w:pos="1246" w:val="left"/>
        </w:tabs>
        <w:numPr>
          <w:ilvl w:val="0"/>
          <w:numId w:val="3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Grantor hereby ratifies all that said attorneys shall lawfully do or cause to be done by virtue hereof. All powers, authorizations and agencies contained in this Security Agreement are coupled with an interest and are irrevocable until this Security Agreement is terminated and the Security Interests created hereby are released.</w:t>
      </w:r>
    </w:p>
    <w:p>
      <w:pPr>
        <w:spacing w:after="0" w:line="76"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Duty of Collateral Agent</w:t>
      </w:r>
      <w:r>
        <w:rPr>
          <w:rFonts w:ascii="Arial" w:cs="Arial" w:eastAsia="Arial" w:hAnsi="Arial"/>
          <w:sz w:val="16"/>
          <w:szCs w:val="16"/>
          <w:color w:val="auto"/>
        </w:rPr>
        <w:t>. The Collateral Agent’s sole duty with respect to the custody, safekeeping and physical preservation of the Collateral in its possession, under Section 9-207 of the UCC or otherwise, shall be to exercise reasonable care. The Collateral Agent shall be deemed to have exercised reasonable care in the custody and preservation of any Collateral in its possession if such Collateral is accorded treatment in accordance with the Collateral Agent’s standard of care set forth herein and in the Indenture. Neither the Collateral Agent, any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Collateral Agent and the Secured Parties hereunder are solely to protect the Collateral Agent’s and the Secured Parties’ interests in the Collateral and shall not impose any duty upon the Collateral Agent or any Secured Party to exercise any such powers. The Collateral Agent and the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respective gross negligence or willful misconduct as determined in a final non-appealable judgment of a court of competent jurisdiction. The Collateral Agent shall not be responsible for or have any duty to ascertain or inquire into any representation or warranty regarding the existence, value or collectability of the Collateral, the existence, priority or perfection of the Collateral Agent’s Lien thereon, or any certificate prepared by any Grantor in connection therewith, nor shall the Collateral Agent be responsible or liable to the Secured Parties for any failure to monitor or maintain any portion of the Collateral.</w:t>
      </w:r>
    </w:p>
    <w:p>
      <w:pPr>
        <w:spacing w:after="0" w:line="59" w:lineRule="exact"/>
        <w:rPr>
          <w:sz w:val="20"/>
          <w:szCs w:val="20"/>
          <w:color w:val="auto"/>
        </w:rPr>
      </w:pPr>
    </w:p>
    <w:p>
      <w:pPr>
        <w:ind w:right="180" w:firstLine="991"/>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Authority of Collateral Agent</w:t>
      </w:r>
      <w:r>
        <w:rPr>
          <w:rFonts w:ascii="Arial" w:cs="Arial" w:eastAsia="Arial" w:hAnsi="Arial"/>
          <w:sz w:val="17"/>
          <w:szCs w:val="17"/>
          <w:color w:val="auto"/>
        </w:rPr>
        <w:t>. Each Grantor acknowledges that the rights and responsibilities of the Collateral Agent under this Security Agreement with respect to any action taken by the Collateral Agent or the exercise or non-exercise by the Collateral Agent of any option, voting right, request, judgment or other right or remedy provided for herein or resulting or arising out of this Security Agreement shall, as between the Collateral Agent and the Secured Parties, be governed by the Intercreditor Agreements and the Indenture, and by such other agreements with respect thereto as may exist from time to time among them, but, as between the Collateral Agent and the Grantors, the Collateral Agent shall be conclusively presumed to be acting as agent for the applicable Secured Parties with full and valid authority so to act or refrain from acting, and no Grantor shall be under any obligation, or entitlement, to make any inquiry respecting such authority.</w:t>
      </w:r>
    </w:p>
    <w:p>
      <w:pPr>
        <w:spacing w:after="0" w:line="69"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Security Interest Absolute</w:t>
      </w:r>
      <w:r>
        <w:rPr>
          <w:rFonts w:ascii="Arial" w:cs="Arial" w:eastAsia="Arial" w:hAnsi="Arial"/>
          <w:sz w:val="18"/>
          <w:szCs w:val="18"/>
          <w:color w:val="auto"/>
        </w:rPr>
        <w:t>. All rights of the Collateral Agent hereunder, the Security Interest and all obligations of the Grantors hereunder shall be absolute and unconditional.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20" w:name="page421"/>
    <w:bookmarkEnd w:id="4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6.5 </w:t>
      </w:r>
      <w:r>
        <w:rPr>
          <w:rFonts w:ascii="Arial" w:cs="Arial" w:eastAsia="Arial" w:hAnsi="Arial"/>
          <w:sz w:val="18"/>
          <w:szCs w:val="18"/>
          <w:u w:val="single" w:color="auto"/>
          <w:color w:val="auto"/>
        </w:rPr>
        <w:t>Continuing Security Interest; Assignments Under the Indenture; Release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5" w:lineRule="auto"/>
        <w:tabs>
          <w:tab w:leader="none" w:pos="123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This Security Agreement shall remain in full force and effect and be binding in accordance with and to the extent of its terms upon each Grantor and the successors and assigns thereof and shall inure to the benefit of the Collateral Agent and the other Secured Parties and their respective successors, endorsees, transferees and assigns permitted under the Indenture until the date on which all Obligations (other than, in each case, any contingent indemnity obligations not then due) shall have been satisfied by payment in full (such date,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notwithstanding that from time to time during the term of the Indenture, the Grantors may be free from any Obligations.</w:t>
      </w:r>
    </w:p>
    <w:p>
      <w:pPr>
        <w:spacing w:after="0" w:line="68" w:lineRule="exact"/>
        <w:rPr>
          <w:rFonts w:ascii="Arial" w:cs="Arial" w:eastAsia="Arial" w:hAnsi="Arial"/>
          <w:sz w:val="17"/>
          <w:szCs w:val="17"/>
          <w:color w:val="auto"/>
        </w:rPr>
      </w:pPr>
    </w:p>
    <w:p>
      <w:pPr>
        <w:ind w:right="260" w:firstLine="987"/>
        <w:spacing w:after="0" w:line="277" w:lineRule="auto"/>
        <w:tabs>
          <w:tab w:leader="none" w:pos="124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 Grantor shall automatically be released from its obligations hereunder as it relates to the Obligations if it ceases to be a Grantor in accordance with Article Eight and Section 12.08 of the Indenture.</w:t>
      </w:r>
    </w:p>
    <w:p>
      <w:pPr>
        <w:spacing w:after="0" w:line="62" w:lineRule="exact"/>
        <w:rPr>
          <w:rFonts w:ascii="Arial" w:cs="Arial" w:eastAsia="Arial" w:hAnsi="Arial"/>
          <w:sz w:val="18"/>
          <w:szCs w:val="18"/>
          <w:color w:val="auto"/>
        </w:rPr>
      </w:pPr>
    </w:p>
    <w:p>
      <w:pPr>
        <w:ind w:right="40" w:firstLine="987"/>
        <w:spacing w:after="0" w:line="257" w:lineRule="auto"/>
        <w:tabs>
          <w:tab w:leader="none" w:pos="123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Security Interest granted hereby in any Collateral shall automatically be released as it relates to the Obligations (i) to the extent provided in Article Fourteen of the Indenture and (ii) upon the effectiveness of any written consent to the release of the Security Interest granted hereby in such Collateral pursuant to Article Nine of the Indenture. Any such release in connection with any sale, transfer or other disposition of such Collateral permitted under the Indenture to a Person that is not a Grantor shall result in such Collateral being sold, transferred or disposed of, as applicable, free and clear of the Lien and Security Interest created hereby.</w:t>
      </w:r>
    </w:p>
    <w:p>
      <w:pPr>
        <w:spacing w:after="0" w:line="79" w:lineRule="exact"/>
        <w:rPr>
          <w:rFonts w:ascii="Arial" w:cs="Arial" w:eastAsia="Arial" w:hAnsi="Arial"/>
          <w:sz w:val="18"/>
          <w:szCs w:val="18"/>
          <w:color w:val="auto"/>
        </w:rPr>
      </w:pPr>
    </w:p>
    <w:p>
      <w:pPr>
        <w:ind w:right="40" w:firstLine="987"/>
        <w:spacing w:after="0" w:line="296" w:lineRule="auto"/>
        <w:tabs>
          <w:tab w:leader="none" w:pos="124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In connection with any termination or release pursuant to paragraph (a), (b) or (c), the Collateral Agent shall execute and deliver to any Grantor, at such Grantor’s expense, all documents that such Grantor shall reasonably request to evidence such termination or release subject to the Collateral Agent’s receipt of a certification by the Issuer and the applicable Grantor stating that such transaction is in compliance with the Indenture and the other Notes Documents and all conditions precedent to such transaction have been satisfied (upon which the Collateral Agent may conclusively rely). Any execution and delivery of documents pursuant to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shall be without recourse to or warranty by the Collateral Agent.</w:t>
      </w:r>
    </w:p>
    <w:p>
      <w:pPr>
        <w:spacing w:after="0" w:line="53"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Reinstatement</w:t>
      </w:r>
      <w:r>
        <w:rPr>
          <w:rFonts w:ascii="Arial" w:cs="Arial" w:eastAsia="Arial" w:hAnsi="Arial"/>
          <w:sz w:val="17"/>
          <w:szCs w:val="17"/>
          <w:color w:val="auto"/>
        </w:rPr>
        <w:t>. Each Grantor further agrees that, if any payment made by any Grantor or other Person and applied to the Obligations is at any time annulled, avoided, set aside, rescinded, invalidated, declared to be fraudulent or preferential or otherwise required to be refunded or repaid, or the proceeds of Collateral are required to be returned by any Secured Party to such Grantor, its estate, trustee, receiver or any other Person, including any Grantor, under any bankruptcy law, state, federal or foreign law, common law or equitable cause, then, to the extent of such payment or repayment, any Lien or other Collateral securing such liability shall be and remain in full force and effect, as fully as if such payment had never been made or, if prior thereto the Lien granted hereby or other Collateral securing such liability hereunder shall have been released or terminated by virtue of such cancellation or surrender, such Lien or other Collateral shall be reinstated in full force and effect, and such prior cancellation or surrender shall not diminish, release, discharge, impair or otherwise affect any Lien or other Collateral securing the obligations of any Grantor in respect of the amount of such payment.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421" w:name="page422"/>
    <w:bookmarkEnd w:id="421"/>
    <w:p>
      <w:pPr>
        <w:ind w:left="1160" w:hanging="173"/>
        <w:spacing w:after="0"/>
        <w:tabs>
          <w:tab w:leader="none" w:pos="116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AGENT AS AGENT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0" w:lineRule="auto"/>
        <w:tabs>
          <w:tab w:leader="none" w:pos="123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The Bank of New York Mellon Trust Company, N.A. has been appointed to act as the Collateral Agent under the Indenture. The Collateral Agent shall have the right hereunder, to make demands, to give notices, to exercise or refrain from exercising any rights, and to take or refrain from taking any action (including the release or substitution of Collateral), solely in accordance with this Security Agreement, and the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Agent shall exercise, or refrain from exercising, any remedies provided for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in accordance with the instructions of Holders. In furtherance of the foregoing provisions of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each Secured Party, by its acceptance of the benefits hereof and under the Indenture, agrees that it shall have no right individually to realize upon any of the Collateral hereunder, except to the extent specifically set forth in Section 5 of the Guarantee, it being understood and agreed by such Secured Party that all rights and remedies hereunder may be exercised solely by the Collateral Agent for the ratable benefit of the applicable Holders and Secured Parties in accordance with the terms of this </w:t>
      </w:r>
      <w:r>
        <w:rPr>
          <w:rFonts w:ascii="Arial" w:cs="Arial" w:eastAsia="Arial" w:hAnsi="Arial"/>
          <w:sz w:val="17"/>
          <w:szCs w:val="17"/>
          <w:u w:val="single" w:color="auto"/>
          <w:color w:val="auto"/>
        </w:rPr>
        <w:t>Section 7(a)</w:t>
      </w:r>
      <w:r>
        <w:rPr>
          <w:rFonts w:ascii="Arial" w:cs="Arial" w:eastAsia="Arial" w:hAnsi="Arial"/>
          <w:sz w:val="17"/>
          <w:szCs w:val="17"/>
          <w:color w:val="auto"/>
        </w:rPr>
        <w:t>, the Indenture and the Intercreditor Agreements.</w:t>
      </w:r>
    </w:p>
    <w:p>
      <w:pPr>
        <w:spacing w:after="0" w:line="72" w:lineRule="exact"/>
        <w:rPr>
          <w:rFonts w:ascii="Arial" w:cs="Arial" w:eastAsia="Arial" w:hAnsi="Arial"/>
          <w:sz w:val="17"/>
          <w:szCs w:val="17"/>
          <w:color w:val="auto"/>
        </w:rPr>
      </w:pPr>
    </w:p>
    <w:p>
      <w:pPr>
        <w:ind w:firstLine="987"/>
        <w:spacing w:after="0" w:line="268" w:lineRule="auto"/>
        <w:tabs>
          <w:tab w:leader="none" w:pos="124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Collateral Agent shall at all times be the same Person that is the Collateral Agent under the Indenture. Written notice of resignation by the Collateral Agent pursuant to Article Fourteen of the Indenture shall also constitute notice of resignation as Collateral Agent under this Security Agreement; removal of the Collateral Agent shall also constitute removal under this Security Agreement; and appointment of a Collateral Agent pursuant to Article Fourteen of the Indenture shall also constitute appointment of a successor Collateral Agent under this Security Agreement. Upon the acceptance of any appointment as Collateral Agent under Article Fourteen of the Indenture by a successor Collateral Agent, that successor Collateral Agent shall thereupon succeed to and become vested with all the rights, powers, privileges and duties of the retiring or removed Collateral Agent, upon payment of all sums owed to it, under this Security Agreement, and the retiring or removed Collateral Agent under this Security Agreement shall promptly (i) transfer to such successor Collateral Agent all sums, securities and other items of Collateral held hereunder, together with all records and other documents necessary or appropriate in connection with the performance of the duties of the successor Collateral Agent under this Security Agreement and (ii) execute and deliver to such successor Collateral Agent or otherwise authorize the filing of such amendments to financing statements and take such other actions, as may be necessary or appropriate in connection with the assignment to such successor Collateral Agent of the Security Interests created hereunder, whereupon such retiring or removed Collateral Agent shall be discharged from its duties and obligations under this Security Agreement. After any retiring or removed Collateral Agent’s resignation or removal hereunder as Collateral Agent, the provisions of this Security Agreement shall inure to its benefit as to any actions taken or omitted to be taken by it under this Security Agreement while it was Collateral Agent hereunder.</w:t>
      </w:r>
    </w:p>
    <w:p>
      <w:pPr>
        <w:spacing w:after="0" w:line="73" w:lineRule="exact"/>
        <w:rPr>
          <w:rFonts w:ascii="Arial" w:cs="Arial" w:eastAsia="Arial" w:hAnsi="Arial"/>
          <w:sz w:val="17"/>
          <w:szCs w:val="17"/>
          <w:color w:val="auto"/>
        </w:rPr>
      </w:pPr>
    </w:p>
    <w:p>
      <w:pPr>
        <w:ind w:right="60" w:firstLine="987"/>
        <w:spacing w:after="0" w:line="259" w:lineRule="auto"/>
        <w:tabs>
          <w:tab w:leader="none" w:pos="1236"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Neither the Collateral Agent nor any of its officers, directors, employees, agents, attorneys-in-fact or Affiliates shall be liable to any party for any action taken or omitted to be taken by any of them under or in connection with this Security Agreement or any Security Document (except for its or such other Person’s own gross negligence or willful misconduct, as determined in a final non-appealable judgment of a court of competent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22" w:name="page423"/>
    <w:bookmarkEnd w:id="422"/>
    <w:p>
      <w:pPr>
        <w:ind w:left="1160" w:hanging="173"/>
        <w:spacing w:after="0"/>
        <w:tabs>
          <w:tab w:leader="none" w:pos="116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Notwithstanding anything herein to the contrary, the liens and security interests granted to the Collateral Agent pursuant to this Security Agreement and the exercise of any right or remedy by the Collateral Agent hereunder, are subject to the provisions of any Intercreditor Agreement then in effect. In the event of any conflict between the terms of any Intercreditor Agreement then in effect and the terms of this Security Agreement, the terms of such Intercreditor Agreement shall govern and control. No right, power or remedy granted to the Collateral Agent hereunder shall be exercised by the Collateral Agent, and no direction shall be given by the Collateral Agent, in contravention of the Indenture or any such Intercreditor Agreement. So long as the ABL Intercreditor Agreement is outstanding, any requirement in this Security Agreement to deliver any ABL Priority Collateral to the Collateral Agent (or any representation or warranty having the effect of requiring the same) shall be deemed satisfied (or any such representation or warranty shall be deemed true) by delivery of such ABL Priority Collateral to the ABL Collateral Agent. So long as the First Lien Intercreditor Agreement is outstanding, any requirement in this Security Agreement to deliver Term Loan Priority Collateral to the Collateral Agent (or any representation or warranty having the effect of requiring the same) shall be deemed satisfied (or any such representation or warranty shall be deemed true) by delivery of such Term Loan Priority Collateral to the Controlling Collateral Agent (as defined in the First Lien Intercreditor Agreement).</w:t>
      </w:r>
    </w:p>
    <w:p>
      <w:pPr>
        <w:spacing w:after="0" w:line="71"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Security Agreement may be waived, amended, supplemented or otherwise modified except by a written instrument executed by the affected Grantor and the Collateral Agent in accordance with Article Nine of the Indenture.</w:t>
      </w:r>
    </w:p>
    <w:p>
      <w:pPr>
        <w:spacing w:after="0" w:line="76" w:lineRule="exact"/>
        <w:rPr>
          <w:sz w:val="20"/>
          <w:szCs w:val="20"/>
          <w:color w:val="auto"/>
        </w:rPr>
      </w:pPr>
    </w:p>
    <w:p>
      <w:pPr>
        <w:ind w:right="160" w:firstLine="991"/>
        <w:spacing w:after="0" w:line="27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demands pursuant hereto shall be made in accordance with Sections 1.06 and 1.07 of the Indenture. All communications and notices hereunder to (i) any Grantor shall be given to it in care of the Issuer at Issuer’s address set forth on Section 1.06 of the Indenture. All notices, approvals, consents, requests and any communications hereunder must be in writing (provided that any communications sent to the Collateral Agent hereunder must be in the form of a document that is signed manually or by way of a digital signature provided by DocuSign (or such other digital signature provider as specified in writing to Collateral Agent by the authorized representative), in English. Each Grantor and Noteholder (by acceptance of the Notes) agrees to assume all risks arising out of the use of using digital signatures and electronic methods to submit communications to Collateral Agent, including without limitation the risk of Collateral Agent acting on unauthorized instructions, and the risk of interception and misuse by third parties.</w:t>
      </w:r>
    </w:p>
    <w:p>
      <w:pPr>
        <w:spacing w:after="0" w:line="70"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 xml:space="preserve">. Neither the Collateral Agent nor any Secured Party shall by any act (except by a written instrument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Collateral Agent or any other Secured Party, any right, power or privilege hereunder shall operate as a waiver thereof. No single or partial exercise of any right, power or privilege hereunder shall preclude any other or further exercise thereof or the exercise of any other right,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423" w:name="page424"/>
    <w:bookmarkEnd w:id="42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or privilege. A waiver by the Collateral Agent or any other Secured Party of any right or remedy hereunder on any one occasion shall not be construed as a bar to any right or remedy that the Collateral Agent or such other Secured Party would otherwise have on any future occasion. The rights, remedies, powers and privileges herein provided are cumulative, may be exercised singly or concurrently and are not exclusive of any other rights or remedies provided by law.</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57" w:lineRule="auto"/>
        <w:tabs>
          <w:tab w:leader="none" w:pos="123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Grantor agrees to pay any and all reasonable and documented out of pocket expenses (including all reasonable and documented fees and disbursements of counsel, experts, nominees and agents) that may be paid or incurred by any Secured Party in enforcing, or obtaining advice of counsel or relevant experts in respect of, any rights with respect to, or collecting, any or all of the Obligations and/or enforcing any rights with respect to, or collecting against, such Grantor under this Security Agreement, in each case subject to the limitations on reimbursement of costs and expenses set forth in Sections 6.07 and 14.08 of the Indenture.</w:t>
      </w:r>
    </w:p>
    <w:p>
      <w:pPr>
        <w:spacing w:after="0" w:line="79" w:lineRule="exact"/>
        <w:rPr>
          <w:rFonts w:ascii="Arial" w:cs="Arial" w:eastAsia="Arial" w:hAnsi="Arial"/>
          <w:sz w:val="18"/>
          <w:szCs w:val="18"/>
          <w:color w:val="auto"/>
        </w:rPr>
      </w:pPr>
    </w:p>
    <w:p>
      <w:pPr>
        <w:ind w:right="80" w:firstLine="987"/>
        <w:spacing w:after="0" w:line="279" w:lineRule="auto"/>
        <w:tabs>
          <w:tab w:leader="none" w:pos="124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Each Grantor agrees to pay, and to save the Collateral Agent and the Secured Parties harmless from, any and all liabilities, obligations, losses, damages, penalties, actions, judgments, suits, costs, expenses or disbursements of any kind or nature whatsoever with respect to the execution, delivery, enforcement, performance and administration of this Security Agreement (including enforcing the indemnity obligation set forth herein) to the extent the Guarantors would be required to do so pursuant to Sections 6.07 and 14.08 of the Indenture.</w:t>
      </w:r>
    </w:p>
    <w:p>
      <w:pPr>
        <w:spacing w:after="0" w:line="63" w:lineRule="exact"/>
        <w:rPr>
          <w:rFonts w:ascii="Arial" w:cs="Arial" w:eastAsia="Arial" w:hAnsi="Arial"/>
          <w:sz w:val="17"/>
          <w:szCs w:val="17"/>
          <w:color w:val="auto"/>
        </w:rPr>
      </w:pPr>
    </w:p>
    <w:p>
      <w:pPr>
        <w:ind w:right="200" w:firstLine="987"/>
        <w:spacing w:after="0" w:line="277" w:lineRule="auto"/>
        <w:tabs>
          <w:tab w:leader="none" w:pos="123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The agreements in this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shall survive repayment of the Obligations and all other amounts payable under the Indenture and the other Notes Documents and the resignation or removal of the Collateral Agent.</w:t>
      </w:r>
    </w:p>
    <w:p>
      <w:pPr>
        <w:spacing w:after="0" w:line="62"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provisions of this Security Agreement shall be binding upon and inure to the benefit of the parties hereto and their respective successors and assigns permitted hereby, except that no Grantor may assign, transfer or delegate any of its rights or obligations under this Security Agreement without the prior written consent of the Collateral Agent except pursuant to a transaction permitted by the Indenture.</w:t>
      </w:r>
    </w:p>
    <w:p>
      <w:pPr>
        <w:spacing w:after="0" w:line="41"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Security Agreement. Signatures of the parties hereto transmitted by facsimile or electronic format (i.e., “pdf” or “tif”) shall be deemed to be their original signatures for all purposes.</w:t>
      </w:r>
    </w:p>
    <w:p>
      <w:pPr>
        <w:spacing w:after="0" w:line="8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Security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 faith negotiations to replace the invalid, illegal or unenforceable provisions with valid provisions the economic effect of which comes as close as possible to that of the invalid, illegal or unenforceable provisions.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24" w:name="page425"/>
    <w:bookmarkEnd w:id="42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Security Agreement are for convenience of reference only and are not to affect the construction hereof or be taken into consideration in the interpretation hereof.</w:t>
      </w:r>
    </w:p>
    <w:p>
      <w:pPr>
        <w:spacing w:after="0" w:line="62" w:lineRule="exact"/>
        <w:rPr>
          <w:sz w:val="20"/>
          <w:szCs w:val="20"/>
          <w:color w:val="auto"/>
        </w:rPr>
      </w:pPr>
    </w:p>
    <w:p>
      <w:pPr>
        <w:jc w:val="both"/>
        <w:ind w:right="60" w:firstLine="991"/>
        <w:spacing w:after="0" w:line="286"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Integration</w:t>
      </w:r>
      <w:r>
        <w:rPr>
          <w:rFonts w:ascii="Arial" w:cs="Arial" w:eastAsia="Arial" w:hAnsi="Arial"/>
          <w:sz w:val="17"/>
          <w:szCs w:val="17"/>
          <w:color w:val="auto"/>
        </w:rPr>
        <w:t>. This Security Agreement together with the other Notes Documents represents the agreement of each of the Grantors with respect to the subject matter hereof and there are no promises, undertakings, representations or warranties by the Collateral Agent or any other Secured Party relative to the subject matter hereof not expressly set forth herein or in the other Notes Documents.</w:t>
      </w:r>
    </w:p>
    <w:p>
      <w:pPr>
        <w:spacing w:after="0" w:line="53" w:lineRule="exact"/>
        <w:rPr>
          <w:sz w:val="20"/>
          <w:szCs w:val="20"/>
          <w:color w:val="auto"/>
        </w:rPr>
      </w:pPr>
    </w:p>
    <w:p>
      <w:pPr>
        <w:ind w:right="320" w:firstLine="991"/>
        <w:spacing w:after="0" w:line="266"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SECURITY AGREEMENT AND THE RIGHTS AND OBLIGATIONS OF THE PARTIES HEREUNDER SHALL BE GOVERNED BY, AND CONSTRUED AND INTERPRETED IN ACCORDANCE WITH, THE LAW OF THE STATE OF NEW YORK.</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party hereto hereby irrevocably and unconditionally:</w:t>
      </w:r>
    </w:p>
    <w:p>
      <w:pPr>
        <w:spacing w:after="0" w:line="117" w:lineRule="exact"/>
        <w:rPr>
          <w:sz w:val="20"/>
          <w:szCs w:val="20"/>
          <w:color w:val="auto"/>
        </w:rPr>
      </w:pPr>
    </w:p>
    <w:p>
      <w:pPr>
        <w:ind w:left="440" w:right="20" w:firstLine="419"/>
        <w:spacing w:after="0" w:line="311" w:lineRule="auto"/>
        <w:tabs>
          <w:tab w:leader="none" w:pos="110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Security Agreement and the other Notes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40" w:lineRule="exact"/>
        <w:rPr>
          <w:rFonts w:ascii="Arial" w:cs="Arial" w:eastAsia="Arial" w:hAnsi="Arial"/>
          <w:sz w:val="16"/>
          <w:szCs w:val="16"/>
          <w:color w:val="auto"/>
        </w:rPr>
      </w:pPr>
    </w:p>
    <w:p>
      <w:pPr>
        <w:ind w:left="440" w:right="100" w:firstLine="419"/>
        <w:spacing w:after="0" w:line="259" w:lineRule="auto"/>
        <w:tabs>
          <w:tab w:leader="none" w:pos="111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78" w:lineRule="exact"/>
        <w:rPr>
          <w:rFonts w:ascii="Arial" w:cs="Arial" w:eastAsia="Arial" w:hAnsi="Arial"/>
          <w:sz w:val="18"/>
          <w:szCs w:val="18"/>
          <w:color w:val="auto"/>
        </w:rPr>
      </w:pPr>
    </w:p>
    <w:p>
      <w:pPr>
        <w:ind w:left="440" w:right="20" w:firstLine="419"/>
        <w:spacing w:after="0" w:line="277" w:lineRule="auto"/>
        <w:tabs>
          <w:tab w:leader="none" w:pos="110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any special, exemplary, punitive or consequential damages; and</w:t>
      </w:r>
    </w:p>
    <w:p>
      <w:pPr>
        <w:spacing w:after="0" w:line="62" w:lineRule="exact"/>
        <w:rPr>
          <w:rFonts w:ascii="Arial" w:cs="Arial" w:eastAsia="Arial" w:hAnsi="Arial"/>
          <w:sz w:val="18"/>
          <w:szCs w:val="18"/>
          <w:color w:val="auto"/>
        </w:rPr>
      </w:pPr>
    </w:p>
    <w:p>
      <w:pPr>
        <w:ind w:left="440" w:right="160" w:firstLine="419"/>
        <w:spacing w:after="0" w:line="308" w:lineRule="auto"/>
        <w:tabs>
          <w:tab w:leader="none" w:pos="1118" w:val="left"/>
        </w:tabs>
        <w:numPr>
          <w:ilvl w:val="0"/>
          <w:numId w:val="380"/>
        </w:numPr>
        <w:rPr>
          <w:rFonts w:ascii="Arial" w:cs="Arial" w:eastAsia="Arial" w:hAnsi="Arial"/>
          <w:sz w:val="17"/>
          <w:szCs w:val="17"/>
          <w:color w:val="auto"/>
        </w:rPr>
      </w:pPr>
      <w:r>
        <w:rPr>
          <w:rFonts w:ascii="Arial" w:cs="Arial" w:eastAsia="Arial" w:hAnsi="Arial"/>
          <w:sz w:val="17"/>
          <w:szCs w:val="17"/>
          <w:color w:val="auto"/>
        </w:rPr>
        <w:t>agrees that nothing herein shall affect the right of any other party hereto (or any Secured Party) to effect service of process in any other manner permitted by law or to commence legal proceedings or otherwise proceed against any Grantor in any other jurisdiction.</w:t>
      </w:r>
    </w:p>
    <w:p>
      <w:pPr>
        <w:spacing w:after="0" w:line="14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Each of the Grantors hereby irrevocably and unconditionally agrees that service of process in any such action or proceeding may be effected by mailing a copy thereof by registered or certified mail (or any substantially similar form of mail), postage prepaid, to such Person at its address referred to 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or at such other address of which the Collateral Agent shall have been notified pursuant thereto.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25" w:name="page426"/>
    <w:bookmarkEnd w:id="4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8.13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party hereto hereby acknowledges that:</w:t>
      </w:r>
    </w:p>
    <w:p>
      <w:pPr>
        <w:spacing w:after="0" w:line="117" w:lineRule="exact"/>
        <w:rPr>
          <w:sz w:val="20"/>
          <w:szCs w:val="20"/>
          <w:color w:val="auto"/>
        </w:rPr>
      </w:pPr>
    </w:p>
    <w:p>
      <w:pPr>
        <w:ind w:left="440" w:right="200" w:firstLine="419"/>
        <w:spacing w:after="0" w:line="277" w:lineRule="auto"/>
        <w:tabs>
          <w:tab w:leader="none" w:pos="110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Security Agreement and the other Notes Documents to which it is a party;</w:t>
      </w:r>
    </w:p>
    <w:p>
      <w:pPr>
        <w:spacing w:after="0" w:line="62" w:lineRule="exact"/>
        <w:rPr>
          <w:rFonts w:ascii="Arial" w:cs="Arial" w:eastAsia="Arial" w:hAnsi="Arial"/>
          <w:sz w:val="18"/>
          <w:szCs w:val="18"/>
          <w:color w:val="auto"/>
        </w:rPr>
      </w:pPr>
    </w:p>
    <w:p>
      <w:pPr>
        <w:jc w:val="both"/>
        <w:ind w:left="440" w:right="40" w:firstLine="419"/>
        <w:spacing w:after="0" w:line="311" w:lineRule="auto"/>
        <w:tabs>
          <w:tab w:leader="none" w:pos="1118" w:val="left"/>
        </w:tabs>
        <w:numPr>
          <w:ilvl w:val="0"/>
          <w:numId w:val="381"/>
        </w:numPr>
        <w:rPr>
          <w:rFonts w:ascii="Arial" w:cs="Arial" w:eastAsia="Arial" w:hAnsi="Arial"/>
          <w:sz w:val="16"/>
          <w:szCs w:val="16"/>
          <w:color w:val="auto"/>
        </w:rPr>
      </w:pPr>
      <w:r>
        <w:rPr>
          <w:rFonts w:ascii="Arial" w:cs="Arial" w:eastAsia="Arial" w:hAnsi="Arial"/>
          <w:sz w:val="16"/>
          <w:szCs w:val="16"/>
          <w:color w:val="auto"/>
        </w:rPr>
        <w:t>neither the Collateral Agent nor any other Secured Party has any fiduciary relationship with or duty to any Grantor arising out of or in connection with this Security Agreement or any of the other Notes Documents, and the relationship between the Grantors, on the one hand, and the Collateral Agent and the other Secured Parties, on the other hand, in connection herewith or therewith is solely that of debtor and creditor; and</w:t>
      </w:r>
    </w:p>
    <w:p>
      <w:pPr>
        <w:spacing w:after="0" w:line="40" w:lineRule="exact"/>
        <w:rPr>
          <w:rFonts w:ascii="Arial" w:cs="Arial" w:eastAsia="Arial" w:hAnsi="Arial"/>
          <w:sz w:val="16"/>
          <w:szCs w:val="16"/>
          <w:color w:val="auto"/>
        </w:rPr>
      </w:pPr>
    </w:p>
    <w:p>
      <w:pPr>
        <w:ind w:left="440" w:right="60" w:firstLine="419"/>
        <w:spacing w:after="0" w:line="308" w:lineRule="auto"/>
        <w:tabs>
          <w:tab w:leader="none" w:pos="110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no joint venture is created hereby or by the other Notes Documents or otherwise exists by virtue of the transactions contemplated hereby among the Holders and any other Secured Party or among the Grantors and the Holders and any other Secured Party.</w:t>
      </w:r>
    </w:p>
    <w:p>
      <w:pPr>
        <w:spacing w:after="0" w:line="38"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Additional Grantors</w:t>
      </w:r>
      <w:r>
        <w:rPr>
          <w:rFonts w:ascii="Arial" w:cs="Arial" w:eastAsia="Arial" w:hAnsi="Arial"/>
          <w:sz w:val="18"/>
          <w:szCs w:val="18"/>
          <w:color w:val="auto"/>
        </w:rPr>
        <w:t>. Each Subsidiary that is required to become a party to this Security Agreement pursuant to the Indenture shall become a Grantor, with the same force and effect as if originally named as a Grantor herein, for all purposes of this Security Agreement upon execution and delivery by such Subsidiary of a written supplement substantially in the form of Annex A hereto. The execution and delivery of any instrument adding an additional Grantor as a party to this Security Agreement shall not require the consent of any other Grantor hereunder. The rights and obligations of each Grantor hereunder shall remain in full force and effect notwithstanding the addition of any new Grantor as a party to this Security Agreement.</w:t>
      </w:r>
    </w:p>
    <w:p>
      <w:pPr>
        <w:spacing w:after="0" w:line="80" w:lineRule="exact"/>
        <w:rPr>
          <w:sz w:val="20"/>
          <w:szCs w:val="20"/>
          <w:color w:val="auto"/>
        </w:rPr>
      </w:pPr>
    </w:p>
    <w:p>
      <w:pPr>
        <w:jc w:val="both"/>
        <w:ind w:right="200" w:firstLine="991"/>
        <w:spacing w:after="0" w:line="266" w:lineRule="auto"/>
        <w:rPr>
          <w:sz w:val="20"/>
          <w:szCs w:val="20"/>
          <w:color w:val="auto"/>
        </w:rPr>
      </w:pPr>
      <w:r>
        <w:rPr>
          <w:rFonts w:ascii="Arial" w:cs="Arial" w:eastAsia="Arial" w:hAnsi="Arial"/>
          <w:sz w:val="18"/>
          <w:szCs w:val="18"/>
          <w:b w:val="1"/>
          <w:bCs w:val="1"/>
          <w:color w:val="auto"/>
        </w:rPr>
        <w:t xml:space="preserve">8.15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PARTY HERETO HEREBY IRREVOCABLY AND UNCONDITIONALLY WAIVES (TO THE EXTENT PERMITTED BY APPLICABLE LAW) TRIAL BY JURY IN ANY LEGAL ACTION OR PROCEEDING RELATING TO THIS SECURITY AGREEMENT, ANY OTHER NOTES DOCUMENT AND FOR ANY COUNTERCLAIM THEREIN.</w:t>
      </w:r>
    </w:p>
    <w:p>
      <w:pPr>
        <w:spacing w:after="0" w:line="7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8.16 </w:t>
      </w:r>
      <w:r>
        <w:rPr>
          <w:rFonts w:ascii="Arial" w:cs="Arial" w:eastAsia="Arial" w:hAnsi="Arial"/>
          <w:sz w:val="17"/>
          <w:szCs w:val="17"/>
          <w:u w:val="single" w:color="auto"/>
          <w:color w:val="auto"/>
        </w:rPr>
        <w:t>Collateral Agent Capacity</w:t>
      </w:r>
      <w:r>
        <w:rPr>
          <w:rFonts w:ascii="Arial" w:cs="Arial" w:eastAsia="Arial" w:hAnsi="Arial"/>
          <w:sz w:val="17"/>
          <w:szCs w:val="17"/>
          <w:color w:val="auto"/>
        </w:rPr>
        <w:t xml:space="preserve">. The Bank of New York Mellon Trust Company, N.A., is executing this Security Agreement, not in its individual capacity but solely in its capacity as Collateral Agent under that certain Indenture dated as of November 6, 2020. In acting hereunder, the Collateral Agent shall be entitled to all the rights, powers, protections, immunities, and indemnities afforded to it under the Indenture as if the same were set forth herein, </w:t>
      </w:r>
      <w:r>
        <w:rPr>
          <w:rFonts w:ascii="Arial" w:cs="Arial" w:eastAsia="Arial" w:hAnsi="Arial"/>
          <w:sz w:val="17"/>
          <w:szCs w:val="17"/>
          <w:i w:val="1"/>
          <w:iCs w:val="1"/>
          <w:color w:val="auto"/>
        </w:rPr>
        <w:t>mutatis mutandis</w:t>
      </w:r>
      <w:r>
        <w:rPr>
          <w:rFonts w:ascii="Arial" w:cs="Arial" w:eastAsia="Arial" w:hAnsi="Arial"/>
          <w:sz w:val="17"/>
          <w:szCs w:val="17"/>
          <w:color w:val="auto"/>
        </w:rPr>
        <w:t>. The permissive rights, benefits and powers granted to the Collateral Agent hereunder (including the power to exercise any remedies following an Event of Default) shall not be construed as duties. All discretionary acts hereunder (including the exercise of any remedies) shall be taken by the Collateral Agent pursuant and subject to the terms of the Indenture (including the Collateral Agent’s right to be adequately indemnified and directed). The Collateral Agent shall be entitled to exercise its rights, powers and duties hereunder through agents, experts or designees and shall not be responsible for the acts of any such parties appointed with due care. Notwithstanding anything herein to the contrary, the Collateral Agent shall have no responsibility for preparing, recording, filing, re-recording, or re-filing any financing statement, perfection statement, continuation statement or other instrument in any public office or for otherwise ensuring the perfection or maintenance of any security interest granted pursuant to this Security Agreement, the Indenture or any Note Document.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26" w:name="page427"/>
    <w:bookmarkEnd w:id="42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and delivered by their respective officers thereunto duly authorized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LTD.,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Grantor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Academy Managing Co., L.L.C., its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6"/>
          <w:szCs w:val="16"/>
          <w:color w:val="auto"/>
        </w:rPr>
        <w:t>Title:</w:t>
        <w:tab/>
        <w:t>Senior Vice President and General Counsel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ACADEMY HOLDING COMPANY,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Grantor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6"/>
          <w:szCs w:val="16"/>
          <w:color w:val="auto"/>
        </w:rPr>
        <w:t>Title:</w:t>
        <w:tab/>
        <w:t>Senior Vice President and General Counsel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MANAGING CO.,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Grantor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6"/>
          <w:szCs w:val="16"/>
          <w:color w:val="auto"/>
        </w:rPr>
        <w:t>Title:</w:t>
        <w:tab/>
        <w:t>Senior Vice President and General Counsel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ASSOCIATED INVESTORS,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Grantor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6"/>
          <w:szCs w:val="16"/>
          <w:color w:val="auto"/>
        </w:rPr>
        <w:t>Title:</w:t>
        <w:tab/>
        <w:t>Senior Vice President and General Counsel</w:t>
      </w: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for Notes Security Agreement</w:t>
      </w:r>
      <w:r>
        <w:rPr>
          <w:rFonts w:ascii="Arial" w:cs="Arial" w:eastAsia="Arial" w:hAnsi="Arial"/>
          <w:sz w:val="18"/>
          <w:szCs w:val="18"/>
          <w:color w:val="auto"/>
        </w:rPr>
        <w:t>]</w:t>
      </w:r>
    </w:p>
    <w:p>
      <w:pPr>
        <w:sectPr>
          <w:pgSz w:w="11900" w:h="16838" w:orient="portrait"/>
          <w:cols w:equalWidth="0" w:num="1">
            <w:col w:w="10740"/>
          </w:cols>
          <w:pgMar w:left="440" w:top="274" w:right="719"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 TRUST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COMPANY, N.A., as the Collateral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for Notes Security Agreement</w:t>
      </w:r>
      <w:r>
        <w:rPr>
          <w:rFonts w:ascii="Arial" w:cs="Arial" w:eastAsia="Arial" w:hAnsi="Arial"/>
          <w:sz w:val="16"/>
          <w:szCs w:val="16"/>
          <w:color w:val="auto"/>
        </w:rPr>
        <w:t>]</w:t>
      </w:r>
    </w:p>
    <w:p>
      <w:pPr>
        <w:sectPr>
          <w:pgSz w:w="11900" w:h="16838" w:orient="portrait"/>
          <w:cols w:equalWidth="0" w:num="1">
            <w:col w:w="9200"/>
          </w:cols>
          <w:pgMar w:left="1440" w:top="274" w:right="125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PLEDGE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PLEDGE AGREEMENT, dated as of November 6, 2020 (as the same may be amended, restated, supplemented or otherwise modified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time to time, this “</w:t>
      </w:r>
      <w:r>
        <w:rPr>
          <w:rFonts w:ascii="Arial" w:cs="Arial" w:eastAsia="Arial" w:hAnsi="Arial"/>
          <w:sz w:val="17"/>
          <w:szCs w:val="17"/>
          <w:u w:val="single" w:color="auto"/>
          <w:color w:val="auto"/>
        </w:rPr>
        <w:t>Pledge Agreement</w:t>
      </w:r>
      <w:r>
        <w:rPr>
          <w:rFonts w:ascii="Arial" w:cs="Arial" w:eastAsia="Arial" w:hAnsi="Arial"/>
          <w:sz w:val="17"/>
          <w:szCs w:val="17"/>
          <w:color w:val="auto"/>
        </w:rPr>
        <w:t>”), among Academy, Ltd., a Texas limited partnership (the “</w:t>
      </w:r>
      <w:r>
        <w:rPr>
          <w:rFonts w:ascii="Arial" w:cs="Arial" w:eastAsia="Arial" w:hAnsi="Arial"/>
          <w:sz w:val="17"/>
          <w:szCs w:val="17"/>
          <w:u w:val="single" w:color="auto"/>
          <w:color w:val="auto"/>
        </w:rPr>
        <w:t>Issuer</w:t>
      </w:r>
      <w:r>
        <w:rPr>
          <w:rFonts w:ascii="Arial" w:cs="Arial" w:eastAsia="Arial" w:hAnsi="Arial"/>
          <w:sz w:val="17"/>
          <w:szCs w:val="17"/>
          <w:color w:val="auto"/>
        </w:rPr>
        <w:t>”), each of the entities listed on the signature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pages hereto or that becomes a party hereto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hereof (each such entity being a “</w:t>
      </w:r>
      <w:r>
        <w:rPr>
          <w:rFonts w:ascii="Arial" w:cs="Arial" w:eastAsia="Arial" w:hAnsi="Arial"/>
          <w:sz w:val="17"/>
          <w:szCs w:val="17"/>
          <w:u w:val="single" w:color="auto"/>
          <w:color w:val="auto"/>
        </w:rPr>
        <w:t>Guarantor Pledgor</w:t>
      </w:r>
      <w:r>
        <w:rPr>
          <w:rFonts w:ascii="Arial" w:cs="Arial" w:eastAsia="Arial" w:hAnsi="Arial"/>
          <w:sz w:val="17"/>
          <w:szCs w:val="17"/>
          <w:color w:val="auto"/>
        </w:rPr>
        <w:t>” and,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 Pledgors</w:t>
      </w:r>
      <w:r>
        <w:rPr>
          <w:rFonts w:ascii="Arial" w:cs="Arial" w:eastAsia="Arial" w:hAnsi="Arial"/>
          <w:sz w:val="16"/>
          <w:szCs w:val="16"/>
          <w:color w:val="auto"/>
        </w:rPr>
        <w:t>”), and The Bank of New York Mellon Trust Company, N.A., not in its individual capacity but solely as collateral agent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 (as defined below)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for the benefit of the Secured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Issuer and each of the Guarantor Pledgors are party to the Indenture, dated as of the date hereof (as the same may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among the Issuer, the Guarantor Pledgors, and The Bank of New York Mellon Trust Company, N.A., as trustee (in such capacity, the “</w:t>
      </w:r>
      <w:r>
        <w:rPr>
          <w:rFonts w:ascii="Arial" w:cs="Arial" w:eastAsia="Arial" w:hAnsi="Arial"/>
          <w:sz w:val="18"/>
          <w:szCs w:val="18"/>
          <w:u w:val="single" w:color="auto"/>
          <w:color w:val="auto"/>
        </w:rPr>
        <w:t>Trustee</w:t>
      </w:r>
      <w:r>
        <w:rPr>
          <w:rFonts w:ascii="Arial" w:cs="Arial" w:eastAsia="Arial" w:hAnsi="Arial"/>
          <w:sz w:val="18"/>
          <w:szCs w:val="18"/>
          <w:color w:val="auto"/>
        </w:rPr>
        <w:t>”) and as Collateral Agent, pursuant to which the Issuer issued $400,000,000 aggregate principal amount of its 6.000% Senior Secured Notes due 2027 (the “</w:t>
      </w:r>
      <w:r>
        <w:rPr>
          <w:rFonts w:ascii="Arial" w:cs="Arial" w:eastAsia="Arial" w:hAnsi="Arial"/>
          <w:sz w:val="18"/>
          <w:szCs w:val="18"/>
          <w:u w:val="single" w:color="auto"/>
          <w:color w:val="auto"/>
        </w:rPr>
        <w:t>Notes</w:t>
      </w:r>
      <w:r>
        <w:rPr>
          <w:rFonts w:ascii="Arial" w:cs="Arial" w:eastAsia="Arial" w:hAnsi="Arial"/>
          <w:sz w:val="18"/>
          <w:szCs w:val="18"/>
          <w:color w:val="auto"/>
        </w:rPr>
        <w:t>”), and may from time to time issue additional Notes upon the terms and subject to the conditions set forth therein;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Indenture, each of the Guarantor Pledgors has agreed to unconditionally and irrevocably guarantee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Guarantees</w:t>
      </w:r>
      <w:r>
        <w:rPr>
          <w:rFonts w:ascii="Arial" w:cs="Arial" w:eastAsia="Arial" w:hAnsi="Arial"/>
          <w:sz w:val="17"/>
          <w:szCs w:val="17"/>
          <w:color w:val="auto"/>
        </w:rPr>
        <w:t>”), as primary obligor and not merely as surety, the prompt and complete payment and performance when due (whether at the stated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maturity, by acceleration or otherwise) of the Obligations;</w:t>
      </w:r>
    </w:p>
    <w:p>
      <w:pPr>
        <w:spacing w:after="0" w:line="207"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ABL Intercreditor Agreement, dated as of July 2, 2015, and the joinder, dated as of the date hereof, among,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alios</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the Term Loan Collateral Agent and the ABL Collateral Agent (as amended, restated, supplemented or otherwise modified from time to time, the “</w:t>
      </w:r>
      <w:r>
        <w:rPr>
          <w:rFonts w:ascii="Arial" w:cs="Arial" w:eastAsia="Arial" w:hAnsi="Arial"/>
          <w:sz w:val="18"/>
          <w:szCs w:val="18"/>
          <w:u w:val="single" w:color="auto"/>
          <w:color w:val="auto"/>
        </w:rPr>
        <w:t>ABL Intercreditor Agreement</w:t>
      </w:r>
      <w:r>
        <w:rPr>
          <w:rFonts w:ascii="Arial" w:cs="Arial" w:eastAsia="Arial" w:hAnsi="Arial"/>
          <w:sz w:val="18"/>
          <w:szCs w:val="18"/>
          <w:color w:val="auto"/>
        </w:rPr>
        <w:t>”) governs the relative rights and priorities of the Term Loan Secured Parties (as defined therein), the ABL Secured Parties (as defined therein) and Additional Debt Secured Parties (as defined therein) in respect of the Collateral and the ABL Priority Collateral (and with respect to certain other matters as described therein);</w:t>
      </w:r>
    </w:p>
    <w:p>
      <w:pPr>
        <w:spacing w:after="0" w:line="183"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First Lien Intercreditor Agreement, dated as of the date hereof, between,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alios</w:t>
      </w:r>
      <w:r>
        <w:rPr>
          <w:rFonts w:ascii="Arial" w:cs="Arial" w:eastAsia="Arial" w:hAnsi="Arial"/>
          <w:sz w:val="18"/>
          <w:szCs w:val="18"/>
          <w:color w:val="auto"/>
        </w:rPr>
        <w:t>, the Collateral Agent and the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(as amended, restated, supplemented or otherwise modified from time to time, the “</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governs the relative rights and priorities of the First Lien Secured Parties (as defined therein) in respect of the Collateral (and with respect to certain other matters as described therein);</w:t>
      </w:r>
    </w:p>
    <w:p>
      <w:pPr>
        <w:spacing w:after="0" w:line="180"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proceeds of the Notes will be used in part to enable the Issuer to make valuable transfers to the other Pledgors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operation of their respective businesses;</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each Pledgor acknowledges that it will derive substantial direct and indirect benefit from the sale and issuance of the Notes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Guarantees;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29" w:name="page430"/>
    <w:bookmarkEnd w:id="429"/>
    <w:p>
      <w:pPr>
        <w:ind w:right="140"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WHEREAS, </w:t>
      </w:r>
      <w:r>
        <w:rPr>
          <w:rFonts w:ascii="Arial" w:cs="Arial" w:eastAsia="Arial" w:hAnsi="Arial"/>
          <w:sz w:val="17"/>
          <w:szCs w:val="17"/>
          <w:color w:val="auto"/>
        </w:rPr>
        <w:t>as of the date hereof, (a) the Pledgors are the legal and beneficial owners of the Equity Interests described in Schedule 1 hereto and</w:t>
      </w:r>
      <w:r>
        <w:rPr>
          <w:rFonts w:ascii="Arial" w:cs="Arial" w:eastAsia="Arial" w:hAnsi="Arial"/>
          <w:sz w:val="17"/>
          <w:szCs w:val="17"/>
          <w:b w:val="1"/>
          <w:bCs w:val="1"/>
          <w:color w:val="auto"/>
        </w:rPr>
        <w:t xml:space="preserve"> </w:t>
      </w:r>
      <w:r>
        <w:rPr>
          <w:rFonts w:ascii="Arial" w:cs="Arial" w:eastAsia="Arial" w:hAnsi="Arial"/>
          <w:sz w:val="17"/>
          <w:szCs w:val="17"/>
          <w:color w:val="auto"/>
        </w:rPr>
        <w:t>issued by the entities named therein (such Equity Interests, together with any Equity Interests of the issuer of such Equity Interests or any other issuer directly held by any Pledgor hereafter, in each case, except to the extent excluded from the Collateral for the Obligations pursuant to the last paragraph of Section 2 below, referred to collectively herein as the “</w:t>
      </w:r>
      <w:r>
        <w:rPr>
          <w:rFonts w:ascii="Arial" w:cs="Arial" w:eastAsia="Arial" w:hAnsi="Arial"/>
          <w:sz w:val="17"/>
          <w:szCs w:val="17"/>
          <w:u w:val="single" w:color="auto"/>
          <w:color w:val="auto"/>
        </w:rPr>
        <w:t>Pledged Shares</w:t>
      </w:r>
      <w:r>
        <w:rPr>
          <w:rFonts w:ascii="Arial" w:cs="Arial" w:eastAsia="Arial" w:hAnsi="Arial"/>
          <w:sz w:val="17"/>
          <w:szCs w:val="17"/>
          <w:color w:val="auto"/>
        </w:rPr>
        <w:t>”) and (b) each of the Pledgors is the legal and beneficial owner of the Indebtedness evidenced by a promissory note in excess of the greater of (a) $45,000,000 and (b) 10% of Consolidated EBITDA of the Issuer for the Applicable Measurement Period and described in Schedule 1 hereto (together with any other Indebtedness owed to any Pledgor on the date hereof and any time hereafter, including the promissory notes required to be pledged pursuant to Section 14.10 of the Indenture, referred to collectively herein as the “</w:t>
      </w:r>
      <w:r>
        <w:rPr>
          <w:rFonts w:ascii="Arial" w:cs="Arial" w:eastAsia="Arial" w:hAnsi="Arial"/>
          <w:sz w:val="17"/>
          <w:szCs w:val="17"/>
          <w:u w:val="single" w:color="auto"/>
          <w:color w:val="auto"/>
        </w:rPr>
        <w:t>Pledged Debt</w:t>
      </w:r>
      <w:r>
        <w:rPr>
          <w:rFonts w:ascii="Arial" w:cs="Arial" w:eastAsia="Arial" w:hAnsi="Arial"/>
          <w:sz w:val="17"/>
          <w:szCs w:val="17"/>
          <w:color w:val="auto"/>
        </w:rPr>
        <w:t>”).</w:t>
      </w:r>
    </w:p>
    <w:p>
      <w:pPr>
        <w:spacing w:after="0" w:line="172" w:lineRule="exact"/>
        <w:rPr>
          <w:sz w:val="20"/>
          <w:szCs w:val="20"/>
          <w:color w:val="auto"/>
        </w:rPr>
      </w:pPr>
    </w:p>
    <w:p>
      <w:pPr>
        <w:ind w:right="480" w:firstLine="440"/>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to induce the Trustee and the Collateral Agent to enter into the Indenture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induce the Holders to purchase and hold the Notes, the Pledgors hereby agree with the Collateral Agent, for the benefit of the Secured Parties, as follows:</w:t>
      </w:r>
    </w:p>
    <w:p>
      <w:pPr>
        <w:spacing w:after="0" w:line="72" w:lineRule="exact"/>
        <w:rPr>
          <w:sz w:val="20"/>
          <w:szCs w:val="20"/>
          <w:color w:val="auto"/>
        </w:rPr>
      </w:pPr>
    </w:p>
    <w:p>
      <w:pPr>
        <w:ind w:left="620" w:hanging="184"/>
        <w:spacing w:after="0"/>
        <w:tabs>
          <w:tab w:leader="none" w:pos="62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308" w:lineRule="auto"/>
        <w:tabs>
          <w:tab w:leader="none" w:pos="1236" w:val="left"/>
        </w:tabs>
        <w:numPr>
          <w:ilvl w:val="1"/>
          <w:numId w:val="382"/>
        </w:numPr>
        <w:rPr>
          <w:rFonts w:ascii="Arial" w:cs="Arial" w:eastAsia="Arial" w:hAnsi="Arial"/>
          <w:sz w:val="17"/>
          <w:szCs w:val="17"/>
          <w:color w:val="auto"/>
        </w:rPr>
      </w:pPr>
      <w:r>
        <w:rPr>
          <w:rFonts w:ascii="Arial" w:cs="Arial" w:eastAsia="Arial" w:hAnsi="Arial"/>
          <w:sz w:val="17"/>
          <w:szCs w:val="17"/>
          <w:color w:val="auto"/>
        </w:rPr>
        <w:t>Unless otherwise defined herein, terms defined in the Indenture and used herein shall have the meanings given to them in the Indenture. Any term used herein or in the Indenture without definition that is defined in the UCC has the meaning given to it in the UCC.</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shall have the meaning assigned that term in the ABL Intercreditor Agreement.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have the meaning provided in the preamble hereto.</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shall mean, collectively, Capital Stock and Stock Equivalents.</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shall have the meaning assigned to that term in the Security Agreement.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shall have the meaning provided in the recitals hereto.</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Pledgor</w:t>
      </w:r>
      <w:r>
        <w:rPr>
          <w:rFonts w:ascii="Arial" w:cs="Arial" w:eastAsia="Arial" w:hAnsi="Arial"/>
          <w:sz w:val="18"/>
          <w:szCs w:val="18"/>
          <w:color w:val="auto"/>
        </w:rPr>
        <w:t>” shall have the meaning provided in the recitals hereto.</w:t>
      </w:r>
    </w:p>
    <w:p>
      <w:pPr>
        <w:spacing w:after="0" w:line="117" w:lineRule="exact"/>
        <w:rPr>
          <w:rFonts w:ascii="Arial" w:cs="Arial" w:eastAsia="Arial" w:hAnsi="Arial"/>
          <w:sz w:val="18"/>
          <w:szCs w:val="18"/>
          <w:color w:val="auto"/>
        </w:rPr>
      </w:pPr>
    </w:p>
    <w:p>
      <w:pPr>
        <w:ind w:right="420" w:firstLine="987"/>
        <w:spacing w:after="0" w:line="263" w:lineRule="auto"/>
        <w:tabs>
          <w:tab w:leader="none" w:pos="120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the ABL Intercreditor Agreement, the First Lien Intercreditor Agreement and/or, if executed, the Junior Lien Intercreditor Agreement and/or, as the context may require (each, an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Intercreditor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40" w:firstLine="987"/>
        <w:spacing w:after="0" w:line="277" w:lineRule="auto"/>
        <w:tabs>
          <w:tab w:leader="none" w:pos="120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Documents</w:t>
      </w:r>
      <w:r>
        <w:rPr>
          <w:rFonts w:ascii="Arial" w:cs="Arial" w:eastAsia="Arial" w:hAnsi="Arial"/>
          <w:sz w:val="18"/>
          <w:szCs w:val="18"/>
          <w:color w:val="auto"/>
        </w:rPr>
        <w:t>” shall mean the collective reference to the Indenture, the Notes, the Guarantee and the Security Documents (as defined in the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430" w:name="page431"/>
    <w:bookmarkEnd w:id="430"/>
    <w:p>
      <w:pPr>
        <w:ind w:left="1200" w:hanging="253"/>
        <w:spacing w:after="0"/>
        <w:tabs>
          <w:tab w:leader="none" w:pos="12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Obligation</w:t>
      </w:r>
      <w:r>
        <w:rPr>
          <w:rFonts w:ascii="Arial" w:cs="Arial" w:eastAsia="Arial" w:hAnsi="Arial"/>
          <w:sz w:val="18"/>
          <w:szCs w:val="18"/>
          <w:color w:val="auto"/>
        </w:rPr>
        <w:t>s” shall mean the Notes Obligations (as defined in the Indenture).</w:t>
      </w:r>
    </w:p>
    <w:p>
      <w:pPr>
        <w:spacing w:after="0" w:line="117" w:lineRule="exact"/>
        <w:rPr>
          <w:rFonts w:ascii="Arial" w:cs="Arial" w:eastAsia="Arial" w:hAnsi="Arial"/>
          <w:sz w:val="18"/>
          <w:szCs w:val="18"/>
          <w:color w:val="auto"/>
        </w:rPr>
      </w:pPr>
    </w:p>
    <w:p>
      <w:pPr>
        <w:ind w:left="1160" w:hanging="213"/>
        <w:spacing w:after="0"/>
        <w:tabs>
          <w:tab w:leader="none" w:pos="116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shall have the meaning provided in the preamble hereto.</w:t>
      </w:r>
    </w:p>
    <w:p>
      <w:pPr>
        <w:spacing w:after="0" w:line="117" w:lineRule="exact"/>
        <w:rPr>
          <w:rFonts w:ascii="Arial" w:cs="Arial" w:eastAsia="Arial" w:hAnsi="Arial"/>
          <w:sz w:val="18"/>
          <w:szCs w:val="18"/>
          <w:color w:val="auto"/>
        </w:rPr>
      </w:pPr>
    </w:p>
    <w:p>
      <w:pPr>
        <w:ind w:left="1260" w:hanging="313"/>
        <w:spacing w:after="0"/>
        <w:tabs>
          <w:tab w:leader="none" w:pos="126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Debt</w:t>
      </w:r>
      <w:r>
        <w:rPr>
          <w:rFonts w:ascii="Arial" w:cs="Arial" w:eastAsia="Arial" w:hAnsi="Arial"/>
          <w:sz w:val="18"/>
          <w:szCs w:val="18"/>
          <w:color w:val="auto"/>
        </w:rPr>
        <w:t>” shall have the meaning provided in the recitals hereto.</w:t>
      </w:r>
    </w:p>
    <w:p>
      <w:pPr>
        <w:spacing w:after="0" w:line="117" w:lineRule="exact"/>
        <w:rPr>
          <w:rFonts w:ascii="Arial" w:cs="Arial" w:eastAsia="Arial" w:hAnsi="Arial"/>
          <w:sz w:val="18"/>
          <w:szCs w:val="18"/>
          <w:color w:val="auto"/>
        </w:rPr>
      </w:pPr>
    </w:p>
    <w:p>
      <w:pPr>
        <w:ind w:left="1200" w:hanging="253"/>
        <w:spacing w:after="0"/>
        <w:tabs>
          <w:tab w:leader="none" w:pos="12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Shares</w:t>
      </w:r>
      <w:r>
        <w:rPr>
          <w:rFonts w:ascii="Arial" w:cs="Arial" w:eastAsia="Arial" w:hAnsi="Arial"/>
          <w:sz w:val="18"/>
          <w:szCs w:val="18"/>
          <w:color w:val="auto"/>
        </w:rPr>
        <w:t>” shall have the meaning provided in the recitals hereto.</w:t>
      </w:r>
    </w:p>
    <w:p>
      <w:pPr>
        <w:spacing w:after="0" w:line="117" w:lineRule="exact"/>
        <w:rPr>
          <w:rFonts w:ascii="Arial" w:cs="Arial" w:eastAsia="Arial" w:hAnsi="Arial"/>
          <w:sz w:val="18"/>
          <w:szCs w:val="18"/>
          <w:color w:val="auto"/>
        </w:rPr>
      </w:pPr>
    </w:p>
    <w:p>
      <w:pPr>
        <w:ind w:left="1200" w:hanging="253"/>
        <w:spacing w:after="0"/>
        <w:tabs>
          <w:tab w:leader="none" w:pos="12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Pledgors</w:t>
      </w:r>
      <w:r>
        <w:rPr>
          <w:rFonts w:ascii="Arial" w:cs="Arial" w:eastAsia="Arial" w:hAnsi="Arial"/>
          <w:sz w:val="18"/>
          <w:szCs w:val="18"/>
          <w:color w:val="auto"/>
        </w:rPr>
        <w:t>” shall mean the Issuer and the Guarantor Pledgors.</w:t>
      </w:r>
    </w:p>
    <w:p>
      <w:pPr>
        <w:spacing w:after="0" w:line="117" w:lineRule="exact"/>
        <w:rPr>
          <w:rFonts w:ascii="Arial" w:cs="Arial" w:eastAsia="Arial" w:hAnsi="Arial"/>
          <w:sz w:val="18"/>
          <w:szCs w:val="18"/>
          <w:color w:val="auto"/>
        </w:rPr>
      </w:pPr>
    </w:p>
    <w:p>
      <w:pPr>
        <w:ind w:left="1200" w:hanging="253"/>
        <w:spacing w:after="0"/>
        <w:tabs>
          <w:tab w:leader="none" w:pos="12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has the meaning given to it in the UCC.</w:t>
      </w:r>
    </w:p>
    <w:p>
      <w:pPr>
        <w:spacing w:after="0" w:line="117" w:lineRule="exact"/>
        <w:rPr>
          <w:rFonts w:ascii="Arial" w:cs="Arial" w:eastAsia="Arial" w:hAnsi="Arial"/>
          <w:sz w:val="18"/>
          <w:szCs w:val="18"/>
          <w:color w:val="auto"/>
        </w:rPr>
      </w:pPr>
    </w:p>
    <w:p>
      <w:pPr>
        <w:ind w:left="1200" w:hanging="253"/>
        <w:spacing w:after="0"/>
        <w:tabs>
          <w:tab w:leader="none" w:pos="12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the “Notes Secured Parties” as defined in the Indenture.</w:t>
      </w:r>
    </w:p>
    <w:p>
      <w:pPr>
        <w:spacing w:after="0" w:line="117" w:lineRule="exact"/>
        <w:rPr>
          <w:rFonts w:ascii="Arial" w:cs="Arial" w:eastAsia="Arial" w:hAnsi="Arial"/>
          <w:sz w:val="18"/>
          <w:szCs w:val="18"/>
          <w:color w:val="auto"/>
        </w:rPr>
      </w:pPr>
    </w:p>
    <w:p>
      <w:pPr>
        <w:ind w:left="-40" w:right="40" w:firstLine="987"/>
        <w:spacing w:after="0" w:line="311" w:lineRule="auto"/>
        <w:tabs>
          <w:tab w:leader="none" w:pos="1176" w:val="left"/>
        </w:tabs>
        <w:numPr>
          <w:ilvl w:val="1"/>
          <w:numId w:val="3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that certain security agreement dated as of November 6, 2020, by and among the Issuer, each of the other Grantors (defined therein) from time to time party thereto, each of the other parties thereto and the Collateral Agent for the benefit of itself and the Secured Parties as defined therein (together with all amendments and modifications, if any, from time to time thereafter made thereto).</w:t>
      </w:r>
    </w:p>
    <w:p>
      <w:pPr>
        <w:spacing w:after="0" w:line="40" w:lineRule="exact"/>
        <w:rPr>
          <w:rFonts w:ascii="Arial" w:cs="Arial" w:eastAsia="Arial" w:hAnsi="Arial"/>
          <w:sz w:val="16"/>
          <w:szCs w:val="16"/>
          <w:color w:val="auto"/>
        </w:rPr>
      </w:pPr>
    </w:p>
    <w:p>
      <w:pPr>
        <w:ind w:left="1180" w:hanging="233"/>
        <w:spacing w:after="0"/>
        <w:tabs>
          <w:tab w:leader="none" w:pos="118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13"/>
        <w:spacing w:after="0"/>
        <w:tabs>
          <w:tab w:leader="none" w:pos="116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0" w:firstLine="987"/>
        <w:spacing w:after="0" w:line="296" w:lineRule="auto"/>
        <w:tabs>
          <w:tab w:leader="none" w:pos="1206" w:val="left"/>
        </w:tabs>
        <w:numPr>
          <w:ilvl w:val="1"/>
          <w:numId w:val="3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xml:space="preserve">” shall mean the Uniform Commercial Code or any successor provision thereof as the same may from time to time be in effect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by reason of mandatory provisions of law, any of the attachment, perfection or priority of the Collateral Agent’s and the Secured Parties’ security interest in any Collateral is governed by the Uniform Commercial Code as in effect in a jurisdiction other than the State of New York, the term “</w:t>
      </w:r>
      <w:r>
        <w:rPr>
          <w:rFonts w:ascii="Arial" w:cs="Arial" w:eastAsia="Arial" w:hAnsi="Arial"/>
          <w:sz w:val="16"/>
          <w:szCs w:val="16"/>
          <w:u w:val="single" w:color="auto"/>
          <w:color w:val="auto"/>
        </w:rPr>
        <w:t>UCC</w:t>
      </w:r>
      <w:r>
        <w:rPr>
          <w:rFonts w:ascii="Arial" w:cs="Arial" w:eastAsia="Arial" w:hAnsi="Arial"/>
          <w:sz w:val="16"/>
          <w:szCs w:val="16"/>
          <w:color w:val="auto"/>
        </w:rPr>
        <w:t>” shall mean the Uniform Commercial Code as in effect in such other jurisdiction for purposes of the provisions hereof relating to such attachment, perfection or priority and for purposes of definitions related to such provisions.</w:t>
      </w:r>
    </w:p>
    <w:p>
      <w:pPr>
        <w:spacing w:after="0" w:line="53" w:lineRule="exact"/>
        <w:rPr>
          <w:rFonts w:ascii="Arial" w:cs="Arial" w:eastAsia="Arial" w:hAnsi="Arial"/>
          <w:sz w:val="16"/>
          <w:szCs w:val="16"/>
          <w:color w:val="auto"/>
        </w:rPr>
      </w:pPr>
    </w:p>
    <w:p>
      <w:pPr>
        <w:ind w:left="1200" w:hanging="253"/>
        <w:spacing w:after="0"/>
        <w:tabs>
          <w:tab w:leader="none" w:pos="12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Sections 1.01, 1.13 and 1.14 of the Indenture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120" w:firstLine="436"/>
        <w:spacing w:after="0" w:line="279" w:lineRule="auto"/>
        <w:tabs>
          <w:tab w:leader="none" w:pos="580"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Grant of Security</w:t>
      </w:r>
      <w:r>
        <w:rPr>
          <w:rFonts w:ascii="Arial" w:cs="Arial" w:eastAsia="Arial" w:hAnsi="Arial"/>
          <w:sz w:val="17"/>
          <w:szCs w:val="17"/>
          <w:color w:val="auto"/>
        </w:rPr>
        <w:t>. As collateral security for the payment and performance when due of all of the Obligations, each Pledgor hereby collaterally assigns and pledges to the Collateral Agent, for the benefit of the Secured Parties, and grants to the Collateral Agent, for the benefit of the Secured Parties, a lien on and a security interest in (the “</w:t>
      </w:r>
      <w:r>
        <w:rPr>
          <w:rFonts w:ascii="Arial" w:cs="Arial" w:eastAsia="Arial" w:hAnsi="Arial"/>
          <w:sz w:val="17"/>
          <w:szCs w:val="17"/>
          <w:u w:val="single" w:color="auto"/>
          <w:color w:val="auto"/>
        </w:rPr>
        <w:t>Security Interest</w:t>
      </w:r>
      <w:r>
        <w:rPr>
          <w:rFonts w:ascii="Arial" w:cs="Arial" w:eastAsia="Arial" w:hAnsi="Arial"/>
          <w:sz w:val="17"/>
          <w:szCs w:val="17"/>
          <w:color w:val="auto"/>
        </w:rPr>
        <w:t>”) all of such Pledgor’s right, title and interest in, to and under the following, whether now owned or existing or at any time hereafter acquired or existing (collectively, the “</w:t>
      </w:r>
      <w:r>
        <w:rPr>
          <w:rFonts w:ascii="Arial" w:cs="Arial" w:eastAsia="Arial" w:hAnsi="Arial"/>
          <w:sz w:val="17"/>
          <w:szCs w:val="17"/>
          <w:u w:val="single" w:color="auto"/>
          <w:color w:val="auto"/>
        </w:rPr>
        <w:t>Collateral</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4" w:right="499" w:bottom="1440" w:gutter="0" w:footer="0" w:header="0"/>
        </w:sectPr>
      </w:pPr>
    </w:p>
    <w:bookmarkStart w:id="431" w:name="page432"/>
    <w:bookmarkEnd w:id="431"/>
    <w:p>
      <w:pPr>
        <w:ind w:left="4" w:right="60" w:firstLine="987"/>
        <w:spacing w:after="0" w:line="259" w:lineRule="auto"/>
        <w:tabs>
          <w:tab w:leader="none" w:pos="12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Pledged Shares held by such Pledgor and the certificates representing such Pledged Shares and any interest of such Pledgor in the entries on the books of the issuer of the Pledged Shares or any financial intermediary pertaining to the Pledged Shares and all dividends, cash, warrants, rights, instruments and other property or Proceeds from time to time received, receivable or otherwise distributed in respect of or in exchange for any or all of the Pledged Shares;</w:t>
      </w:r>
    </w:p>
    <w:p>
      <w:pPr>
        <w:spacing w:after="0" w:line="78" w:lineRule="exact"/>
        <w:rPr>
          <w:rFonts w:ascii="Arial" w:cs="Arial" w:eastAsia="Arial" w:hAnsi="Arial"/>
          <w:sz w:val="18"/>
          <w:szCs w:val="18"/>
          <w:color w:val="auto"/>
        </w:rPr>
      </w:pPr>
    </w:p>
    <w:p>
      <w:pPr>
        <w:ind w:left="4" w:firstLine="987"/>
        <w:spacing w:after="0" w:line="342" w:lineRule="auto"/>
        <w:tabs>
          <w:tab w:leader="none" w:pos="125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Pledged Debt and the instruments evidencing the Pledged Debt owed to such Pledgor, and all interest, cash, instruments and other property or Proceeds from time to time received, receivable or otherwise distributed in respect of or in exchange for any or all of such Pledged Debt; and</w:t>
      </w:r>
    </w:p>
    <w:p>
      <w:pPr>
        <w:spacing w:after="0" w:line="15" w:lineRule="exact"/>
        <w:rPr>
          <w:rFonts w:ascii="Arial" w:cs="Arial" w:eastAsia="Arial" w:hAnsi="Arial"/>
          <w:sz w:val="16"/>
          <w:szCs w:val="16"/>
          <w:color w:val="auto"/>
        </w:rPr>
      </w:pPr>
    </w:p>
    <w:p>
      <w:pPr>
        <w:ind w:left="1244" w:hanging="253"/>
        <w:spacing w:after="0"/>
        <w:tabs>
          <w:tab w:leader="none" w:pos="124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to the extent not covered by clauses (a) and (b) above, respectively, all Proceeds of any or all of the foregoing Collateral.</w:t>
      </w:r>
    </w:p>
    <w:p>
      <w:pPr>
        <w:spacing w:after="0" w:line="117"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Notwithstanding the foregoing, the Collateral (and any defined term used in the definition thereof) for the Obligations shall not include any Excluded Stock and Stock Equivalents or any Excluded Assets.</w:t>
      </w:r>
    </w:p>
    <w:p>
      <w:pPr>
        <w:spacing w:after="0" w:line="62" w:lineRule="exact"/>
        <w:rPr>
          <w:sz w:val="20"/>
          <w:szCs w:val="20"/>
          <w:color w:val="auto"/>
        </w:rPr>
      </w:pPr>
    </w:p>
    <w:p>
      <w:pPr>
        <w:ind w:left="624" w:hanging="184"/>
        <w:spacing w:after="0"/>
        <w:tabs>
          <w:tab w:leader="none" w:pos="624" w:val="left"/>
        </w:tabs>
        <w:numPr>
          <w:ilvl w:val="1"/>
          <w:numId w:val="386"/>
        </w:numPr>
        <w:rPr>
          <w:rFonts w:ascii="Arial" w:cs="Arial" w:eastAsia="Arial" w:hAnsi="Arial"/>
          <w:sz w:val="16"/>
          <w:szCs w:val="16"/>
          <w:color w:val="auto"/>
        </w:rPr>
      </w:pPr>
      <w:r>
        <w:rPr>
          <w:rFonts w:ascii="Arial" w:cs="Arial" w:eastAsia="Arial" w:hAnsi="Arial"/>
          <w:sz w:val="16"/>
          <w:szCs w:val="16"/>
          <w:u w:val="single" w:color="auto"/>
          <w:color w:val="auto"/>
        </w:rPr>
        <w:t>Delivery of the Collateral</w:t>
      </w:r>
      <w:r>
        <w:rPr>
          <w:rFonts w:ascii="Arial" w:cs="Arial" w:eastAsia="Arial" w:hAnsi="Arial"/>
          <w:sz w:val="16"/>
          <w:szCs w:val="16"/>
          <w:color w:val="auto"/>
        </w:rPr>
        <w:t>. Subject to Section 25 hereof, all certificates or instruments, if any, representing or evidencing the Collateral shall be</w:t>
      </w:r>
    </w:p>
    <w:p>
      <w:pPr>
        <w:spacing w:after="0" w:line="46" w:lineRule="exact"/>
        <w:rPr>
          <w:rFonts w:ascii="Arial" w:cs="Arial" w:eastAsia="Arial" w:hAnsi="Arial"/>
          <w:sz w:val="16"/>
          <w:szCs w:val="16"/>
          <w:color w:val="auto"/>
        </w:rPr>
      </w:pPr>
    </w:p>
    <w:p>
      <w:pPr>
        <w:ind w:left="4" w:hanging="4"/>
        <w:spacing w:after="0" w:line="288" w:lineRule="auto"/>
        <w:tabs>
          <w:tab w:leader="none" w:pos="249"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in the case of such Collateral existing as of the date hereof, delivered on the date hereof and (b) in the case of such Collateral acquired after the date hereof, promptly (and in any event within 90 days of the acquisition thereof (or such longer period as the Collateral Agent (or its bailee) may reasonably agree)), delivered by the applicable Pledgor to and held by or on behalf of the Collateral Agent (or its bailee) pursuant hereto and shall be in suitable form for transfer by delivery, or shall be accompanied by duly executed instruments of transfer or assignment in blank, all in form and substance reasonably satisfactory to the Collateral Agent (or its bailee). The Collateral Agent (or its bailee) shall have the right, at any time after the occurrence and during the continuance of an Event of Default, subject to the Intercreditor Agreements, and upon at least 3 Business Days’ prior written notice to the relevant Pledgor, to transfer to or to register in the name of the Collateral Agent (or its bailee) or any of its nominees any or all of the Pledged Shares.</w:t>
      </w:r>
    </w:p>
    <w:p>
      <w:pPr>
        <w:spacing w:after="0" w:line="60" w:lineRule="exact"/>
        <w:rPr>
          <w:rFonts w:ascii="Arial" w:cs="Arial" w:eastAsia="Arial" w:hAnsi="Arial"/>
          <w:sz w:val="16"/>
          <w:szCs w:val="16"/>
          <w:color w:val="auto"/>
        </w:rPr>
      </w:pPr>
    </w:p>
    <w:p>
      <w:pPr>
        <w:ind w:left="624" w:hanging="184"/>
        <w:spacing w:after="0"/>
        <w:tabs>
          <w:tab w:leader="none" w:pos="624"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Pledgor represents and warrants, after giving effect to the Transactions, as follows:</w:t>
      </w:r>
    </w:p>
    <w:p>
      <w:pPr>
        <w:spacing w:after="0" w:line="117" w:lineRule="exact"/>
        <w:rPr>
          <w:rFonts w:ascii="Arial" w:cs="Arial" w:eastAsia="Arial" w:hAnsi="Arial"/>
          <w:sz w:val="18"/>
          <w:szCs w:val="18"/>
          <w:color w:val="auto"/>
        </w:rPr>
      </w:pPr>
    </w:p>
    <w:p>
      <w:pPr>
        <w:ind w:left="4" w:right="40" w:firstLine="987"/>
        <w:spacing w:after="0" w:line="254" w:lineRule="auto"/>
        <w:tabs>
          <w:tab w:leader="none" w:pos="124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Schedule 1 hereto (i) correctly represents as of the Closing Date (A) the issuer, the certificate number, the Pledgor and the record and beneficial owner, the number and class and the percentage of the issued and outstanding Equity Interests of such class of all Pledged Shares and (B) the issuer, the initial principal amount, the Pledgor and holder, date of issuance and maturity date of all Pledged Debt and (ii) together with the comparable schedule to each supplement hereto, includes all Equity Interests, debt securities and promissory notes required to be pledged hereunder. Except as set forth on Schedule 1, and except for Excluded Stock and Stock Equivalents, the Pledged Shares represent all (or 66% in the case of pledges of the Voting Stock of Foreign Subsidiaries of any Domestic Subsidiary) of the issued and outstanding Equity Interests of each class of Equity Interests in the issuer on the Closing Date.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432" w:name="page433"/>
    <w:bookmarkEnd w:id="432"/>
    <w:p>
      <w:pPr>
        <w:ind w:right="160" w:firstLine="987"/>
        <w:spacing w:after="0" w:line="311" w:lineRule="auto"/>
        <w:tabs>
          <w:tab w:leader="none" w:pos="1246" w:val="left"/>
        </w:tabs>
        <w:numPr>
          <w:ilvl w:val="1"/>
          <w:numId w:val="3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Pledgor is the legal and beneficial owner of the Collateral pledged or collaterally assigned by such Pledgor hereunder free and clear of any Lien, except for Liens permitted by the Indenture (and which, in the case of Liens permitted by the Indenture in respect of the ABL Credit Agreement and the Term Loan Facility, are subject to the Intercreditor Agreements, as applicable) and the Lien created by this Pledge Agreement.</w:t>
      </w:r>
    </w:p>
    <w:p>
      <w:pPr>
        <w:spacing w:after="0" w:line="40" w:lineRule="exact"/>
        <w:rPr>
          <w:rFonts w:ascii="Arial" w:cs="Arial" w:eastAsia="Arial" w:hAnsi="Arial"/>
          <w:sz w:val="16"/>
          <w:szCs w:val="16"/>
          <w:color w:val="auto"/>
        </w:rPr>
      </w:pPr>
    </w:p>
    <w:p>
      <w:pPr>
        <w:ind w:firstLine="987"/>
        <w:spacing w:after="0" w:line="263" w:lineRule="auto"/>
        <w:tabs>
          <w:tab w:leader="none" w:pos="1236"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As of the Closing Date, the Pledged Shares pledged by such Pledgor hereunder have been duly authorized and validly issued and, in the case of Pledged Shares issued by a corporation, are fully paid and non-assessable, in each case, to the extent such concepts are applicable in the jurisdiction of organization of the respective issuer.</w:t>
      </w:r>
    </w:p>
    <w:p>
      <w:pPr>
        <w:spacing w:after="0" w:line="75" w:lineRule="exact"/>
        <w:rPr>
          <w:rFonts w:ascii="Arial" w:cs="Arial" w:eastAsia="Arial" w:hAnsi="Arial"/>
          <w:sz w:val="18"/>
          <w:szCs w:val="18"/>
          <w:color w:val="auto"/>
        </w:rPr>
      </w:pPr>
    </w:p>
    <w:p>
      <w:pPr>
        <w:ind w:right="100" w:firstLine="987"/>
        <w:spacing w:after="0" w:line="270" w:lineRule="auto"/>
        <w:tabs>
          <w:tab w:leader="none" w:pos="1246" w:val="left"/>
        </w:tabs>
        <w:numPr>
          <w:ilvl w:val="1"/>
          <w:numId w:val="388"/>
        </w:numPr>
        <w:rPr>
          <w:rFonts w:ascii="Arial" w:cs="Arial" w:eastAsia="Arial" w:hAnsi="Arial"/>
          <w:sz w:val="17"/>
          <w:szCs w:val="17"/>
          <w:color w:val="auto"/>
        </w:rPr>
      </w:pPr>
      <w:r>
        <w:rPr>
          <w:rFonts w:ascii="Arial" w:cs="Arial" w:eastAsia="Arial" w:hAnsi="Arial"/>
          <w:sz w:val="17"/>
          <w:szCs w:val="17"/>
          <w:color w:val="auto"/>
        </w:rPr>
        <w:t>The execution and delivery by such Pledgor of this Pledge Agreement and the pledge of the Collateral pledged by such Pledgor hereunder pursuant hereto create a legal, valid and enforceable security interest in such Collateral (with respect to Collateral consisting of the Equity Interests or Pledged Debt of Foreign Subsidiaries, to the extent the creation of such Security Interest is governed by the Uniform Commercial Code of any applicable jurisdiction) and, upon delivery of such Collateral to the Collateral Agent or filing of UCC financing statements, shall constitute a fully perfected Lien on and security interest in the Collateral, securing the payment of the Obligations, in favor of the Collateral Agent for the benefit of the Secured Parties (with respect to Collateral consisting of the Equity Interests or Pledged Debt of Foreign Subsidiaries, to the extent the creation and perfection of such Security Interest is governed by the Uniform Commercial Code of any applicable jurisdiction), except as enforceability thereof may be limited by bankruptcy, insolvency or other similar laws affecting creditors’ rights generally and subject to general principles of equity and principles of good faith and fair dealing.</w:t>
      </w:r>
    </w:p>
    <w:p>
      <w:pPr>
        <w:spacing w:after="0" w:line="72" w:lineRule="exact"/>
        <w:rPr>
          <w:rFonts w:ascii="Arial" w:cs="Arial" w:eastAsia="Arial" w:hAnsi="Arial"/>
          <w:sz w:val="17"/>
          <w:szCs w:val="17"/>
          <w:color w:val="auto"/>
        </w:rPr>
      </w:pPr>
    </w:p>
    <w:p>
      <w:pPr>
        <w:ind w:right="60" w:firstLine="987"/>
        <w:spacing w:after="0" w:line="255" w:lineRule="auto"/>
        <w:tabs>
          <w:tab w:leader="none" w:pos="1236" w:val="left"/>
        </w:tabs>
        <w:numPr>
          <w:ilvl w:val="1"/>
          <w:numId w:val="388"/>
        </w:numPr>
        <w:rPr>
          <w:rFonts w:ascii="Arial" w:cs="Arial" w:eastAsia="Arial" w:hAnsi="Arial"/>
          <w:sz w:val="18"/>
          <w:szCs w:val="18"/>
          <w:color w:val="auto"/>
        </w:rPr>
      </w:pPr>
      <w:r>
        <w:rPr>
          <w:rFonts w:ascii="Arial" w:cs="Arial" w:eastAsia="Arial" w:hAnsi="Arial"/>
          <w:sz w:val="18"/>
          <w:szCs w:val="18"/>
          <w:color w:val="auto"/>
        </w:rPr>
        <w:t>Such Pledgor has full organizational power, authority and legal right to pledge all the Collateral pledged by such Pledgor pursuant to this Pledge Agreement and this Pledge Agreement constitutes a legal, valid and binding obligation of each Pledgor (with respect to Collateral consisting of the Equity Interests or Pledged Debt of Foreign Subsidiaries, to the extent the enforceability of such Security Interest is governed by the Uniform Commercial Code of any applicable jurisdiction), enforceable in accordance with its terms, except as enforceability thereof may be limited by bankruptcy, insolvency or other similar laws affecting creditors’ rights generally and subject to general principles of equity and principles of good faith and fair dealing.</w:t>
      </w:r>
    </w:p>
    <w:p>
      <w:pPr>
        <w:spacing w:after="0" w:line="84" w:lineRule="exact"/>
        <w:rPr>
          <w:rFonts w:ascii="Arial" w:cs="Arial" w:eastAsia="Arial" w:hAnsi="Arial"/>
          <w:sz w:val="18"/>
          <w:szCs w:val="18"/>
          <w:color w:val="auto"/>
        </w:rPr>
      </w:pPr>
    </w:p>
    <w:p>
      <w:pPr>
        <w:ind w:left="620" w:hanging="184"/>
        <w:spacing w:after="0"/>
        <w:tabs>
          <w:tab w:leader="none" w:pos="620"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Certification of Limited Liability Company, Limited Partnership Interests, Equity Interests in Foreign Subsidiaries and Pledged Debt</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100" w:firstLine="987"/>
        <w:spacing w:after="0" w:line="275" w:lineRule="auto"/>
        <w:tabs>
          <w:tab w:leader="none" w:pos="1236" w:val="left"/>
        </w:tabs>
        <w:numPr>
          <w:ilvl w:val="1"/>
          <w:numId w:val="389"/>
        </w:numPr>
        <w:rPr>
          <w:rFonts w:ascii="Arial" w:cs="Arial" w:eastAsia="Arial" w:hAnsi="Arial"/>
          <w:sz w:val="17"/>
          <w:szCs w:val="17"/>
          <w:color w:val="auto"/>
        </w:rPr>
      </w:pPr>
      <w:r>
        <w:rPr>
          <w:rFonts w:ascii="Arial" w:cs="Arial" w:eastAsia="Arial" w:hAnsi="Arial"/>
          <w:sz w:val="17"/>
          <w:szCs w:val="17"/>
          <w:color w:val="auto"/>
        </w:rPr>
        <w:t xml:space="preserve">With respect to any Equity Interests in any Subsidiary constituting Collateral that are not a security as defined in Section 8-102(a)(15) of the Uniform Commercial Code of any applicable jurisdiction or pursuant to Section 8-103 of the Uniform Commercial Code of any applicable jurisdiction, if any Pledgor shall take any action that, under such sections, converts such Equity Interests into a security, such Pledgor shall give prompt written notice thereof to the Collateral Agent and cause the issuer thereof to issue to it certificates or instruments evidencing such Equity Interests, which it shall promptly deliver to the Collateral Agent as provided in </w:t>
      </w:r>
      <w:r>
        <w:rPr>
          <w:rFonts w:ascii="Arial" w:cs="Arial" w:eastAsia="Arial" w:hAnsi="Arial"/>
          <w:sz w:val="17"/>
          <w:szCs w:val="17"/>
          <w:u w:val="single" w:color="auto"/>
          <w:color w:val="auto"/>
        </w:rPr>
        <w:t>Section 3.</w:t>
      </w:r>
    </w:p>
    <w:p>
      <w:pPr>
        <w:spacing w:after="0" w:line="68" w:lineRule="exact"/>
        <w:rPr>
          <w:rFonts w:ascii="Arial" w:cs="Arial" w:eastAsia="Arial" w:hAnsi="Arial"/>
          <w:sz w:val="17"/>
          <w:szCs w:val="17"/>
          <w:color w:val="auto"/>
        </w:rPr>
      </w:pPr>
    </w:p>
    <w:p>
      <w:pPr>
        <w:ind w:left="1240" w:hanging="253"/>
        <w:spacing w:after="0"/>
        <w:tabs>
          <w:tab w:leader="none" w:pos="124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33" w:name="page434"/>
    <w:bookmarkEnd w:id="433"/>
    <w:p>
      <w:pPr>
        <w:ind w:left="-40" w:right="20" w:firstLine="987"/>
        <w:spacing w:after="0" w:line="277" w:lineRule="auto"/>
        <w:tabs>
          <w:tab w:leader="none" w:pos="1196" w:val="left"/>
        </w:tabs>
        <w:numPr>
          <w:ilvl w:val="1"/>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any Equity Interests in any Foreign Subsidiary constituting Collateral are not represented by a certificate, the Pledgors agree not to permit such Foreign Subsidiary to issue Equity Interests represented by a certificate to any other Person.</w:t>
      </w:r>
    </w:p>
    <w:p>
      <w:pPr>
        <w:spacing w:after="0" w:line="62" w:lineRule="exact"/>
        <w:rPr>
          <w:rFonts w:ascii="Arial" w:cs="Arial" w:eastAsia="Arial" w:hAnsi="Arial"/>
          <w:sz w:val="18"/>
          <w:szCs w:val="18"/>
          <w:color w:val="auto"/>
        </w:rPr>
      </w:pPr>
    </w:p>
    <w:p>
      <w:pPr>
        <w:ind w:left="-40" w:firstLine="436"/>
        <w:spacing w:after="0" w:line="269" w:lineRule="auto"/>
        <w:tabs>
          <w:tab w:leader="none" w:pos="580" w:val="left"/>
        </w:tabs>
        <w:numPr>
          <w:ilvl w:val="0"/>
          <w:numId w:val="39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and limitations of Article Fourteen of the Indenture and 3.2(c) of the Security Agreement, each Pledgor agrees that at any time and from time to time, at the expense of such Pledgor, it will execute or otherwise authorize the filing of any and all further documents, financing statements, agreements and instruments, and take all such further actions (including the filing and recording of financing statements, deeds of trust and other documents), which may be required under any applicable law in order (x) to perfect and protect any pledge, assignment or security interest granted or purported to be granted hereby (including the priority thereof) or (y) to enable the Collateral Agent to exercise and enforce its rights and remedies hereunder with respect to any Collateral. Each Pledgor hereby irrevocably authorizes the Collateral Agent and its Affiliates, counsel and other representatives, at any time and from time to time, to file or record financing statements (including financing statements describing collateral as “all assets” or words of similar effect), amendments to financing statements and, with notice to the applicable Pledgors, other filing or recording documents or instruments with respect to the Collateral in such form and in such offices appropriate to perfect the Security Interest of the Collateral Agent under this Pledge Agreement.</w:t>
      </w:r>
    </w:p>
    <w:p>
      <w:pPr>
        <w:spacing w:after="0" w:line="77" w:lineRule="exact"/>
        <w:rPr>
          <w:rFonts w:ascii="Arial" w:cs="Arial" w:eastAsia="Arial" w:hAnsi="Arial"/>
          <w:sz w:val="17"/>
          <w:szCs w:val="17"/>
          <w:color w:val="auto"/>
        </w:rPr>
      </w:pPr>
    </w:p>
    <w:p>
      <w:pPr>
        <w:ind w:left="580" w:hanging="184"/>
        <w:spacing w:after="0"/>
        <w:tabs>
          <w:tab w:leader="none" w:pos="580"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Voting Rights; Dividends and Distributions; Etc.</w:t>
      </w:r>
    </w:p>
    <w:p>
      <w:pPr>
        <w:spacing w:after="0" w:line="117" w:lineRule="exact"/>
        <w:rPr>
          <w:rFonts w:ascii="Arial" w:cs="Arial" w:eastAsia="Arial" w:hAnsi="Arial"/>
          <w:sz w:val="18"/>
          <w:szCs w:val="18"/>
          <w:color w:val="auto"/>
        </w:rPr>
      </w:pPr>
    </w:p>
    <w:p>
      <w:pPr>
        <w:ind w:left="1200" w:hanging="253"/>
        <w:spacing w:after="0"/>
        <w:tabs>
          <w:tab w:leader="none" w:pos="120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w:t>
      </w:r>
    </w:p>
    <w:p>
      <w:pPr>
        <w:spacing w:after="0" w:line="117" w:lineRule="exact"/>
        <w:rPr>
          <w:rFonts w:ascii="Arial" w:cs="Arial" w:eastAsia="Arial" w:hAnsi="Arial"/>
          <w:sz w:val="18"/>
          <w:szCs w:val="18"/>
          <w:color w:val="auto"/>
        </w:rPr>
      </w:pPr>
    </w:p>
    <w:p>
      <w:pPr>
        <w:ind w:left="400" w:right="260" w:firstLine="948"/>
        <w:spacing w:after="0" w:line="308" w:lineRule="auto"/>
        <w:tabs>
          <w:tab w:leader="none" w:pos="1567" w:val="left"/>
        </w:tabs>
        <w:numPr>
          <w:ilvl w:val="2"/>
          <w:numId w:val="391"/>
        </w:numPr>
        <w:rPr>
          <w:rFonts w:ascii="Arial" w:cs="Arial" w:eastAsia="Arial" w:hAnsi="Arial"/>
          <w:sz w:val="17"/>
          <w:szCs w:val="17"/>
          <w:color w:val="auto"/>
        </w:rPr>
      </w:pPr>
      <w:r>
        <w:rPr>
          <w:rFonts w:ascii="Arial" w:cs="Arial" w:eastAsia="Arial" w:hAnsi="Arial"/>
          <w:sz w:val="17"/>
          <w:szCs w:val="17"/>
          <w:color w:val="auto"/>
        </w:rPr>
        <w:t>Each Pledgor shall be entitled to exercise any and all voting and other consensual rights pertaining to the Collateral or any part thereof for any purpose not prohibited by the terms of this Pledge Agreement or the other Notes Documents.</w:t>
      </w:r>
    </w:p>
    <w:p>
      <w:pPr>
        <w:spacing w:after="0" w:line="38" w:lineRule="exact"/>
        <w:rPr>
          <w:rFonts w:ascii="Arial" w:cs="Arial" w:eastAsia="Arial" w:hAnsi="Arial"/>
          <w:sz w:val="17"/>
          <w:szCs w:val="17"/>
          <w:color w:val="auto"/>
        </w:rPr>
      </w:pPr>
    </w:p>
    <w:p>
      <w:pPr>
        <w:ind w:left="400" w:right="60" w:firstLine="948"/>
        <w:spacing w:after="0" w:line="263" w:lineRule="auto"/>
        <w:tabs>
          <w:tab w:leader="none" w:pos="1613" w:val="left"/>
        </w:tabs>
        <w:numPr>
          <w:ilvl w:val="2"/>
          <w:numId w:val="391"/>
        </w:numPr>
        <w:rPr>
          <w:rFonts w:ascii="Arial" w:cs="Arial" w:eastAsia="Arial" w:hAnsi="Arial"/>
          <w:sz w:val="18"/>
          <w:szCs w:val="18"/>
          <w:color w:val="auto"/>
        </w:rPr>
      </w:pPr>
      <w:r>
        <w:rPr>
          <w:rFonts w:ascii="Arial" w:cs="Arial" w:eastAsia="Arial" w:hAnsi="Arial"/>
          <w:sz w:val="18"/>
          <w:szCs w:val="18"/>
          <w:color w:val="auto"/>
        </w:rPr>
        <w:t>The Collateral Agent shall execute and deliver (or cause to be executed and delivered) to each Pledgor all such proxies and other instruments as such Pledgor may reasonably request for the purpose of enabling such Pledgor to exercise the voting and other rights that it is entitled to exercise pursuant to paragraph (i) above.</w:t>
      </w:r>
    </w:p>
    <w:p>
      <w:pPr>
        <w:spacing w:after="0" w:line="75" w:lineRule="exact"/>
        <w:rPr>
          <w:rFonts w:ascii="Arial" w:cs="Arial" w:eastAsia="Arial" w:hAnsi="Arial"/>
          <w:sz w:val="18"/>
          <w:szCs w:val="18"/>
          <w:color w:val="auto"/>
        </w:rPr>
      </w:pPr>
    </w:p>
    <w:p>
      <w:pPr>
        <w:ind w:left="-40" w:right="120" w:firstLine="987"/>
        <w:spacing w:after="0" w:line="270" w:lineRule="auto"/>
        <w:tabs>
          <w:tab w:leader="none" w:pos="1206" w:val="left"/>
        </w:tabs>
        <w:numPr>
          <w:ilvl w:val="1"/>
          <w:numId w:val="391"/>
        </w:numPr>
        <w:rPr>
          <w:rFonts w:ascii="Arial" w:cs="Arial" w:eastAsia="Arial" w:hAnsi="Arial"/>
          <w:sz w:val="17"/>
          <w:szCs w:val="17"/>
          <w:color w:val="auto"/>
        </w:rPr>
      </w:pPr>
      <w:r>
        <w:rPr>
          <w:rFonts w:ascii="Arial" w:cs="Arial" w:eastAsia="Arial" w:hAnsi="Arial"/>
          <w:sz w:val="17"/>
          <w:szCs w:val="17"/>
          <w:color w:val="auto"/>
        </w:rPr>
        <w:t xml:space="preserve">Subject to paragraph (c) below, each Pledgor shall be entitled to receive and retain and use, free and clear of the Lien created by this Pledge Agreement, any and all dividends, distributions, principal and interest made or paid in respect of the Collateral to the extent permitted by the Indenture,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and all noncash dividends, interest, principal or other distributions that would constitute Pledged Shares or Pledged Debt, whether resulting from a subdivision, combination or reclassification of the outstanding Equity Interests of the issuer of any Pledged Shares or received in exchange for Pledged Shares or Pledged Debt or any part thereof, or in redemption thereof, or as a result of any merger, consolidation, acquisition or other exchange of assets to which such issuer may be a party or otherwise, shall be, and shall be forthwith delivered to the Collateral Agent to hold as, Collateral and shall, if received by such Pledgor, be received in trust for the benefit of the Collateral Agent, be segregated from the other property or funds of such Pledgor and be forthwith delivered to the Collateral Agent as Collateral in the same form as so received (with any necessary endorsement).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4" w:right="479" w:bottom="1440" w:gutter="0" w:footer="0" w:header="0"/>
        </w:sectPr>
      </w:pPr>
    </w:p>
    <w:bookmarkStart w:id="434" w:name="page435"/>
    <w:bookmarkEnd w:id="434"/>
    <w:p>
      <w:pPr>
        <w:ind w:right="200" w:firstLine="987"/>
        <w:spacing w:after="0" w:line="263" w:lineRule="auto"/>
        <w:tabs>
          <w:tab w:leader="none" w:pos="1236" w:val="left"/>
        </w:tabs>
        <w:numPr>
          <w:ilvl w:val="1"/>
          <w:numId w:val="3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at least three Business Days’ prior written notice to a Pledgor by the Collateral Agent that the Collateral Agent is exercising its rights under this </w:t>
      </w:r>
      <w:r>
        <w:rPr>
          <w:rFonts w:ascii="Arial" w:cs="Arial" w:eastAsia="Arial" w:hAnsi="Arial"/>
          <w:sz w:val="18"/>
          <w:szCs w:val="18"/>
          <w:u w:val="single" w:color="auto"/>
          <w:color w:val="auto"/>
        </w:rPr>
        <w:t>Section 7(c)</w:t>
      </w:r>
      <w:r>
        <w:rPr>
          <w:rFonts w:ascii="Arial" w:cs="Arial" w:eastAsia="Arial" w:hAnsi="Arial"/>
          <w:sz w:val="18"/>
          <w:szCs w:val="18"/>
          <w:color w:val="auto"/>
        </w:rPr>
        <w:t>, following the occurrence and during the continuance of an Event of Default, subject to the terms of the Intercreditor Agreements,</w:t>
      </w:r>
    </w:p>
    <w:p>
      <w:pPr>
        <w:spacing w:after="0" w:line="75" w:lineRule="exact"/>
        <w:rPr>
          <w:rFonts w:ascii="Arial" w:cs="Arial" w:eastAsia="Arial" w:hAnsi="Arial"/>
          <w:sz w:val="18"/>
          <w:szCs w:val="18"/>
          <w:color w:val="auto"/>
        </w:rPr>
      </w:pPr>
    </w:p>
    <w:p>
      <w:pPr>
        <w:ind w:left="440" w:right="40" w:firstLine="948"/>
        <w:spacing w:after="0" w:line="271" w:lineRule="auto"/>
        <w:tabs>
          <w:tab w:leader="none" w:pos="1607" w:val="left"/>
        </w:tabs>
        <w:numPr>
          <w:ilvl w:val="2"/>
          <w:numId w:val="392"/>
        </w:numPr>
        <w:rPr>
          <w:rFonts w:ascii="Arial" w:cs="Arial" w:eastAsia="Arial" w:hAnsi="Arial"/>
          <w:sz w:val="17"/>
          <w:szCs w:val="17"/>
          <w:color w:val="auto"/>
        </w:rPr>
      </w:pPr>
      <w:r>
        <w:rPr>
          <w:rFonts w:ascii="Arial" w:cs="Arial" w:eastAsia="Arial" w:hAnsi="Arial"/>
          <w:sz w:val="17"/>
          <w:szCs w:val="17"/>
          <w:color w:val="auto"/>
        </w:rPr>
        <w:t xml:space="preserve">all rights of such Pledgor to exercise or refrain from exercising the voting and other consensual rights that it would otherwise be entitled to exercise pursuant to </w:t>
      </w:r>
      <w:r>
        <w:rPr>
          <w:rFonts w:ascii="Arial" w:cs="Arial" w:eastAsia="Arial" w:hAnsi="Arial"/>
          <w:sz w:val="17"/>
          <w:szCs w:val="17"/>
          <w:u w:val="single" w:color="auto"/>
          <w:color w:val="auto"/>
        </w:rPr>
        <w:t>Section 7(a)(i)</w:t>
      </w:r>
      <w:r>
        <w:rPr>
          <w:rFonts w:ascii="Arial" w:cs="Arial" w:eastAsia="Arial" w:hAnsi="Arial"/>
          <w:sz w:val="17"/>
          <w:szCs w:val="17"/>
          <w:color w:val="auto"/>
        </w:rPr>
        <w:t xml:space="preserve"> shall cease, and all such rights shall thereupon become vested in the Collateral Agent, which shall thereupon have the sole right to exercise or refrain from exercising such voting and other consensual rights during the continuance of such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being directed by the Holders, the Collateral Agent shall have the right from time to time following the occurrence and during the continuance of an Event of Default, subject to the terms of the Intercreditor Agreements, to permit the Pledgors to exercise such rights. After all Events of Default have been cured or waived, each Pledgor will have the right to exercise the voting and consensual rights that such Pledgor would otherwise be entitled to exercise pursuant to the terms of </w:t>
      </w:r>
      <w:r>
        <w:rPr>
          <w:rFonts w:ascii="Arial" w:cs="Arial" w:eastAsia="Arial" w:hAnsi="Arial"/>
          <w:sz w:val="17"/>
          <w:szCs w:val="17"/>
          <w:u w:val="single" w:color="auto"/>
          <w:color w:val="auto"/>
        </w:rPr>
        <w:t>Section 7(a)(i)</w:t>
      </w:r>
      <w:r>
        <w:rPr>
          <w:rFonts w:ascii="Arial" w:cs="Arial" w:eastAsia="Arial" w:hAnsi="Arial"/>
          <w:sz w:val="17"/>
          <w:szCs w:val="17"/>
          <w:color w:val="auto"/>
        </w:rPr>
        <w:t xml:space="preserve"> (and the obligations of the Collateral Agent under </w:t>
      </w:r>
      <w:r>
        <w:rPr>
          <w:rFonts w:ascii="Arial" w:cs="Arial" w:eastAsia="Arial" w:hAnsi="Arial"/>
          <w:sz w:val="17"/>
          <w:szCs w:val="17"/>
          <w:u w:val="single" w:color="auto"/>
          <w:color w:val="auto"/>
        </w:rPr>
        <w:t>Section 7(a)(ii)</w:t>
      </w:r>
      <w:r>
        <w:rPr>
          <w:rFonts w:ascii="Arial" w:cs="Arial" w:eastAsia="Arial" w:hAnsi="Arial"/>
          <w:sz w:val="17"/>
          <w:szCs w:val="17"/>
          <w:color w:val="auto"/>
        </w:rPr>
        <w:t xml:space="preserve"> shall be reinstated);</w:t>
      </w:r>
    </w:p>
    <w:p>
      <w:pPr>
        <w:spacing w:after="0" w:line="70" w:lineRule="exact"/>
        <w:rPr>
          <w:rFonts w:ascii="Arial" w:cs="Arial" w:eastAsia="Arial" w:hAnsi="Arial"/>
          <w:sz w:val="17"/>
          <w:szCs w:val="17"/>
          <w:color w:val="auto"/>
        </w:rPr>
      </w:pPr>
    </w:p>
    <w:p>
      <w:pPr>
        <w:ind w:left="440" w:firstLine="948"/>
        <w:spacing w:after="0" w:line="272" w:lineRule="auto"/>
        <w:tabs>
          <w:tab w:leader="none" w:pos="1657" w:val="left"/>
        </w:tabs>
        <w:numPr>
          <w:ilvl w:val="2"/>
          <w:numId w:val="392"/>
        </w:numPr>
        <w:rPr>
          <w:rFonts w:ascii="Arial" w:cs="Arial" w:eastAsia="Arial" w:hAnsi="Arial"/>
          <w:sz w:val="17"/>
          <w:szCs w:val="17"/>
          <w:color w:val="auto"/>
        </w:rPr>
      </w:pPr>
      <w:r>
        <w:rPr>
          <w:rFonts w:ascii="Arial" w:cs="Arial" w:eastAsia="Arial" w:hAnsi="Arial"/>
          <w:sz w:val="17"/>
          <w:szCs w:val="17"/>
          <w:color w:val="auto"/>
        </w:rPr>
        <w:t xml:space="preserve">all rights of such Pledgor to receive the dividends, distributions and principal and interest payments that such Pledgor would otherwise be authorized to receive and retain pursuant to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shall cease, and all such rights shall thereupon become vested in the Collateral Agent, which, subject to the terms of the Intercreditor Agreements, shall thereupon have the sole right to receive and hold as Collateral such dividends, distributions and principal and interest payments during the continuance of such Event of Default. After all Events of Default have been cured or waived, the Collateral Agent shall repay to each Pledgor (without interest) all dividends, distributions and principal and interest payments still in its possession and not otherwise applied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that such Pledgor would otherwise be permitted to receive, retain and use pursuant to the terms of </w:t>
      </w:r>
      <w:r>
        <w:rPr>
          <w:rFonts w:ascii="Arial" w:cs="Arial" w:eastAsia="Arial" w:hAnsi="Arial"/>
          <w:sz w:val="17"/>
          <w:szCs w:val="17"/>
          <w:u w:val="single" w:color="auto"/>
          <w:color w:val="auto"/>
        </w:rPr>
        <w:t>Section 7(b)</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20" w:firstLine="948"/>
        <w:spacing w:after="0" w:line="311" w:lineRule="auto"/>
        <w:tabs>
          <w:tab w:leader="none" w:pos="1707" w:val="left"/>
        </w:tabs>
        <w:numPr>
          <w:ilvl w:val="2"/>
          <w:numId w:val="392"/>
        </w:numPr>
        <w:rPr>
          <w:rFonts w:ascii="Arial" w:cs="Arial" w:eastAsia="Arial" w:hAnsi="Arial"/>
          <w:sz w:val="16"/>
          <w:szCs w:val="16"/>
          <w:color w:val="auto"/>
        </w:rPr>
      </w:pPr>
      <w:r>
        <w:rPr>
          <w:rFonts w:ascii="Arial" w:cs="Arial" w:eastAsia="Arial" w:hAnsi="Arial"/>
          <w:sz w:val="16"/>
          <w:szCs w:val="16"/>
          <w:color w:val="auto"/>
        </w:rPr>
        <w:t xml:space="preserve">all dividends, distributions and principal and interest payments that are received by such Pledgor contrary to the provisions of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be received in trust for the benefit of the Collateral Agent and segregated from other property or funds of such Pledgor and shall forthwith be delivered to the Collateral Agent as Collateral in the same form as so received (with any necessary endorsements); and</w:t>
      </w:r>
    </w:p>
    <w:p>
      <w:pPr>
        <w:spacing w:after="0" w:line="40" w:lineRule="exact"/>
        <w:rPr>
          <w:rFonts w:ascii="Arial" w:cs="Arial" w:eastAsia="Arial" w:hAnsi="Arial"/>
          <w:sz w:val="16"/>
          <w:szCs w:val="16"/>
          <w:color w:val="auto"/>
        </w:rPr>
      </w:pPr>
    </w:p>
    <w:p>
      <w:pPr>
        <w:jc w:val="both"/>
        <w:ind w:left="440" w:right="60" w:firstLine="948"/>
        <w:spacing w:after="0" w:line="291" w:lineRule="auto"/>
        <w:tabs>
          <w:tab w:leader="none" w:pos="1697" w:val="left"/>
        </w:tabs>
        <w:numPr>
          <w:ilvl w:val="2"/>
          <w:numId w:val="392"/>
        </w:numPr>
        <w:rPr>
          <w:rFonts w:ascii="Arial" w:cs="Arial" w:eastAsia="Arial" w:hAnsi="Arial"/>
          <w:sz w:val="16"/>
          <w:szCs w:val="16"/>
          <w:color w:val="auto"/>
        </w:rPr>
      </w:pPr>
      <w:r>
        <w:rPr>
          <w:rFonts w:ascii="Arial" w:cs="Arial" w:eastAsia="Arial" w:hAnsi="Arial"/>
          <w:sz w:val="16"/>
          <w:szCs w:val="16"/>
          <w:color w:val="auto"/>
        </w:rPr>
        <w:t xml:space="preserve">in order to permit the Collateral Agent to receive all dividends, distributions and principal and interest payments to which it may be entitled under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above, to exercise the voting and other consensual rights that it may be entitled to exercise pursuant to </w:t>
      </w:r>
      <w:r>
        <w:rPr>
          <w:rFonts w:ascii="Arial" w:cs="Arial" w:eastAsia="Arial" w:hAnsi="Arial"/>
          <w:sz w:val="16"/>
          <w:szCs w:val="16"/>
          <w:u w:val="single" w:color="auto"/>
          <w:color w:val="auto"/>
        </w:rPr>
        <w:t>Section 7(c)</w:t>
      </w:r>
    </w:p>
    <w:p>
      <w:pPr>
        <w:ind w:left="660" w:hanging="224"/>
        <w:spacing w:after="0"/>
        <w:tabs>
          <w:tab w:leader="none" w:pos="660" w:val="left"/>
        </w:tabs>
        <w:numPr>
          <w:ilvl w:val="0"/>
          <w:numId w:val="393"/>
        </w:numPr>
        <w:rPr>
          <w:rFonts w:ascii="Arial" w:cs="Arial" w:eastAsia="Arial" w:hAnsi="Arial"/>
          <w:sz w:val="16"/>
          <w:szCs w:val="16"/>
          <w:u w:val="single" w:color="auto"/>
          <w:color w:val="auto"/>
        </w:rPr>
      </w:pPr>
      <w:r>
        <w:rPr>
          <w:rFonts w:ascii="Arial" w:cs="Arial" w:eastAsia="Arial" w:hAnsi="Arial"/>
          <w:sz w:val="16"/>
          <w:szCs w:val="16"/>
          <w:color w:val="auto"/>
        </w:rPr>
        <w:t xml:space="preserve">above, and to receive all dividends, distributions and principal and interest payments that it may be entitled to under </w:t>
      </w:r>
      <w:r>
        <w:rPr>
          <w:rFonts w:ascii="Arial" w:cs="Arial" w:eastAsia="Arial" w:hAnsi="Arial"/>
          <w:sz w:val="16"/>
          <w:szCs w:val="16"/>
          <w:u w:val="single" w:color="auto"/>
          <w:color w:val="auto"/>
        </w:rPr>
        <w:t>Sections 7(c)(ii)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p>
    <w:p>
      <w:pPr>
        <w:spacing w:after="0" w:line="32" w:lineRule="exact"/>
        <w:rPr>
          <w:rFonts w:ascii="Arial" w:cs="Arial" w:eastAsia="Arial" w:hAnsi="Arial"/>
          <w:sz w:val="16"/>
          <w:szCs w:val="16"/>
          <w:u w:val="single" w:color="auto"/>
          <w:color w:val="auto"/>
        </w:rPr>
      </w:pPr>
    </w:p>
    <w:p>
      <w:pPr>
        <w:ind w:left="440" w:right="20" w:hanging="4"/>
        <w:spacing w:after="0" w:line="253" w:lineRule="auto"/>
        <w:tabs>
          <w:tab w:leader="none" w:pos="755" w:val="left"/>
        </w:tabs>
        <w:numPr>
          <w:ilvl w:val="0"/>
          <w:numId w:val="394"/>
        </w:numPr>
        <w:rPr>
          <w:rFonts w:ascii="Arial" w:cs="Arial" w:eastAsia="Arial" w:hAnsi="Arial"/>
          <w:sz w:val="18"/>
          <w:szCs w:val="18"/>
          <w:u w:val="single" w:color="auto"/>
          <w:color w:val="auto"/>
        </w:rPr>
      </w:pPr>
      <w:r>
        <w:rPr>
          <w:rFonts w:ascii="Arial" w:cs="Arial" w:eastAsia="Arial" w:hAnsi="Arial"/>
          <w:sz w:val="18"/>
          <w:szCs w:val="18"/>
          <w:color w:val="auto"/>
        </w:rPr>
        <w:t>above, such Pledgor shall from time to time execute and deliver to the Collateral Agent, appropriate proxies, dividend payment orders and other instruments as the Collateral Agent may reasonably request in writing, subject to the terms of the Intercreditor Agreements. The exercise of any remedies by the Collateral Agent pursuant to this provision shall not cause the Collateral Agent to be considered, or assume any obligations or liabilities of, a member or principal of any Guarantor.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35" w:name="page436"/>
    <w:bookmarkEnd w:id="435"/>
    <w:p>
      <w:pPr>
        <w:ind w:left="620" w:hanging="184"/>
        <w:spacing w:after="0"/>
        <w:tabs>
          <w:tab w:leader="none" w:pos="62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Transfers and Other Liens; Additional Collateral; Etc</w:t>
      </w:r>
      <w:r>
        <w:rPr>
          <w:rFonts w:ascii="Arial" w:cs="Arial" w:eastAsia="Arial" w:hAnsi="Arial"/>
          <w:sz w:val="18"/>
          <w:szCs w:val="18"/>
          <w:color w:val="auto"/>
        </w:rPr>
        <w:t>. Subject to the terms of the Intercreditor Agreements, each Pledgor shall:</w:t>
      </w:r>
    </w:p>
    <w:p>
      <w:pPr>
        <w:spacing w:after="0" w:line="117" w:lineRule="exact"/>
        <w:rPr>
          <w:rFonts w:ascii="Arial" w:cs="Arial" w:eastAsia="Arial" w:hAnsi="Arial"/>
          <w:sz w:val="18"/>
          <w:szCs w:val="18"/>
          <w:color w:val="auto"/>
        </w:rPr>
      </w:pPr>
    </w:p>
    <w:p>
      <w:pPr>
        <w:ind w:right="60" w:firstLine="987"/>
        <w:spacing w:after="0" w:line="271" w:lineRule="auto"/>
        <w:tabs>
          <w:tab w:leader="none" w:pos="1236" w:val="left"/>
        </w:tabs>
        <w:numPr>
          <w:ilvl w:val="1"/>
          <w:numId w:val="395"/>
        </w:numPr>
        <w:rPr>
          <w:rFonts w:ascii="Arial" w:cs="Arial" w:eastAsia="Arial" w:hAnsi="Arial"/>
          <w:sz w:val="17"/>
          <w:szCs w:val="17"/>
          <w:color w:val="auto"/>
        </w:rPr>
      </w:pPr>
      <w:r>
        <w:rPr>
          <w:rFonts w:ascii="Arial" w:cs="Arial" w:eastAsia="Arial" w:hAnsi="Arial"/>
          <w:sz w:val="17"/>
          <w:szCs w:val="17"/>
          <w:color w:val="auto"/>
        </w:rPr>
        <w:t xml:space="preserve">not (i) except as permitted by the Indenture, sell or otherwise dispose of, or grant any option or warrant with respect to, any of the Collateral or (ii) create or suffer to exist any consensual Lien upon or with respect to any of the Collateral, except for Liens permitted by the Indenture (and which, in the case of Liens permitted by the Indenture in respect of the ABL Credit Agreement and the Term Loan Facility, are subject to the Intercreditor Agreements, as applicable) and the Lien created by this Pledge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provisions of the Intercreditor Agreements then in effect, in the event such Pledgor sells or otherwise disposes of assets as permitted by the Indenture to a Person that is not a Guarantor, and such assets are or include any of the Collateral, the Lien created by this Pledge Agreement shall be automatically released concurrently with the consummation of such sale, and upon the request of the applicable Pledgor and the provisions of such documents required by the Indenture, the Collateral Agent shall evidence such release of such Collateral to such Pledgor; and</w:t>
      </w:r>
    </w:p>
    <w:p>
      <w:pPr>
        <w:spacing w:after="0" w:line="70" w:lineRule="exact"/>
        <w:rPr>
          <w:rFonts w:ascii="Arial" w:cs="Arial" w:eastAsia="Arial" w:hAnsi="Arial"/>
          <w:sz w:val="17"/>
          <w:szCs w:val="17"/>
          <w:color w:val="auto"/>
        </w:rPr>
      </w:pPr>
    </w:p>
    <w:p>
      <w:pPr>
        <w:ind w:right="20" w:firstLine="987"/>
        <w:spacing w:after="0" w:line="257" w:lineRule="auto"/>
        <w:tabs>
          <w:tab w:leader="none" w:pos="124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use commercially reasonable efforts to defend its and the Collateral Agent’s title or interest in and to all the Collateral (and in the Proceeds thereof) against any and all Liens (other than Liens permitted by the Indenture (and which, in the case of Liens permitted by the Indenture in respect of the ABL Credit Agreement and the Term Loan Facility, are subject to the Intercreditor Agreements, as applicable) and the Lien created by this Pledge Agreement), however arising, and any and all Persons whomsoever (except to the extent that the Collateral Agent and the Issuer agree that the cost of such defense is excessive in relation to the benefit to the Holders thereof).</w:t>
      </w:r>
    </w:p>
    <w:p>
      <w:pPr>
        <w:spacing w:after="0" w:line="79" w:lineRule="exact"/>
        <w:rPr>
          <w:rFonts w:ascii="Arial" w:cs="Arial" w:eastAsia="Arial" w:hAnsi="Arial"/>
          <w:sz w:val="18"/>
          <w:szCs w:val="18"/>
          <w:color w:val="auto"/>
        </w:rPr>
      </w:pPr>
    </w:p>
    <w:p>
      <w:pPr>
        <w:ind w:right="20" w:firstLine="436"/>
        <w:spacing w:after="0" w:line="254" w:lineRule="auto"/>
        <w:tabs>
          <w:tab w:leader="none" w:pos="62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Collateral Agent Appointed Attorney-in-Fact</w:t>
      </w:r>
      <w:r>
        <w:rPr>
          <w:rFonts w:ascii="Arial" w:cs="Arial" w:eastAsia="Arial" w:hAnsi="Arial"/>
          <w:sz w:val="18"/>
          <w:szCs w:val="18"/>
          <w:color w:val="auto"/>
        </w:rPr>
        <w:t xml:space="preserve">. Each Pledgor hereby appoints, which appointment is irrevocable and coupled with an interest, and shall automatically terminate with respect to such Pledgor on the Termination Date or, if sooner, upon the release of such Pledgor hereunder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the Collateral Agent as such Pledgor’s attorney-in-fact, with full authority in the place and stead of such Pledgor and in the name of such Pledgor or otherwise to take any action and to execute any instrument, in each case solely after the occurrence and during the continuance of an Event of Default (and upon prior written notice to such Pledgor that the Collateral Agent intends to take such action), that the Collateral Agent may deem reasonably necessary or advisable to accomplish the purposes of this Pledge Agreement, including to receive, indorse and collect all instruments made payable to such Pledgor representing any dividend, distribution or principal or interest payment in respect of the Collateral or any part thereof and to give full discharge for the same.</w:t>
      </w:r>
    </w:p>
    <w:p>
      <w:pPr>
        <w:spacing w:after="0" w:line="83" w:lineRule="exact"/>
        <w:rPr>
          <w:rFonts w:ascii="Arial" w:cs="Arial" w:eastAsia="Arial" w:hAnsi="Arial"/>
          <w:sz w:val="18"/>
          <w:szCs w:val="18"/>
          <w:color w:val="auto"/>
        </w:rPr>
      </w:pPr>
    </w:p>
    <w:p>
      <w:pPr>
        <w:ind w:firstLine="436"/>
        <w:spacing w:after="0" w:line="293" w:lineRule="auto"/>
        <w:tabs>
          <w:tab w:leader="none" w:pos="710" w:val="left"/>
        </w:tabs>
        <w:numPr>
          <w:ilvl w:val="0"/>
          <w:numId w:val="395"/>
        </w:numPr>
        <w:rPr>
          <w:rFonts w:ascii="Arial" w:cs="Arial" w:eastAsia="Arial" w:hAnsi="Arial"/>
          <w:sz w:val="16"/>
          <w:szCs w:val="16"/>
          <w:color w:val="auto"/>
        </w:rPr>
      </w:pPr>
      <w:r>
        <w:rPr>
          <w:rFonts w:ascii="Arial" w:cs="Arial" w:eastAsia="Arial" w:hAnsi="Arial"/>
          <w:sz w:val="16"/>
          <w:szCs w:val="16"/>
          <w:u w:val="single" w:color="auto"/>
          <w:color w:val="auto"/>
        </w:rPr>
        <w:t>The Collateral Agent’s Duties</w:t>
      </w:r>
      <w:r>
        <w:rPr>
          <w:rFonts w:ascii="Arial" w:cs="Arial" w:eastAsia="Arial" w:hAnsi="Arial"/>
          <w:sz w:val="16"/>
          <w:szCs w:val="16"/>
          <w:color w:val="auto"/>
        </w:rPr>
        <w:t>. The powers conferred on the Collateral Agent hereunder are solely to protect its interest in the Collateral and shall not impose any duty upon it to exercise any such powers. Except for the safe custody of any Collateral in its possession and the accounting for moneys actually received by it hereunder, the Collateral Agent shall have no duty as to any Collateral, as to ascertaining or taking action with respect to calls, conversions, exchanges, maturities, tenders or other matters relative to any Pledged Shares, whether or not the Collateral Agent or any other Secured Party has or is deemed to have knowledge of such matters, or as to the taking of any necessary steps to preserve rights against any parties or any other rights pertaining to any Collateral. The Collateral Agent shall be deemed to have exercised reasonable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36" w:name="page437"/>
    <w:bookmarkEnd w:id="436"/>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care in the custody and preservation of any Collateral in its possession if it treats such Collateral in accordance with the Collateral Agent’s standard of care set forth herein and in the Indenture. The Collateral Agent shall not be responsible for or have a duty to ascertain or inquire into any representation or warranty regarding the existence, value or collectability of the Collateral, the existence, priority or perfection of the Collateral Agent’s Lien thereon, or any certificate prepared by any Guarantor in connection therewith, nor shall the Collateral Agent be responsible or liable to the Secured Parties for any failure to monitor or maintain any portion of the Collateral.</w:t>
      </w:r>
    </w:p>
    <w:p>
      <w:pPr>
        <w:spacing w:after="0" w:line="68" w:lineRule="exact"/>
        <w:rPr>
          <w:sz w:val="20"/>
          <w:szCs w:val="20"/>
          <w:color w:val="auto"/>
        </w:rPr>
      </w:pPr>
    </w:p>
    <w:p>
      <w:pPr>
        <w:ind w:right="220" w:firstLine="436"/>
        <w:spacing w:after="0" w:line="277" w:lineRule="auto"/>
        <w:tabs>
          <w:tab w:leader="none" w:pos="703"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Subject to the terms of the Intercreditor Agreements, if any Event of Default shall occur and be continuing, and after giving prior notice to the Issuer and any applicable Pledgor:</w:t>
      </w:r>
    </w:p>
    <w:p>
      <w:pPr>
        <w:spacing w:after="0" w:line="62" w:lineRule="exact"/>
        <w:rPr>
          <w:rFonts w:ascii="Arial" w:cs="Arial" w:eastAsia="Arial" w:hAnsi="Arial"/>
          <w:sz w:val="18"/>
          <w:szCs w:val="18"/>
          <w:color w:val="auto"/>
        </w:rPr>
      </w:pPr>
    </w:p>
    <w:p>
      <w:pPr>
        <w:ind w:firstLine="987"/>
        <w:spacing w:after="0" w:line="284" w:lineRule="auto"/>
        <w:tabs>
          <w:tab w:leader="none" w:pos="1236" w:val="left"/>
        </w:tabs>
        <w:numPr>
          <w:ilvl w:val="1"/>
          <w:numId w:val="396"/>
        </w:numPr>
        <w:rPr>
          <w:rFonts w:ascii="Arial" w:cs="Arial" w:eastAsia="Arial" w:hAnsi="Arial"/>
          <w:sz w:val="16"/>
          <w:szCs w:val="16"/>
          <w:color w:val="auto"/>
        </w:rPr>
      </w:pPr>
      <w:r>
        <w:rPr>
          <w:rFonts w:ascii="Arial" w:cs="Arial" w:eastAsia="Arial" w:hAnsi="Arial"/>
          <w:sz w:val="16"/>
          <w:szCs w:val="16"/>
          <w:color w:val="auto"/>
        </w:rPr>
        <w:t>The Collateral Agent may exercise in respect of the Collateral, in addition to other rights and remedies provided for herein or otherwise available to it, all the rights and remedies of a secured party upon default under the UCC or any other applicable law (whether or not the UCC applies to the affected Collateral) and also may with notice to the relevant Pledgor, sell the Collateral or any part thereof in one or more parcels at public or private sale or sales, at any exchange broker’s board or office of the Collateral Agent or any Secured Party or elsewhere, for cash, on credit or for future delivery, at such price or prices and upon such other terms as are commercially reasonable irrespective of the impact of any such sales on the market price of the Collateral. The Collateral Agent shall be authorized at any such sale of Pledged Shares or Pledged Debt (if it deems it advisable to do so) to restrict the prospective bidders or purchasers of such Collateral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Pledged Shares or Pledged Debt so sold. Each purchaser at any such sale shall hold the property sold absolutely free from any claim or right on the part of any Pledgor, and each Pledgor hereby waives (to the extent permitted by law) all rights of redemption, stay and/or appraisal that it now has or may at any time in the future have under any rule of law or statute now existing or hereafter enacted. The Collateral Agent and any Secured Party shall have the right upon any such public sale, and, to the extent permitted by law, upon any such private sale, to purchase all or any part of the Collateral so sold, and the Collateral Agent or such Secured Party may pay the purchase price by crediting the amount thereof against the Obligations. Each Pledgor agrees that, to the extent notice of sale shall be required by law, at least ten days’ notice to such Pledgor of the time and place of any public sale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To the extent permitted by law, each Pledgor hereby waives any claim against the Collateral Agent arising by reason of the fact that the price at which any Collateral may have been sold at such a private sale was less than the price that might have been obtained at a public sale, even if the Collateral Agent accepts the first offer received and does not offer such Collateral to more than one offeree. The Collateral Agent shall incur no liability as a result of the sale (whether public or private) of the Collateral or any part thereof at any sale pursuant to this Agreement conducted in a commercially reasonable manner. Each of the Pledgors and Secured Parties hereby waive any claims against the Collateral Agent arising by reason of the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37" w:name="page438"/>
    <w:bookmarkEnd w:id="43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fact that the price at which the Collateral may have been sold at such sale (whether public or private) was less than the price that might have been obtained otherwise, even if the Collateral Agent accepts the first offer received and does not offer the Collateral to more than one offeree, so long as such sale is conducted in a commercially reasonable manner. Each of the Pledgors and Secured Parties hereby agree that in respect of any sale of any of the Collateral pursuant to the terms hereof, Collateral Agent is hereby authorized to comply with any limitation or restriction in connection with such sale as it may be advised by counsel is necessary in order to avoid any violation of applicable laws, or in order to obtain any required approval of the sale or of the purchaser by any governmental authority or official, and the Pledgors and Secured Parties further agree that such compliance shall not, in and of itself, result in such sale being considered or deemed not to have been made in a commercially reasonable manner, nor shall the Collateral Agent be liable or accountable to the Pledgors or Secured Parties for any discount allowed by reason of the fact that the Collateral or any part thereof is sold in compliance with any such limitation or restriction.</w:t>
      </w:r>
    </w:p>
    <w:p>
      <w:pPr>
        <w:spacing w:after="0" w:line="73" w:lineRule="exact"/>
        <w:rPr>
          <w:sz w:val="20"/>
          <w:szCs w:val="20"/>
          <w:color w:val="auto"/>
        </w:rPr>
      </w:pPr>
    </w:p>
    <w:p>
      <w:pPr>
        <w:ind w:right="280" w:firstLine="987"/>
        <w:spacing w:after="0" w:line="308" w:lineRule="auto"/>
        <w:tabs>
          <w:tab w:leader="none" w:pos="1246" w:val="left"/>
        </w:tabs>
        <w:numPr>
          <w:ilvl w:val="0"/>
          <w:numId w:val="397"/>
        </w:numPr>
        <w:rPr>
          <w:rFonts w:ascii="Arial" w:cs="Arial" w:eastAsia="Arial" w:hAnsi="Arial"/>
          <w:sz w:val="17"/>
          <w:szCs w:val="17"/>
          <w:color w:val="auto"/>
        </w:rPr>
      </w:pPr>
      <w:r>
        <w:rPr>
          <w:rFonts w:ascii="Arial" w:cs="Arial" w:eastAsia="Arial" w:hAnsi="Arial"/>
          <w:sz w:val="17"/>
          <w:szCs w:val="17"/>
          <w:color w:val="auto"/>
        </w:rPr>
        <w:t>Subject to the Intercreditor Agreements then in effect, the Collateral Agent shall apply the Proceeds of any collection or sale of the Collateral as well as any Collateral consisting of cash, at any time after receipt in the order set forth in Section 5.06 of the Indenture.</w:t>
      </w:r>
    </w:p>
    <w:p>
      <w:pPr>
        <w:spacing w:after="0" w:line="38"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Upon any sale of the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79" w:lineRule="exact"/>
        <w:rPr>
          <w:sz w:val="20"/>
          <w:szCs w:val="20"/>
          <w:color w:val="auto"/>
        </w:rPr>
      </w:pPr>
    </w:p>
    <w:p>
      <w:pPr>
        <w:ind w:right="200" w:firstLine="987"/>
        <w:spacing w:after="0" w:line="286" w:lineRule="auto"/>
        <w:tabs>
          <w:tab w:leader="none" w:pos="1236" w:val="left"/>
        </w:tabs>
        <w:numPr>
          <w:ilvl w:val="1"/>
          <w:numId w:val="398"/>
        </w:numPr>
        <w:rPr>
          <w:rFonts w:ascii="Arial" w:cs="Arial" w:eastAsia="Arial" w:hAnsi="Arial"/>
          <w:sz w:val="17"/>
          <w:szCs w:val="17"/>
          <w:color w:val="auto"/>
        </w:rPr>
      </w:pPr>
      <w:r>
        <w:rPr>
          <w:rFonts w:ascii="Arial" w:cs="Arial" w:eastAsia="Arial" w:hAnsi="Arial"/>
          <w:sz w:val="17"/>
          <w:szCs w:val="17"/>
          <w:color w:val="auto"/>
        </w:rPr>
        <w:t>All payments received by any Pledgor in respect of the Collateral after the occurrence and during the continuance of an Event of Default, shall be received in trust for the benefit of the Collateral Agent shall be segregated from other property or funds of such Pledgor and shall be forthwith delivered to the Collateral Agent as Collateral in the same form as so received (with any necessary endorsement).</w:t>
      </w:r>
    </w:p>
    <w:p>
      <w:pPr>
        <w:spacing w:after="0" w:line="57" w:lineRule="exact"/>
        <w:rPr>
          <w:rFonts w:ascii="Arial" w:cs="Arial" w:eastAsia="Arial" w:hAnsi="Arial"/>
          <w:sz w:val="17"/>
          <w:szCs w:val="17"/>
          <w:color w:val="auto"/>
        </w:rPr>
      </w:pPr>
    </w:p>
    <w:p>
      <w:pPr>
        <w:ind w:firstLine="436"/>
        <w:spacing w:after="0" w:line="289" w:lineRule="auto"/>
        <w:tabs>
          <w:tab w:leader="none" w:pos="710"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Amendments, etc. with Respect to the Obligations; Waiver of Rights</w:t>
      </w:r>
      <w:r>
        <w:rPr>
          <w:rFonts w:ascii="Arial" w:cs="Arial" w:eastAsia="Arial" w:hAnsi="Arial"/>
          <w:sz w:val="16"/>
          <w:szCs w:val="16"/>
          <w:color w:val="auto"/>
        </w:rPr>
        <w:t>. Each Pledgor shall remain obligated hereunder notwithstanding that, without any reservation of rights against any Pledgor and without notice to or further assent by any Pledgor, (a) any demand for payment of any of the Obligations made by the Collateral Agent or any other Secured Party may be rescinded by such party and any of the Obligations continued, (b) the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Collateral Agent or any other Secured Party, (c) the Indenture, the other Notes Documents and any other documents executed and delivered in connection therewith may be amended, modified, supplemented or terminated, in whole or in part from time to time and (d) any collateral security, guarantee or right of offset at any time held by the Collateral Agent or any other Secured Party for the payment of the Obligations may be sold, exchanged, waived, surrendered or released. Neither the Collateral Agent nor any other Secured Party shall have any obligation to protect, secure,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438" w:name="page439"/>
    <w:bookmarkEnd w:id="43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perfect or insure any Lien at any time held by it as security for the Obligations or for this Pledge Agreement or any property subject thereto. When making any demand hereunder against any Pledgor, the Collateral Agent or any other Secured Party may, but shall be under no obligation to, make a similar demand on any Pledgor or any other Person, and any failure by the Collateral Agent or any other Secured Party to make any such demand or to collect any payments from any Pledgor or any other Person or any release of the Issuer or any Pledgor or any other Person shall not relieve any Pledgor in respect of which a demand or collection is not made or any Pledgor not so released of its several obligations or liabilities hereunder, and shall not impair or affect the rights and remedies, express or implied, or as a matter of law, of the Collateral Agent or any other Secured Party against any Pledgor. For the purposes hereof “demand” shall include the commencement and continuance of any legal proceedings.</w:t>
      </w:r>
    </w:p>
    <w:p>
      <w:pPr>
        <w:spacing w:after="0" w:line="58" w:lineRule="exact"/>
        <w:rPr>
          <w:sz w:val="20"/>
          <w:szCs w:val="20"/>
          <w:color w:val="auto"/>
        </w:rPr>
      </w:pPr>
    </w:p>
    <w:p>
      <w:pPr>
        <w:ind w:left="700" w:hanging="264"/>
        <w:spacing w:after="0"/>
        <w:tabs>
          <w:tab w:leader="none" w:pos="70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Continuing Security Interest; Assignments Under the Indenture; Release.</w:t>
      </w:r>
    </w:p>
    <w:p>
      <w:pPr>
        <w:spacing w:after="0" w:line="117" w:lineRule="exact"/>
        <w:rPr>
          <w:rFonts w:ascii="Arial" w:cs="Arial" w:eastAsia="Arial" w:hAnsi="Arial"/>
          <w:sz w:val="18"/>
          <w:szCs w:val="18"/>
          <w:color w:val="auto"/>
        </w:rPr>
      </w:pPr>
    </w:p>
    <w:p>
      <w:pPr>
        <w:ind w:right="100" w:firstLine="987"/>
        <w:spacing w:after="0" w:line="275" w:lineRule="auto"/>
        <w:tabs>
          <w:tab w:leader="none" w:pos="1236" w:val="left"/>
        </w:tabs>
        <w:numPr>
          <w:ilvl w:val="1"/>
          <w:numId w:val="400"/>
        </w:numPr>
        <w:rPr>
          <w:rFonts w:ascii="Arial" w:cs="Arial" w:eastAsia="Arial" w:hAnsi="Arial"/>
          <w:sz w:val="17"/>
          <w:szCs w:val="17"/>
          <w:color w:val="auto"/>
        </w:rPr>
      </w:pPr>
      <w:r>
        <w:rPr>
          <w:rFonts w:ascii="Arial" w:cs="Arial" w:eastAsia="Arial" w:hAnsi="Arial"/>
          <w:sz w:val="17"/>
          <w:szCs w:val="17"/>
          <w:color w:val="auto"/>
        </w:rPr>
        <w:t>This Pledge Agreement shall remain in full force and effect and be binding in accordance with and to the extent of its terms upon each Pledgor and the successors and assigns thereof, and shall inure to the benefit of the Collateral Agent and the other Secured Parties and their respective successors, endorsees, transferees and assigns permitted under the Indenture until the date on which all Obligations (other than, in each case, any contingent indemnity obligations not then due) shall have been satisfied by payment in full (such date,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notwithstanding that from time to time during the term of the Indenture the Guarantors may be free from any Obligations.</w:t>
      </w:r>
    </w:p>
    <w:p>
      <w:pPr>
        <w:spacing w:after="0" w:line="68" w:lineRule="exact"/>
        <w:rPr>
          <w:rFonts w:ascii="Arial" w:cs="Arial" w:eastAsia="Arial" w:hAnsi="Arial"/>
          <w:sz w:val="17"/>
          <w:szCs w:val="17"/>
          <w:color w:val="auto"/>
        </w:rPr>
      </w:pPr>
    </w:p>
    <w:p>
      <w:pPr>
        <w:ind w:firstLine="987"/>
        <w:spacing w:after="0" w:line="301" w:lineRule="auto"/>
        <w:tabs>
          <w:tab w:leader="none" w:pos="1246" w:val="left"/>
        </w:tabs>
        <w:numPr>
          <w:ilvl w:val="1"/>
          <w:numId w:val="400"/>
        </w:numPr>
        <w:rPr>
          <w:rFonts w:ascii="Arial" w:cs="Arial" w:eastAsia="Arial" w:hAnsi="Arial"/>
          <w:sz w:val="16"/>
          <w:szCs w:val="16"/>
          <w:color w:val="auto"/>
        </w:rPr>
      </w:pPr>
      <w:r>
        <w:rPr>
          <w:rFonts w:ascii="Arial" w:cs="Arial" w:eastAsia="Arial" w:hAnsi="Arial"/>
          <w:sz w:val="16"/>
          <w:szCs w:val="16"/>
          <w:color w:val="auto"/>
        </w:rPr>
        <w:t>Any Pledgor shall automatically be released from its obligations hereunder and the Collateral of such Pledgor shall be automatically released as it relates to the Obligations upon such Pledgor ceasing to be a Guarantor in accordance with Article Eight and Section 12.08 of the Indenture. Any such release in connection with any sale, transfer or other disposition of such Collateral permitted under the Indenture to a Person that is not a Guarantor shall result in such Collateral being sold, transferred or disposed of, as applicable, free and clear of the Liens of this Pledge Agreement.</w:t>
      </w:r>
    </w:p>
    <w:p>
      <w:pPr>
        <w:spacing w:after="0" w:line="49" w:lineRule="exact"/>
        <w:rPr>
          <w:rFonts w:ascii="Arial" w:cs="Arial" w:eastAsia="Arial" w:hAnsi="Arial"/>
          <w:sz w:val="16"/>
          <w:szCs w:val="16"/>
          <w:color w:val="auto"/>
        </w:rPr>
      </w:pPr>
    </w:p>
    <w:p>
      <w:pPr>
        <w:ind w:right="160" w:firstLine="987"/>
        <w:spacing w:after="0" w:line="263" w:lineRule="auto"/>
        <w:tabs>
          <w:tab w:leader="none" w:pos="1236" w:val="left"/>
        </w:tabs>
        <w:numPr>
          <w:ilvl w:val="1"/>
          <w:numId w:val="400"/>
        </w:numPr>
        <w:rPr>
          <w:rFonts w:ascii="Arial" w:cs="Arial" w:eastAsia="Arial" w:hAnsi="Arial"/>
          <w:sz w:val="18"/>
          <w:szCs w:val="18"/>
          <w:color w:val="auto"/>
        </w:rPr>
      </w:pPr>
      <w:r>
        <w:rPr>
          <w:rFonts w:ascii="Arial" w:cs="Arial" w:eastAsia="Arial" w:hAnsi="Arial"/>
          <w:sz w:val="18"/>
          <w:szCs w:val="18"/>
          <w:color w:val="auto"/>
        </w:rPr>
        <w:t>The Collateral shall be automatically released from the Liens of this Pledge Agreement as it relates to the Obligations (i) to the extent provided for in Article Fourteen of the Indenture and (ii) upon the effectiveness of any written consent to the release of the security interest granted in such Collateral pursuant to Article Nine of the Indenture.</w:t>
      </w:r>
    </w:p>
    <w:p>
      <w:pPr>
        <w:spacing w:after="0" w:line="75" w:lineRule="exact"/>
        <w:rPr>
          <w:rFonts w:ascii="Arial" w:cs="Arial" w:eastAsia="Arial" w:hAnsi="Arial"/>
          <w:sz w:val="18"/>
          <w:szCs w:val="18"/>
          <w:color w:val="auto"/>
        </w:rPr>
      </w:pPr>
    </w:p>
    <w:p>
      <w:pPr>
        <w:ind w:right="60" w:firstLine="987"/>
        <w:spacing w:after="0" w:line="255" w:lineRule="auto"/>
        <w:tabs>
          <w:tab w:leader="none" w:pos="1246" w:val="left"/>
        </w:tabs>
        <w:numPr>
          <w:ilvl w:val="1"/>
          <w:numId w:val="400"/>
        </w:numPr>
        <w:rPr>
          <w:rFonts w:ascii="Arial" w:cs="Arial" w:eastAsia="Arial" w:hAnsi="Arial"/>
          <w:sz w:val="18"/>
          <w:szCs w:val="18"/>
          <w:color w:val="auto"/>
        </w:rPr>
      </w:pPr>
      <w:r>
        <w:rPr>
          <w:rFonts w:ascii="Arial" w:cs="Arial" w:eastAsia="Arial" w:hAnsi="Arial"/>
          <w:sz w:val="18"/>
          <w:szCs w:val="18"/>
          <w:color w:val="auto"/>
        </w:rPr>
        <w:t xml:space="preserve">In connection with any termination or release pursuant to the foregoing paragraph (a), (b) or (c), the Collateral Agent shall execute and deliver to any Pledgor or authorize the filing of, at such Pledgor’s expense, all documents that such Pledgor shall reasonably request to evidence such termination or release subject to the Collateral Agent’s receipt of a certification by the Issuer and the applicable Pledgor stating that such transaction is in compliance with the Indenture and the other Notes Documents and all conditions precedent to such transaction have been satisfied (upon which the Collateral Agent may conclusively rely). Any execution and delivery of documents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be without recourse to or warranty by the Collateral Agent.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39" w:name="page440"/>
    <w:bookmarkEnd w:id="439"/>
    <w:p>
      <w:pPr>
        <w:ind w:left="-80" w:right="40" w:firstLine="436"/>
        <w:spacing w:after="0" w:line="270" w:lineRule="auto"/>
        <w:tabs>
          <w:tab w:leader="none" w:pos="630"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Reinstatement</w:t>
      </w:r>
      <w:r>
        <w:rPr>
          <w:rFonts w:ascii="Arial" w:cs="Arial" w:eastAsia="Arial" w:hAnsi="Arial"/>
          <w:sz w:val="17"/>
          <w:szCs w:val="17"/>
          <w:color w:val="auto"/>
        </w:rPr>
        <w:t>. Each Pledgor further agrees that, if any payment made by any Guarantor or other Person and applied to the Obligations is at any time annulled, avoided, set aside, rescinded, invalidated, declared to be fraudulent or preferential or otherwise required to be refunded or repaid, or the Proceeds of Collateral are required to be returned by any Secured Party to such Guarantor, its estate, trustee, receiver or any other Person, including any Pledgor, under any bankruptcy law, state, federal or foreign law, common law or equitable cause, then, to the extent of such payment or repayment, any Lien or other Collateral securing such liability shall be and remain in full force and effect, as fully as if such payment had never been made or, if prior thereto the Lien granted hereby or other Collateral securing such liability hereunder shall have been released or terminated by virtue of such cancellation or surrender, such Lien or other Collateral shall be reinstated in full force and effect, and such prior cancellation or surrender shall not diminish, release, discharge, impair or otherwise affect any Lien or other Collateral securing the obligations of any Pledgor in respect of the amount of such payment.</w:t>
      </w:r>
    </w:p>
    <w:p>
      <w:pPr>
        <w:spacing w:after="0" w:line="72" w:lineRule="exact"/>
        <w:rPr>
          <w:rFonts w:ascii="Arial" w:cs="Arial" w:eastAsia="Arial" w:hAnsi="Arial"/>
          <w:sz w:val="17"/>
          <w:szCs w:val="17"/>
          <w:color w:val="auto"/>
        </w:rPr>
      </w:pPr>
    </w:p>
    <w:p>
      <w:pPr>
        <w:ind w:left="-80" w:right="120" w:firstLine="436"/>
        <w:spacing w:after="0" w:line="254" w:lineRule="auto"/>
        <w:tabs>
          <w:tab w:leader="none" w:pos="63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pursuant hereto shall be made in accordance with Section 1.06 and 1.07 of the Indenture. All communications and notices hereunder to any Pledgor shall be given to it in care of Holdings at Holdings’ address set forth in Section 1.06 of the Indenture. All notices, approvals, consents, requests and any communications hereunder must be in writing (provided that any communications sent to the Collateral Agent hereunder must be in the form of a document that is signed manually or by way of a digital signature provided by Docusign (or such other digital signature provider as specified in writing to Collateral Agent by the authorized representative), in English. Each Pledgor and Noteholder (by acceptance of the Notes) agrees to assume all risks arising out of the use of using digital signatures and electronic methods to submit communications to Collateral Agent, including without limitation the risk of Collateral Agent acting on unauthorized instructions, and the risk of interception and misuse by third parties.</w:t>
      </w:r>
    </w:p>
    <w:p>
      <w:pPr>
        <w:spacing w:after="0" w:line="83" w:lineRule="exact"/>
        <w:rPr>
          <w:rFonts w:ascii="Arial" w:cs="Arial" w:eastAsia="Arial" w:hAnsi="Arial"/>
          <w:sz w:val="18"/>
          <w:szCs w:val="18"/>
          <w:color w:val="auto"/>
        </w:rPr>
      </w:pPr>
    </w:p>
    <w:p>
      <w:pPr>
        <w:ind w:left="-80" w:right="20" w:firstLine="436"/>
        <w:spacing w:after="0" w:line="301" w:lineRule="auto"/>
        <w:tabs>
          <w:tab w:leader="none" w:pos="630"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Pledge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Pledge Agreement. Signatures of the parties hereto transmitted by facsimile or electronic format (i.e., “pdf” or “tif”) shall be deemed to be their original signatures for all purposes.</w:t>
      </w:r>
    </w:p>
    <w:p>
      <w:pPr>
        <w:spacing w:after="0" w:line="49" w:lineRule="exact"/>
        <w:rPr>
          <w:rFonts w:ascii="Arial" w:cs="Arial" w:eastAsia="Arial" w:hAnsi="Arial"/>
          <w:sz w:val="16"/>
          <w:szCs w:val="16"/>
          <w:color w:val="auto"/>
        </w:rPr>
      </w:pPr>
    </w:p>
    <w:p>
      <w:pPr>
        <w:ind w:left="-80" w:right="20" w:firstLine="436"/>
        <w:spacing w:after="0" w:line="257" w:lineRule="auto"/>
        <w:tabs>
          <w:tab w:leader="none" w:pos="63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Pledge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79" w:lineRule="exact"/>
        <w:rPr>
          <w:rFonts w:ascii="Arial" w:cs="Arial" w:eastAsia="Arial" w:hAnsi="Arial"/>
          <w:sz w:val="18"/>
          <w:szCs w:val="18"/>
          <w:color w:val="auto"/>
        </w:rPr>
      </w:pPr>
    </w:p>
    <w:p>
      <w:pPr>
        <w:ind w:left="-80" w:firstLine="436"/>
        <w:spacing w:after="0" w:line="263" w:lineRule="auto"/>
        <w:tabs>
          <w:tab w:leader="none" w:pos="63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Pledge Agreement together with the other Notes Documents represents the agreement of each of the Pledgors with respect to the subject matter hereof and there are no promises, undertakings, representations or warranties by the Collateral Agent or any other Secured Party relative to the subject matter hereof not expressly set forth herein or in the other Notes Documents.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520" w:top="274" w:right="519" w:bottom="1440" w:gutter="0" w:footer="0" w:header="0"/>
        </w:sectPr>
      </w:pPr>
    </w:p>
    <w:bookmarkStart w:id="440" w:name="page441"/>
    <w:bookmarkEnd w:id="440"/>
    <w:p>
      <w:pPr>
        <w:ind w:left="680" w:hanging="264"/>
        <w:spacing w:after="0"/>
        <w:tabs>
          <w:tab w:leader="none" w:pos="68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in Writing; No Waiver; Cumulative Remedies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40" w:firstLine="987"/>
        <w:spacing w:after="0" w:line="308" w:lineRule="auto"/>
        <w:tabs>
          <w:tab w:leader="none" w:pos="1216" w:val="left"/>
        </w:tabs>
        <w:numPr>
          <w:ilvl w:val="1"/>
          <w:numId w:val="402"/>
        </w:numPr>
        <w:rPr>
          <w:rFonts w:ascii="Arial" w:cs="Arial" w:eastAsia="Arial" w:hAnsi="Arial"/>
          <w:sz w:val="17"/>
          <w:szCs w:val="17"/>
          <w:color w:val="auto"/>
        </w:rPr>
      </w:pPr>
      <w:r>
        <w:rPr>
          <w:rFonts w:ascii="Arial" w:cs="Arial" w:eastAsia="Arial" w:hAnsi="Arial"/>
          <w:sz w:val="17"/>
          <w:szCs w:val="17"/>
          <w:color w:val="auto"/>
        </w:rPr>
        <w:t>None of the terms or provisions of this Pledge Agreement may be waived, amended, supplemented or otherwise modified except by a written instrument executed by the affected Pledgor and the Collateral Agent in accordance with Article Nine of the Indenture.</w:t>
      </w:r>
    </w:p>
    <w:p>
      <w:pPr>
        <w:spacing w:after="0" w:line="38" w:lineRule="exact"/>
        <w:rPr>
          <w:rFonts w:ascii="Arial" w:cs="Arial" w:eastAsia="Arial" w:hAnsi="Arial"/>
          <w:sz w:val="17"/>
          <w:szCs w:val="17"/>
          <w:color w:val="auto"/>
        </w:rPr>
      </w:pPr>
    </w:p>
    <w:p>
      <w:pPr>
        <w:ind w:left="-20" w:right="40" w:firstLine="987"/>
        <w:spacing w:after="0" w:line="272" w:lineRule="auto"/>
        <w:tabs>
          <w:tab w:leader="none" w:pos="1226"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Neither the Collateral Agent nor any Secured Party shall by any act (except by a written instrument pursuant to </w:t>
      </w:r>
      <w:r>
        <w:rPr>
          <w:rFonts w:ascii="Arial" w:cs="Arial" w:eastAsia="Arial" w:hAnsi="Arial"/>
          <w:sz w:val="17"/>
          <w:szCs w:val="17"/>
          <w:u w:val="single" w:color="auto"/>
          <w:color w:val="auto"/>
        </w:rPr>
        <w:t>Section 19(a)</w:t>
      </w:r>
      <w:r>
        <w:rPr>
          <w:rFonts w:ascii="Arial" w:cs="Arial" w:eastAsia="Arial" w:hAnsi="Arial"/>
          <w:sz w:val="17"/>
          <w:szCs w:val="17"/>
          <w:color w:val="auto"/>
        </w:rPr>
        <w:t>),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Collateral Agent or any other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Collateral Agent or any other Secured Party of any right or remedy hereunder on any one occasion shall not be construed as a bar to any right or remedy that the Collateral Agent or such other Secured Party would otherwise have on any future occasion.</w:t>
      </w:r>
    </w:p>
    <w:p>
      <w:pPr>
        <w:spacing w:after="0" w:line="69" w:lineRule="exact"/>
        <w:rPr>
          <w:rFonts w:ascii="Arial" w:cs="Arial" w:eastAsia="Arial" w:hAnsi="Arial"/>
          <w:sz w:val="17"/>
          <w:szCs w:val="17"/>
          <w:color w:val="auto"/>
        </w:rPr>
      </w:pPr>
    </w:p>
    <w:p>
      <w:pPr>
        <w:ind w:left="-20" w:right="520" w:firstLine="987"/>
        <w:spacing w:after="0" w:line="277" w:lineRule="auto"/>
        <w:tabs>
          <w:tab w:leader="none" w:pos="1216"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rights, remedies, powers and privileges herein provided are cumulative, may be exercised singly or concurrently and are not exclusive of any other rights or remedies provided by law.</w:t>
      </w:r>
    </w:p>
    <w:p>
      <w:pPr>
        <w:spacing w:after="0" w:line="62" w:lineRule="exact"/>
        <w:rPr>
          <w:rFonts w:ascii="Arial" w:cs="Arial" w:eastAsia="Arial" w:hAnsi="Arial"/>
          <w:sz w:val="18"/>
          <w:szCs w:val="18"/>
          <w:color w:val="auto"/>
        </w:rPr>
      </w:pPr>
    </w:p>
    <w:p>
      <w:pPr>
        <w:ind w:left="-20" w:right="680" w:firstLine="436"/>
        <w:spacing w:after="0" w:line="277" w:lineRule="auto"/>
        <w:tabs>
          <w:tab w:leader="none" w:pos="69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Pledge Agreement are for convenience of reference only and are not to affect the construction hereof or be taken into consideration in the interpretation hereof.</w:t>
      </w:r>
    </w:p>
    <w:p>
      <w:pPr>
        <w:spacing w:after="0" w:line="62" w:lineRule="exact"/>
        <w:rPr>
          <w:rFonts w:ascii="Arial" w:cs="Arial" w:eastAsia="Arial" w:hAnsi="Arial"/>
          <w:sz w:val="18"/>
          <w:szCs w:val="18"/>
          <w:color w:val="auto"/>
        </w:rPr>
      </w:pPr>
    </w:p>
    <w:p>
      <w:pPr>
        <w:ind w:left="-20" w:right="200" w:firstLine="436"/>
        <w:spacing w:after="0" w:line="259" w:lineRule="auto"/>
        <w:tabs>
          <w:tab w:leader="none" w:pos="69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Pledge Agreement shall be binding upon the successors and assigns of each Pledgor and shall inure to the benefit of the Collateral Agent and the other Secured Parties and their respective successors and permitted assigns, except that no Pledgor may assign, transfer or delegate any of its rights or obligations under this Pledge Agreement without the prior written consent of the Collateral Agent except pursuant to a transaction permitted by the Indenture.</w:t>
      </w:r>
    </w:p>
    <w:p>
      <w:pPr>
        <w:spacing w:after="0" w:line="78" w:lineRule="exact"/>
        <w:rPr>
          <w:rFonts w:ascii="Arial" w:cs="Arial" w:eastAsia="Arial" w:hAnsi="Arial"/>
          <w:sz w:val="18"/>
          <w:szCs w:val="18"/>
          <w:color w:val="auto"/>
        </w:rPr>
      </w:pPr>
    </w:p>
    <w:p>
      <w:pPr>
        <w:ind w:left="-20" w:right="80" w:firstLine="436"/>
        <w:spacing w:after="0" w:line="263" w:lineRule="auto"/>
        <w:tabs>
          <w:tab w:leader="none" w:pos="69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AND UNCONDITIONALLY WAIVES (TO THE EXTENT PERMITTED BY APPLICABLE LAW) TRIAL BY JURY IN ANY LEGAL ACTION OR PROCEEDING RELATING TO THIS PLEDGE AGREEMENT, ANY OTHER NOTES DOCUMENT AND FOR ANY COUNTERCLAIM THEREIN.</w:t>
      </w:r>
    </w:p>
    <w:p>
      <w:pPr>
        <w:spacing w:after="0" w:line="75" w:lineRule="exact"/>
        <w:rPr>
          <w:rFonts w:ascii="Arial" w:cs="Arial" w:eastAsia="Arial" w:hAnsi="Arial"/>
          <w:sz w:val="18"/>
          <w:szCs w:val="18"/>
          <w:color w:val="auto"/>
        </w:rPr>
      </w:pPr>
    </w:p>
    <w:p>
      <w:pPr>
        <w:ind w:left="680" w:hanging="264"/>
        <w:spacing w:after="0"/>
        <w:tabs>
          <w:tab w:leader="none" w:pos="68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party hereto hereby irrevocably and unconditionally:</w:t>
      </w:r>
    </w:p>
    <w:p>
      <w:pPr>
        <w:spacing w:after="0" w:line="117" w:lineRule="exact"/>
        <w:rPr>
          <w:rFonts w:ascii="Arial" w:cs="Arial" w:eastAsia="Arial" w:hAnsi="Arial"/>
          <w:sz w:val="18"/>
          <w:szCs w:val="18"/>
          <w:color w:val="auto"/>
        </w:rPr>
      </w:pPr>
    </w:p>
    <w:p>
      <w:pPr>
        <w:ind w:left="-20" w:firstLine="987"/>
        <w:spacing w:after="0" w:line="286" w:lineRule="auto"/>
        <w:tabs>
          <w:tab w:leader="none" w:pos="1216" w:val="left"/>
        </w:tabs>
        <w:numPr>
          <w:ilvl w:val="1"/>
          <w:numId w:val="402"/>
        </w:numPr>
        <w:rPr>
          <w:rFonts w:ascii="Arial" w:cs="Arial" w:eastAsia="Arial" w:hAnsi="Arial"/>
          <w:sz w:val="17"/>
          <w:szCs w:val="17"/>
          <w:color w:val="auto"/>
        </w:rPr>
      </w:pPr>
      <w:r>
        <w:rPr>
          <w:rFonts w:ascii="Arial" w:cs="Arial" w:eastAsia="Arial" w:hAnsi="Arial"/>
          <w:sz w:val="17"/>
          <w:szCs w:val="17"/>
          <w:color w:val="auto"/>
        </w:rPr>
        <w:t>submits for itself and its property in any legal action or proceeding relating to this Pledge Agreement and the other Notes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441" w:name="page442"/>
    <w:bookmarkEnd w:id="441"/>
    <w:p>
      <w:pPr>
        <w:ind w:firstLine="987"/>
        <w:spacing w:after="0" w:line="311" w:lineRule="auto"/>
        <w:tabs>
          <w:tab w:leader="none" w:pos="1246" w:val="left"/>
        </w:tabs>
        <w:numPr>
          <w:ilvl w:val="0"/>
          <w:numId w:val="4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consents that any such action or proceeding may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40" w:lineRule="exact"/>
        <w:rPr>
          <w:rFonts w:ascii="Arial" w:cs="Arial" w:eastAsia="Arial" w:hAnsi="Arial"/>
          <w:sz w:val="16"/>
          <w:szCs w:val="16"/>
          <w:color w:val="auto"/>
        </w:rPr>
      </w:pPr>
    </w:p>
    <w:p>
      <w:pPr>
        <w:ind w:right="500" w:firstLine="987"/>
        <w:spacing w:after="0" w:line="277" w:lineRule="auto"/>
        <w:tabs>
          <w:tab w:leader="none" w:pos="123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any special, exemplary, punitive or consequential damages; and</w:t>
      </w:r>
    </w:p>
    <w:p>
      <w:pPr>
        <w:spacing w:after="0" w:line="62" w:lineRule="exact"/>
        <w:rPr>
          <w:rFonts w:ascii="Arial" w:cs="Arial" w:eastAsia="Arial" w:hAnsi="Arial"/>
          <w:sz w:val="18"/>
          <w:szCs w:val="18"/>
          <w:color w:val="auto"/>
        </w:rPr>
      </w:pPr>
    </w:p>
    <w:p>
      <w:pPr>
        <w:ind w:right="120" w:firstLine="987"/>
        <w:spacing w:after="0" w:line="308" w:lineRule="auto"/>
        <w:tabs>
          <w:tab w:leader="none" w:pos="1246" w:val="left"/>
        </w:tabs>
        <w:numPr>
          <w:ilvl w:val="0"/>
          <w:numId w:val="403"/>
        </w:numPr>
        <w:rPr>
          <w:rFonts w:ascii="Arial" w:cs="Arial" w:eastAsia="Arial" w:hAnsi="Arial"/>
          <w:sz w:val="17"/>
          <w:szCs w:val="17"/>
          <w:color w:val="auto"/>
        </w:rPr>
      </w:pPr>
      <w:r>
        <w:rPr>
          <w:rFonts w:ascii="Arial" w:cs="Arial" w:eastAsia="Arial" w:hAnsi="Arial"/>
          <w:sz w:val="17"/>
          <w:szCs w:val="17"/>
          <w:color w:val="auto"/>
        </w:rPr>
        <w:t>agree that nothing herein shall affect the right of any other party hereto (or any Secured Party) to effect service of process in any other manner permitted by law or to commence legal proceedings or otherwise proceed against any Pledgor in any other jurisdiction.</w:t>
      </w:r>
    </w:p>
    <w:p>
      <w:pPr>
        <w:spacing w:after="0" w:line="3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Each of the Pledgors hereby irrevocably and unconditionally agrees that service of process in any such action or proceeding may be effected by mailing a copy thereof by registered or certified mail (or any substantially similar form of mail), postage prepaid, to such Person at its address referred to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or at such other address of which the Collateral Agent shall have been notified pursuant thereto.</w:t>
      </w:r>
    </w:p>
    <w:p>
      <w:pPr>
        <w:spacing w:after="0" w:line="53" w:lineRule="exact"/>
        <w:rPr>
          <w:sz w:val="20"/>
          <w:szCs w:val="20"/>
          <w:color w:val="auto"/>
        </w:rPr>
      </w:pPr>
    </w:p>
    <w:p>
      <w:pPr>
        <w:jc w:val="both"/>
        <w:ind w:right="100" w:firstLine="436"/>
        <w:spacing w:after="0" w:line="266" w:lineRule="auto"/>
        <w:tabs>
          <w:tab w:leader="none" w:pos="710" w:val="left"/>
        </w:tabs>
        <w:numPr>
          <w:ilvl w:val="0"/>
          <w:numId w:val="40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PLEDGE AGREEMENT AND THE RIGHTS AND OBLIGATIONS OF THE PARTIES HEREUNDER SHALL BE GOVERNED BY, AND CONSTRUED AND INTERPRETED IN ACCORDANCE WITH, THE LAW OF THE STATE OF NEW YORK.</w:t>
      </w:r>
    </w:p>
    <w:p>
      <w:pPr>
        <w:spacing w:after="0" w:line="71" w:lineRule="exact"/>
        <w:rPr>
          <w:rFonts w:ascii="Arial" w:cs="Arial" w:eastAsia="Arial" w:hAnsi="Arial"/>
          <w:sz w:val="18"/>
          <w:szCs w:val="18"/>
          <w:color w:val="auto"/>
        </w:rPr>
      </w:pPr>
    </w:p>
    <w:p>
      <w:pPr>
        <w:ind w:right="80" w:firstLine="436"/>
        <w:spacing w:after="0" w:line="269" w:lineRule="auto"/>
        <w:tabs>
          <w:tab w:leader="none" w:pos="710"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Notwithstanding anything herein to the contrary, the liens and security interests granted to the Collateral Agent pursuant to this Pledge Agreement and the exercise of any right or remedy by the Collateral Agent hereunder, are subject to the provisions of any Intercreditor Agreement then in effect. In the event of any conflict between the terms of any Intercreditor Agreement then in effect and the terms of this Pledge Agreement, the terms of such Intercreditor Agreement shall govern and control. No right, power or remedy granted to the Collateral Agent hereunder shall be exercised by the Collateral Agent, and no direction shall be given by the Collateral Agent, in contravention of any such Intercreditor Agreement. So long as the ABL Intercreditor Agreement is outstanding, any requirement in this Pledge Agreement to deliver any ABL Priority Collateral to the Collateral Agent (or any representation or warranty having the effect of requiring the same) shall be deemed satisfied (or any such representation or warranty shall be deemed true) by delivery of such ABL Priority Collateral to the ABL Collateral Agent. So long as the First Lien Intercreditor Agreement is outstanding, any requirement in this Pledge Agreement to deliver Term Loan Priority Collateral to the Collateral Agent (or any representation or warranty having the effect of requiring the same) shall be deemed satisfied (or any such representation or warranty shall be deemed true) by delivery of such Term Loan Priority Collateral to the Controlling Collateral Agent (as defined in the First Lien Intercreditor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42" w:name="page443"/>
    <w:bookmarkEnd w:id="442"/>
    <w:p>
      <w:pPr>
        <w:ind w:left="700" w:hanging="264"/>
        <w:spacing w:after="0"/>
        <w:tabs>
          <w:tab w:leader="none" w:pos="70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Enforcement Expenses; Indemnification.</w:t>
      </w:r>
    </w:p>
    <w:p>
      <w:pPr>
        <w:spacing w:after="0" w:line="117" w:lineRule="exact"/>
        <w:rPr>
          <w:rFonts w:ascii="Arial" w:cs="Arial" w:eastAsia="Arial" w:hAnsi="Arial"/>
          <w:sz w:val="18"/>
          <w:szCs w:val="18"/>
          <w:color w:val="auto"/>
        </w:rPr>
      </w:pPr>
    </w:p>
    <w:p>
      <w:pPr>
        <w:ind w:right="60" w:firstLine="987"/>
        <w:spacing w:after="0" w:line="257" w:lineRule="auto"/>
        <w:tabs>
          <w:tab w:leader="none" w:pos="1236" w:val="left"/>
        </w:tabs>
        <w:numPr>
          <w:ilvl w:val="1"/>
          <w:numId w:val="405"/>
        </w:numPr>
        <w:rPr>
          <w:rFonts w:ascii="Arial" w:cs="Arial" w:eastAsia="Arial" w:hAnsi="Arial"/>
          <w:sz w:val="18"/>
          <w:szCs w:val="18"/>
          <w:color w:val="auto"/>
        </w:rPr>
      </w:pPr>
      <w:r>
        <w:rPr>
          <w:rFonts w:ascii="Arial" w:cs="Arial" w:eastAsia="Arial" w:hAnsi="Arial"/>
          <w:sz w:val="18"/>
          <w:szCs w:val="18"/>
          <w:color w:val="auto"/>
        </w:rPr>
        <w:t>Each Pledgor agrees to pay any and all reasonable and documented out of pocket expenses (including all reasonable and documented fees and disbursements of counsel, experts, nominees and agents) that may be paid or incurred by any Secured Party in enforcing, or obtaining advice of counsel or relevant experts in respect of, any rights with respect to, or collecting, any or all of the Obligations and/or enforcing any rights with respect to, or collecting against, such Pledgor under this Pledge Agreement, in each case subject to the limitations on reimbursement of costs and expenses set forth in Sections 6.07 and 14.08 of the Indenture.</w:t>
      </w:r>
    </w:p>
    <w:p>
      <w:pPr>
        <w:spacing w:after="0" w:line="79" w:lineRule="exact"/>
        <w:rPr>
          <w:rFonts w:ascii="Arial" w:cs="Arial" w:eastAsia="Arial" w:hAnsi="Arial"/>
          <w:sz w:val="18"/>
          <w:szCs w:val="18"/>
          <w:color w:val="auto"/>
        </w:rPr>
      </w:pPr>
    </w:p>
    <w:p>
      <w:pPr>
        <w:ind w:right="100" w:firstLine="987"/>
        <w:spacing w:after="0" w:line="279" w:lineRule="auto"/>
        <w:tabs>
          <w:tab w:leader="none" w:pos="1246" w:val="left"/>
        </w:tabs>
        <w:numPr>
          <w:ilvl w:val="1"/>
          <w:numId w:val="405"/>
        </w:numPr>
        <w:rPr>
          <w:rFonts w:ascii="Arial" w:cs="Arial" w:eastAsia="Arial" w:hAnsi="Arial"/>
          <w:sz w:val="17"/>
          <w:szCs w:val="17"/>
          <w:color w:val="auto"/>
        </w:rPr>
      </w:pPr>
      <w:r>
        <w:rPr>
          <w:rFonts w:ascii="Arial" w:cs="Arial" w:eastAsia="Arial" w:hAnsi="Arial"/>
          <w:sz w:val="17"/>
          <w:szCs w:val="17"/>
          <w:color w:val="auto"/>
        </w:rPr>
        <w:t>Each Pledgor agrees to pay, and to save the Collateral Agent and the Secured Parties harmless from, any and all liabilities, obligations, losses, damages, penalties, actions, judgments, suits, costs, expenses or disbursements of any kind or nature whatsoever with respect to the execution, delivery, enforcement, performance and administration of this Pledge Agreement (including enforcing the indemnity obligations set forth herein) to the extent the Issuer would be required to do so pursuant to Sections 6.07 and 14.08 of the Indenture.</w:t>
      </w:r>
    </w:p>
    <w:p>
      <w:pPr>
        <w:spacing w:after="0" w:line="63" w:lineRule="exact"/>
        <w:rPr>
          <w:rFonts w:ascii="Arial" w:cs="Arial" w:eastAsia="Arial" w:hAnsi="Arial"/>
          <w:sz w:val="17"/>
          <w:szCs w:val="17"/>
          <w:color w:val="auto"/>
        </w:rPr>
      </w:pPr>
    </w:p>
    <w:p>
      <w:pPr>
        <w:ind w:firstLine="987"/>
        <w:spacing w:after="0" w:line="277" w:lineRule="auto"/>
        <w:tabs>
          <w:tab w:leader="none" w:pos="1236"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The agreements in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survive repayment of the Obligations and all other amounts payable under the Indenture and the other Notes Documents and the resignation and removal of the Collateral Agent.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xml:space="preserve"> Each party hereto hereby acknowledges that:</w:t>
      </w:r>
    </w:p>
    <w:p>
      <w:pPr>
        <w:spacing w:after="0" w:line="117" w:lineRule="exact"/>
        <w:rPr>
          <w:rFonts w:ascii="Arial" w:cs="Arial" w:eastAsia="Arial" w:hAnsi="Arial"/>
          <w:sz w:val="18"/>
          <w:szCs w:val="18"/>
          <w:color w:val="auto"/>
        </w:rPr>
      </w:pPr>
    </w:p>
    <w:p>
      <w:pPr>
        <w:ind w:right="200" w:firstLine="987"/>
        <w:spacing w:after="0" w:line="277" w:lineRule="auto"/>
        <w:tabs>
          <w:tab w:leader="none" w:pos="1236"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Pledge Agreement and the other Notes Documents to which it is a party;</w:t>
      </w:r>
    </w:p>
    <w:p>
      <w:pPr>
        <w:spacing w:after="0" w:line="62" w:lineRule="exact"/>
        <w:rPr>
          <w:rFonts w:ascii="Arial" w:cs="Arial" w:eastAsia="Arial" w:hAnsi="Arial"/>
          <w:sz w:val="18"/>
          <w:szCs w:val="18"/>
          <w:color w:val="auto"/>
        </w:rPr>
      </w:pPr>
    </w:p>
    <w:p>
      <w:pPr>
        <w:ind w:right="140" w:firstLine="987"/>
        <w:spacing w:after="0" w:line="311" w:lineRule="auto"/>
        <w:tabs>
          <w:tab w:leader="none" w:pos="1246" w:val="left"/>
        </w:tabs>
        <w:numPr>
          <w:ilvl w:val="1"/>
          <w:numId w:val="405"/>
        </w:numPr>
        <w:rPr>
          <w:rFonts w:ascii="Arial" w:cs="Arial" w:eastAsia="Arial" w:hAnsi="Arial"/>
          <w:sz w:val="16"/>
          <w:szCs w:val="16"/>
          <w:color w:val="auto"/>
        </w:rPr>
      </w:pPr>
      <w:r>
        <w:rPr>
          <w:rFonts w:ascii="Arial" w:cs="Arial" w:eastAsia="Arial" w:hAnsi="Arial"/>
          <w:sz w:val="16"/>
          <w:szCs w:val="16"/>
          <w:color w:val="auto"/>
        </w:rPr>
        <w:t>neither the Collateral Agent nor any other Secured Party has any fiduciary relationship with or duty to any Pledgor arising out of or in connection with this Pledge Agreement or any of the other Notes Documents, and the relationship between the Pledgors, on the one hand, and the Collateral Agent and the other Secured Parties, on the other hand, in connection herewith or therewith is solely that of debtor and creditor; and</w:t>
      </w:r>
    </w:p>
    <w:p>
      <w:pPr>
        <w:spacing w:after="0" w:line="40" w:lineRule="exact"/>
        <w:rPr>
          <w:rFonts w:ascii="Arial" w:cs="Arial" w:eastAsia="Arial" w:hAnsi="Arial"/>
          <w:sz w:val="16"/>
          <w:szCs w:val="16"/>
          <w:color w:val="auto"/>
        </w:rPr>
      </w:pPr>
    </w:p>
    <w:p>
      <w:pPr>
        <w:ind w:right="500" w:firstLine="987"/>
        <w:spacing w:after="0" w:line="342" w:lineRule="auto"/>
        <w:tabs>
          <w:tab w:leader="none" w:pos="1236" w:val="left"/>
        </w:tabs>
        <w:numPr>
          <w:ilvl w:val="1"/>
          <w:numId w:val="405"/>
        </w:numPr>
        <w:rPr>
          <w:rFonts w:ascii="Arial" w:cs="Arial" w:eastAsia="Arial" w:hAnsi="Arial"/>
          <w:sz w:val="16"/>
          <w:szCs w:val="16"/>
          <w:color w:val="auto"/>
        </w:rPr>
      </w:pPr>
      <w:r>
        <w:rPr>
          <w:rFonts w:ascii="Arial" w:cs="Arial" w:eastAsia="Arial" w:hAnsi="Arial"/>
          <w:sz w:val="16"/>
          <w:szCs w:val="16"/>
          <w:color w:val="auto"/>
        </w:rPr>
        <w:t>no joint venture is created hereby or by the other Notes Documents or otherwise exists by virtue of the transactions contemplated hereby among the Holders and any other Secured Party or among the Pledgors and the Holders and any other Secured Party.</w:t>
      </w:r>
    </w:p>
    <w:p>
      <w:pPr>
        <w:spacing w:after="0" w:line="15" w:lineRule="exact"/>
        <w:rPr>
          <w:rFonts w:ascii="Arial" w:cs="Arial" w:eastAsia="Arial" w:hAnsi="Arial"/>
          <w:sz w:val="16"/>
          <w:szCs w:val="16"/>
          <w:color w:val="auto"/>
        </w:rPr>
      </w:pPr>
    </w:p>
    <w:p>
      <w:pPr>
        <w:ind w:right="40" w:firstLine="436"/>
        <w:spacing w:after="0" w:line="255" w:lineRule="auto"/>
        <w:tabs>
          <w:tab w:leader="none" w:pos="71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Additional Pledgors</w:t>
      </w:r>
      <w:r>
        <w:rPr>
          <w:rFonts w:ascii="Arial" w:cs="Arial" w:eastAsia="Arial" w:hAnsi="Arial"/>
          <w:sz w:val="18"/>
          <w:szCs w:val="18"/>
          <w:color w:val="auto"/>
        </w:rPr>
        <w:t>. Each Subsidiary of the Issuer that is required to become a party to this Pledge Agreement pursuant to Section 12.03 of the Indenture shall become a Guarantor Pledgor, with the same force and effect as if originally named as a Pledgor herein, for all purposes of this Pledge Agreement, upon execution and delivery by such Subsidiary of a written supplement substantially in the form of Annex A hereto. The execution and delivery of any instrument adding an additional Pledgor as a party to this Pledge Agreement shall not require the consent of any other Pledgor hereunder. The rights and obligations of each Pledgor hereunder shall remain in full force and effect notwithstanding the addition of any new Pledgor as a party to this Pledge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43" w:name="page444"/>
    <w:bookmarkEnd w:id="443"/>
    <w:p>
      <w:pPr>
        <w:ind w:firstLine="436"/>
        <w:spacing w:after="0" w:line="269" w:lineRule="auto"/>
        <w:tabs>
          <w:tab w:leader="none" w:pos="710"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Agent Capacity.</w:t>
      </w:r>
      <w:r>
        <w:rPr>
          <w:rFonts w:ascii="Arial" w:cs="Arial" w:eastAsia="Arial" w:hAnsi="Arial"/>
          <w:sz w:val="17"/>
          <w:szCs w:val="17"/>
          <w:color w:val="auto"/>
        </w:rPr>
        <w:t xml:space="preserve"> The Bank of New York Mellon Trust Company, N.A., is executing this Pledge Agreement, not in its individual capacity but solely in its capacity as Collateral Agent under that certain Indenture dated as of November 6, 2020. In acting hereunder, the Collateral Agent shall be entitled to all the rights, powers, protections, immunities, and indemnities afforded to it under the Indenture as if the same were set forth herein,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The permissive rights, benefits and powers granted to the Collateral Agent hereunder (including the power to exercise any remedies following an Event of Default) shall not be construed as duties. All discretionary acts hereunder (including the exercise </w:t>
      </w:r>
      <w:r>
        <w:rPr>
          <w:rFonts w:ascii="Arial" w:cs="Arial" w:eastAsia="Arial" w:hAnsi="Arial"/>
          <w:sz w:val="17"/>
          <w:szCs w:val="17"/>
          <w:u w:val="single" w:color="auto"/>
          <w:color w:val="auto"/>
        </w:rPr>
        <w:t>of</w:t>
      </w:r>
      <w:r>
        <w:rPr>
          <w:rFonts w:ascii="Arial" w:cs="Arial" w:eastAsia="Arial" w:hAnsi="Arial"/>
          <w:sz w:val="17"/>
          <w:szCs w:val="17"/>
          <w:color w:val="auto"/>
        </w:rPr>
        <w:t xml:space="preserve"> any remedies) shall be taken by the Collateral Agent pursuant and subject to the terms of the Indenture (including the Collateral Agent’s right to be adequately indemnified and directed). The Collateral Agent shall be entitled to exercise its rights, powers and duties hereunder through agents, experts or designees and shall not be responsible for the acts of any such parties appointed with due care. Notwithstanding anything herein to the contrary, the Collateral Agent shall have no responsibility for preparing, recording, filing, re-recording, or re-filing any financing statement, perfection statement, continuation statement or other instrument in any public office or for otherwise ensuring the perfection or maintenance of any security interest granted pursuant to this Pledge Agreement, the Indenture or any Security Document.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44" w:name="page445"/>
    <w:bookmarkEnd w:id="44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and delivered by their respective officers thereunto duly authorized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LTD., as Grantor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Academy Managing Co., L.L.C., its General Partner</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7"/>
          <w:szCs w:val="17"/>
          <w:color w:val="auto"/>
        </w:rPr>
        <w:t>Title:</w:t>
        <w:tab/>
        <w:t>Senior Vice President and General Counsel</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ACADEMY HOLDING COMPANY, LLC, as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Grantor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7"/>
          <w:szCs w:val="17"/>
          <w:color w:val="auto"/>
        </w:rPr>
        <w:t>Title:</w:t>
        <w:tab/>
        <w:t>Senior Vice President and General Counsel</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MANAGING CO., L.L.C., as Grantor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7"/>
          <w:szCs w:val="17"/>
          <w:color w:val="auto"/>
        </w:rPr>
        <w:t>Title:</w:t>
        <w:tab/>
        <w:t>Senior Vice President and General Counsel</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ASSOCIATED INVESTORS, L.L.C., as Grantor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7"/>
          <w:szCs w:val="17"/>
          <w:color w:val="auto"/>
        </w:rPr>
        <w:t>Title:</w:t>
        <w:tab/>
        <w:t>Senior Vice President and General Counsel</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for the Notes Pledge Agreement</w:t>
      </w:r>
      <w:r>
        <w:rPr>
          <w:rFonts w:ascii="Arial" w:cs="Arial" w:eastAsia="Arial" w:hAnsi="Arial"/>
          <w:sz w:val="18"/>
          <w:szCs w:val="18"/>
          <w:color w:val="auto"/>
        </w:rPr>
        <w:t>]</w:t>
      </w:r>
    </w:p>
    <w:p>
      <w:pPr>
        <w:sectPr>
          <w:pgSz w:w="11900" w:h="16838" w:orient="portrait"/>
          <w:cols w:equalWidth="0" w:num="1">
            <w:col w:w="10900"/>
          </w:cols>
          <w:pgMar w:left="440" w:top="274" w:right="559" w:bottom="1440" w:gutter="0" w:footer="0" w:header="0"/>
        </w:sectPr>
      </w:pPr>
    </w:p>
    <w:bookmarkStart w:id="445" w:name="page446"/>
    <w:bookmarkEnd w:id="44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 TRUST</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COMPANY, N.A.,</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the Collateral Agent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for the Notes Pledge Agreement</w:t>
      </w:r>
      <w:r>
        <w:rPr>
          <w:rFonts w:ascii="Arial" w:cs="Arial" w:eastAsia="Arial" w:hAnsi="Arial"/>
          <w:sz w:val="16"/>
          <w:szCs w:val="16"/>
          <w:color w:val="auto"/>
        </w:rPr>
        <w:t>]</w:t>
      </w:r>
    </w:p>
    <w:p>
      <w:pPr>
        <w:sectPr>
          <w:pgSz w:w="11900" w:h="16838" w:orient="portrait"/>
          <w:cols w:equalWidth="0" w:num="1">
            <w:col w:w="9200"/>
          </w:cols>
          <w:pgMar w:left="1440" w:top="274" w:right="1259"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consent to the use in this Registration Statement on Form S-1 of our report dated July 10, 2020 relating to the financial statements of New Academy Holding Company, LLC. We also consent to the reference to us under the heading “Experts” in such Registration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25, 2021</w:t>
      </w:r>
    </w:p>
    <w:p>
      <w:pPr>
        <w:sectPr>
          <w:pgSz w:w="11900" w:h="16838" w:orient="portrait"/>
          <w:cols w:equalWidth="0" w:num="1">
            <w:col w:w="11020"/>
          </w:cols>
          <w:pgMar w:left="440" w:top="121" w:right="43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consent to the use in this Registration Statement on Form S-1 of our report dated July 10, 2020 relating to the financial statements of Academy Sports and Outdoors, Inc. We also consent to the reference to us under the heading “Experts” in such Registration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25,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6F2D364"/>
    <w:multiLevelType w:val="hybridMultilevel"/>
    <w:lvl w:ilvl="0">
      <w:lvlJc w:val="left"/>
      <w:lvlText w:val="(%1)"/>
      <w:numFmt w:val="decimal"/>
      <w:start w:val="1"/>
    </w:lvl>
  </w:abstractNum>
  <w:abstractNum w:abstractNumId="1">
    <w:nsid w:val="71C1AF98"/>
    <w:multiLevelType w:val="hybridMultilevel"/>
    <w:lvl w:ilvl="0">
      <w:lvlJc w:val="left"/>
      <w:lvlText w:val="(%1)"/>
      <w:numFmt w:val="decimal"/>
      <w:start w:val="1"/>
    </w:lvl>
  </w:abstractNum>
  <w:abstractNum w:abstractNumId="2">
    <w:nsid w:val="3D00B9D9"/>
    <w:multiLevelType w:val="hybridMultilevel"/>
    <w:lvl w:ilvl="0">
      <w:lvlJc w:val="left"/>
      <w:lvlText w:val="•"/>
      <w:numFmt w:val="bullet"/>
      <w:start w:val="1"/>
    </w:lvl>
  </w:abstractNum>
  <w:abstractNum w:abstractNumId="3">
    <w:nsid w:val="15BCABA8"/>
    <w:multiLevelType w:val="hybridMultilevel"/>
    <w:lvl w:ilvl="0">
      <w:lvlJc w:val="left"/>
      <w:lvlText w:val="•"/>
      <w:numFmt w:val="bullet"/>
      <w:start w:val="1"/>
    </w:lvl>
  </w:abstractNum>
  <w:abstractNum w:abstractNumId="4">
    <w:nsid w:val="4E0B9A87"/>
    <w:multiLevelType w:val="hybridMultilevel"/>
    <w:lvl w:ilvl="0">
      <w:lvlJc w:val="left"/>
      <w:lvlText w:val="•"/>
      <w:numFmt w:val="bullet"/>
      <w:start w:val="1"/>
    </w:lvl>
  </w:abstractNum>
  <w:abstractNum w:abstractNumId="5">
    <w:nsid w:val="434BAE75"/>
    <w:multiLevelType w:val="hybridMultilevel"/>
    <w:lvl w:ilvl="0">
      <w:lvlJc w:val="left"/>
      <w:lvlText w:val="•"/>
      <w:numFmt w:val="bullet"/>
      <w:start w:val="1"/>
    </w:lvl>
  </w:abstractNum>
  <w:abstractNum w:abstractNumId="6">
    <w:nsid w:val="4F38F265"/>
    <w:multiLevelType w:val="hybridMultilevel"/>
    <w:lvl w:ilvl="0">
      <w:lvlJc w:val="left"/>
      <w:lvlText w:val="•"/>
      <w:numFmt w:val="bullet"/>
      <w:start w:val="1"/>
    </w:lvl>
  </w:abstractNum>
  <w:abstractNum w:abstractNumId="7">
    <w:nsid w:val="4C502870"/>
    <w:multiLevelType w:val="hybridMultilevel"/>
    <w:lvl w:ilvl="0">
      <w:lvlJc w:val="left"/>
      <w:lvlText w:val="•"/>
      <w:numFmt w:val="bullet"/>
      <w:start w:val="1"/>
    </w:lvl>
  </w:abstractNum>
  <w:abstractNum w:abstractNumId="8">
    <w:nsid w:val="1DE8725A"/>
    <w:multiLevelType w:val="hybridMultilevel"/>
    <w:lvl w:ilvl="0">
      <w:lvlJc w:val="left"/>
      <w:lvlText w:val="•"/>
      <w:numFmt w:val="bullet"/>
      <w:start w:val="1"/>
    </w:lvl>
  </w:abstractNum>
  <w:abstractNum w:abstractNumId="9">
    <w:nsid w:val="6A37288A"/>
    <w:multiLevelType w:val="hybridMultilevel"/>
    <w:lvl w:ilvl="0">
      <w:lvlJc w:val="left"/>
      <w:lvlText w:val="•"/>
      <w:numFmt w:val="bullet"/>
      <w:start w:val="1"/>
    </w:lvl>
  </w:abstractNum>
  <w:abstractNum w:abstractNumId="10">
    <w:nsid w:val="8F8B73F"/>
    <w:multiLevelType w:val="hybridMultilevel"/>
    <w:lvl w:ilvl="0">
      <w:lvlJc w:val="left"/>
      <w:lvlText w:val="•"/>
      <w:numFmt w:val="bullet"/>
      <w:start w:val="1"/>
    </w:lvl>
  </w:abstractNum>
  <w:abstractNum w:abstractNumId="11">
    <w:nsid w:val="CA6B462"/>
    <w:multiLevelType w:val="hybridMultilevel"/>
    <w:lvl w:ilvl="0">
      <w:lvlJc w:val="left"/>
      <w:lvlText w:val="(%1)"/>
      <w:numFmt w:val="decimal"/>
      <w:start w:val="1"/>
    </w:lvl>
  </w:abstractNum>
  <w:abstractNum w:abstractNumId="12">
    <w:nsid w:val="763CB680"/>
    <w:multiLevelType w:val="hybridMultilevel"/>
    <w:lvl w:ilvl="0">
      <w:lvlJc w:val="left"/>
      <w:lvlText w:val="(%1)"/>
      <w:numFmt w:val="decimal"/>
      <w:start w:val="5"/>
    </w:lvl>
  </w:abstractNum>
  <w:abstractNum w:abstractNumId="13">
    <w:nsid w:val="15B71329"/>
    <w:multiLevelType w:val="hybridMultilevel"/>
    <w:lvl w:ilvl="0">
      <w:lvlJc w:val="left"/>
      <w:lvlText w:val="•"/>
      <w:numFmt w:val="bullet"/>
      <w:start w:val="1"/>
    </w:lvl>
    <w:lvl w:ilvl="1">
      <w:lvlJc w:val="left"/>
      <w:lvlText w:val="•"/>
      <w:numFmt w:val="bullet"/>
      <w:start w:val="1"/>
    </w:lvl>
  </w:abstractNum>
  <w:abstractNum w:abstractNumId="14">
    <w:nsid w:val="3DA97044"/>
    <w:multiLevelType w:val="hybridMultilevel"/>
    <w:lvl w:ilvl="0">
      <w:lvlJc w:val="left"/>
      <w:lvlText w:val="(%1)"/>
      <w:numFmt w:val="lowerLetter"/>
      <w:start w:val="1"/>
    </w:lvl>
  </w:abstractNum>
  <w:abstractNum w:abstractNumId="15">
    <w:nsid w:val="1CDCE2DE"/>
    <w:multiLevelType w:val="hybridMultilevel"/>
    <w:lvl w:ilvl="0">
      <w:lvlJc w:val="left"/>
      <w:lvlText w:val="•"/>
      <w:numFmt w:val="bullet"/>
      <w:start w:val="1"/>
    </w:lvl>
  </w:abstractNum>
  <w:abstractNum w:abstractNumId="16">
    <w:nsid w:val="69D3947C"/>
    <w:multiLevelType w:val="hybridMultilevel"/>
    <w:lvl w:ilvl="0">
      <w:lvlJc w:val="left"/>
      <w:lvlText w:val="•"/>
      <w:numFmt w:val="bullet"/>
      <w:start w:val="1"/>
    </w:lvl>
  </w:abstractNum>
  <w:abstractNum w:abstractNumId="17">
    <w:nsid w:val="2539DFA5"/>
    <w:multiLevelType w:val="hybridMultilevel"/>
    <w:lvl w:ilvl="0">
      <w:lvlJc w:val="left"/>
      <w:lvlText w:val="•"/>
      <w:numFmt w:val="bullet"/>
      <w:start w:val="1"/>
    </w:lvl>
  </w:abstractNum>
  <w:abstractNum w:abstractNumId="18">
    <w:nsid w:val="2DB88089"/>
    <w:multiLevelType w:val="hybridMultilevel"/>
    <w:lvl w:ilvl="0">
      <w:lvlJc w:val="left"/>
      <w:lvlText w:val="•"/>
      <w:numFmt w:val="bullet"/>
      <w:start w:val="1"/>
    </w:lvl>
  </w:abstractNum>
  <w:abstractNum w:abstractNumId="19">
    <w:nsid w:val="706B674E"/>
    <w:multiLevelType w:val="hybridMultilevel"/>
    <w:lvl w:ilvl="0">
      <w:lvlJc w:val="left"/>
      <w:lvlText w:val="•"/>
      <w:numFmt w:val="bullet"/>
      <w:start w:val="1"/>
    </w:lvl>
  </w:abstractNum>
  <w:abstractNum w:abstractNumId="20">
    <w:nsid w:val="2C106A57"/>
    <w:multiLevelType w:val="hybridMultilevel"/>
    <w:lvl w:ilvl="0">
      <w:lvlJc w:val="left"/>
      <w:lvlText w:val="•"/>
      <w:numFmt w:val="bullet"/>
      <w:start w:val="1"/>
    </w:lvl>
  </w:abstractNum>
  <w:abstractNum w:abstractNumId="21">
    <w:nsid w:val="684EED59"/>
    <w:multiLevelType w:val="hybridMultilevel"/>
    <w:lvl w:ilvl="0">
      <w:lvlJc w:val="left"/>
      <w:lvlText w:val="•"/>
      <w:numFmt w:val="bullet"/>
      <w:start w:val="1"/>
    </w:lvl>
  </w:abstractNum>
  <w:abstractNum w:abstractNumId="22">
    <w:nsid w:val="545EE5D3"/>
    <w:multiLevelType w:val="hybridMultilevel"/>
    <w:lvl w:ilvl="0">
      <w:lvlJc w:val="left"/>
      <w:lvlText w:val="•"/>
      <w:numFmt w:val="bullet"/>
      <w:start w:val="1"/>
    </w:lvl>
  </w:abstractNum>
  <w:abstractNum w:abstractNumId="23">
    <w:nsid w:val="4A66051"/>
    <w:multiLevelType w:val="hybridMultilevel"/>
    <w:lvl w:ilvl="0">
      <w:lvlJc w:val="left"/>
      <w:lvlText w:val="•"/>
      <w:numFmt w:val="bullet"/>
      <w:start w:val="1"/>
    </w:lvl>
  </w:abstractNum>
  <w:abstractNum w:abstractNumId="24">
    <w:nsid w:val="20F4BDAD"/>
    <w:multiLevelType w:val="hybridMultilevel"/>
    <w:lvl w:ilvl="0">
      <w:lvlJc w:val="left"/>
      <w:lvlText w:val="•"/>
      <w:numFmt w:val="bullet"/>
      <w:start w:val="1"/>
    </w:lvl>
  </w:abstractNum>
  <w:abstractNum w:abstractNumId="25">
    <w:nsid w:val="639DEFAC"/>
    <w:multiLevelType w:val="hybridMultilevel"/>
    <w:lvl w:ilvl="0">
      <w:lvlJc w:val="left"/>
      <w:lvlText w:val="•"/>
      <w:numFmt w:val="bullet"/>
      <w:start w:val="1"/>
    </w:lvl>
  </w:abstractNum>
  <w:abstractNum w:abstractNumId="26">
    <w:nsid w:val="501F9786"/>
    <w:multiLevelType w:val="hybridMultilevel"/>
    <w:lvl w:ilvl="0">
      <w:lvlJc w:val="left"/>
      <w:lvlText w:val="•"/>
      <w:numFmt w:val="bullet"/>
      <w:start w:val="1"/>
    </w:lvl>
  </w:abstractNum>
  <w:abstractNum w:abstractNumId="27">
    <w:nsid w:val="6B057295"/>
    <w:multiLevelType w:val="hybridMultilevel"/>
    <w:lvl w:ilvl="0">
      <w:lvlJc w:val="left"/>
      <w:lvlText w:val="•"/>
      <w:numFmt w:val="bullet"/>
      <w:start w:val="1"/>
    </w:lvl>
  </w:abstractNum>
  <w:abstractNum w:abstractNumId="28">
    <w:nsid w:val="2771AC80"/>
    <w:multiLevelType w:val="hybridMultilevel"/>
    <w:lvl w:ilvl="0">
      <w:lvlJc w:val="left"/>
      <w:lvlText w:val="•"/>
      <w:numFmt w:val="bullet"/>
      <w:start w:val="1"/>
    </w:lvl>
  </w:abstractNum>
  <w:abstractNum w:abstractNumId="29">
    <w:nsid w:val="1C4A08EC"/>
    <w:multiLevelType w:val="hybridMultilevel"/>
    <w:lvl w:ilvl="0">
      <w:lvlJc w:val="left"/>
      <w:lvlText w:val="•"/>
      <w:numFmt w:val="bullet"/>
      <w:start w:val="1"/>
    </w:lvl>
  </w:abstractNum>
  <w:abstractNum w:abstractNumId="30">
    <w:nsid w:val="1958BD17"/>
    <w:multiLevelType w:val="hybridMultilevel"/>
    <w:lvl w:ilvl="0">
      <w:lvlJc w:val="left"/>
      <w:lvlText w:val="•"/>
      <w:numFmt w:val="bullet"/>
      <w:start w:val="1"/>
    </w:lvl>
  </w:abstractNum>
  <w:abstractNum w:abstractNumId="31">
    <w:nsid w:val="4E647FE4"/>
    <w:multiLevelType w:val="hybridMultilevel"/>
    <w:lvl w:ilvl="0">
      <w:lvlJc w:val="left"/>
      <w:lvlText w:val="•"/>
      <w:numFmt w:val="bullet"/>
      <w:start w:val="1"/>
    </w:lvl>
  </w:abstractNum>
  <w:abstractNum w:abstractNumId="32">
    <w:nsid w:val="E0BB885"/>
    <w:multiLevelType w:val="hybridMultilevel"/>
    <w:lvl w:ilvl="0">
      <w:lvlJc w:val="left"/>
      <w:lvlText w:val="•"/>
      <w:numFmt w:val="bullet"/>
      <w:start w:val="1"/>
    </w:lvl>
  </w:abstractNum>
  <w:abstractNum w:abstractNumId="33">
    <w:nsid w:val="565976F1"/>
    <w:multiLevelType w:val="hybridMultilevel"/>
    <w:lvl w:ilvl="0">
      <w:lvlJc w:val="left"/>
      <w:lvlText w:val="•"/>
      <w:numFmt w:val="bullet"/>
      <w:start w:val="1"/>
    </w:lvl>
  </w:abstractNum>
  <w:abstractNum w:abstractNumId="34">
    <w:nsid w:val="64212B8C"/>
    <w:multiLevelType w:val="hybridMultilevel"/>
    <w:lvl w:ilvl="0">
      <w:lvlJc w:val="left"/>
      <w:lvlText w:val="•"/>
      <w:numFmt w:val="bullet"/>
      <w:start w:val="1"/>
    </w:lvl>
  </w:abstractNum>
  <w:abstractNum w:abstractNumId="35">
    <w:nsid w:val="5C17530C"/>
    <w:multiLevelType w:val="hybridMultilevel"/>
    <w:lvl w:ilvl="0">
      <w:lvlJc w:val="left"/>
      <w:lvlText w:val="(%1)"/>
      <w:numFmt w:val="lowerRoman"/>
      <w:start w:val="1"/>
    </w:lvl>
  </w:abstractNum>
  <w:abstractNum w:abstractNumId="36">
    <w:nsid w:val="19A52566"/>
    <w:multiLevelType w:val="hybridMultilevel"/>
    <w:lvl w:ilvl="0">
      <w:lvlJc w:val="left"/>
      <w:lvlText w:val="•"/>
      <w:numFmt w:val="bullet"/>
      <w:start w:val="1"/>
    </w:lvl>
  </w:abstractNum>
  <w:abstractNum w:abstractNumId="37">
    <w:nsid w:val="335A1DF1"/>
    <w:multiLevelType w:val="hybridMultilevel"/>
    <w:lvl w:ilvl="0">
      <w:lvlJc w:val="left"/>
      <w:lvlText w:val="•"/>
      <w:numFmt w:val="bullet"/>
      <w:start w:val="1"/>
    </w:lvl>
  </w:abstractNum>
  <w:abstractNum w:abstractNumId="38">
    <w:nsid w:val="28677B7C"/>
    <w:multiLevelType w:val="hybridMultilevel"/>
    <w:lvl w:ilvl="0">
      <w:lvlJc w:val="left"/>
      <w:lvlText w:val="(%1)"/>
      <w:numFmt w:val="decimal"/>
      <w:start w:val="1"/>
    </w:lvl>
  </w:abstractNum>
  <w:abstractNum w:abstractNumId="39">
    <w:nsid w:val="378D97C0"/>
    <w:multiLevelType w:val="hybridMultilevel"/>
    <w:lvl w:ilvl="0">
      <w:lvlJc w:val="left"/>
      <w:lvlText w:val="(%1)"/>
      <w:numFmt w:val="decimal"/>
      <w:start w:val="1"/>
    </w:lvl>
  </w:abstractNum>
  <w:abstractNum w:abstractNumId="40">
    <w:nsid w:val="1D91467C"/>
    <w:multiLevelType w:val="hybridMultilevel"/>
    <w:lvl w:ilvl="0">
      <w:lvlJc w:val="left"/>
      <w:lvlText w:val="(%1)"/>
      <w:numFmt w:val="decimal"/>
      <w:start w:val="3"/>
    </w:lvl>
  </w:abstractNum>
  <w:abstractNum w:abstractNumId="41">
    <w:nsid w:val="316032BB"/>
    <w:multiLevelType w:val="hybridMultilevel"/>
    <w:lvl w:ilvl="0">
      <w:lvlJc w:val="left"/>
      <w:lvlText w:val="•"/>
      <w:numFmt w:val="bullet"/>
      <w:start w:val="1"/>
    </w:lvl>
  </w:abstractNum>
  <w:abstractNum w:abstractNumId="42">
    <w:nsid w:val="44344C22"/>
    <w:multiLevelType w:val="hybridMultilevel"/>
    <w:lvl w:ilvl="0">
      <w:lvlJc w:val="left"/>
      <w:lvlText w:val="•"/>
      <w:numFmt w:val="bullet"/>
      <w:start w:val="1"/>
    </w:lvl>
  </w:abstractNum>
  <w:abstractNum w:abstractNumId="43">
    <w:nsid w:val="13CDFCFC"/>
    <w:multiLevelType w:val="hybridMultilevel"/>
    <w:lvl w:ilvl="0">
      <w:lvlJc w:val="left"/>
      <w:lvlText w:val="•"/>
      <w:numFmt w:val="bullet"/>
      <w:start w:val="1"/>
    </w:lvl>
  </w:abstractNum>
  <w:abstractNum w:abstractNumId="44">
    <w:nsid w:val="471745E4"/>
    <w:multiLevelType w:val="hybridMultilevel"/>
    <w:lvl w:ilvl="0">
      <w:lvlJc w:val="left"/>
      <w:lvlText w:val="•"/>
      <w:numFmt w:val="bullet"/>
      <w:start w:val="1"/>
    </w:lvl>
  </w:abstractNum>
  <w:abstractNum w:abstractNumId="45">
    <w:nsid w:val="1DDBC66"/>
    <w:multiLevelType w:val="hybridMultilevel"/>
    <w:lvl w:ilvl="0">
      <w:lvlJc w:val="left"/>
      <w:lvlText w:val="•"/>
      <w:numFmt w:val="bullet"/>
      <w:start w:val="1"/>
    </w:lvl>
  </w:abstractNum>
  <w:abstractNum w:abstractNumId="46">
    <w:nsid w:val="30AADFDA"/>
    <w:multiLevelType w:val="hybridMultilevel"/>
    <w:lvl w:ilvl="0">
      <w:lvlJc w:val="left"/>
      <w:lvlText w:val="•"/>
      <w:numFmt w:val="bullet"/>
      <w:start w:val="1"/>
    </w:lvl>
  </w:abstractNum>
  <w:abstractNum w:abstractNumId="47">
    <w:nsid w:val="30EADA61"/>
    <w:multiLevelType w:val="hybridMultilevel"/>
    <w:lvl w:ilvl="0">
      <w:lvlJc w:val="left"/>
      <w:lvlText w:val="•"/>
      <w:numFmt w:val="bullet"/>
      <w:start w:val="1"/>
    </w:lvl>
  </w:abstractNum>
  <w:abstractNum w:abstractNumId="48">
    <w:nsid w:val="27179C0B"/>
    <w:multiLevelType w:val="hybridMultilevel"/>
    <w:lvl w:ilvl="0">
      <w:lvlJc w:val="left"/>
      <w:lvlText w:val="(%1)"/>
      <w:numFmt w:val="lowerLetter"/>
      <w:start w:val="1"/>
    </w:lvl>
  </w:abstractNum>
  <w:abstractNum w:abstractNumId="49">
    <w:nsid w:val="5E636063"/>
    <w:multiLevelType w:val="hybridMultilevel"/>
    <w:lvl w:ilvl="0">
      <w:lvlJc w:val="left"/>
      <w:lvlText w:val="(%1)"/>
      <w:numFmt w:val="lowerLetter"/>
      <w:start w:val="2"/>
    </w:lvl>
  </w:abstractNum>
  <w:abstractNum w:abstractNumId="50">
    <w:nsid w:val="215641AF"/>
    <w:multiLevelType w:val="hybridMultilevel"/>
    <w:lvl w:ilvl="0">
      <w:lvlJc w:val="left"/>
      <w:lvlText w:val="•"/>
      <w:numFmt w:val="bullet"/>
      <w:start w:val="1"/>
    </w:lvl>
  </w:abstractNum>
  <w:abstractNum w:abstractNumId="51">
    <w:nsid w:val="53280662"/>
    <w:multiLevelType w:val="hybridMultilevel"/>
    <w:lvl w:ilvl="0">
      <w:lvlJc w:val="left"/>
      <w:lvlText w:val="•"/>
      <w:numFmt w:val="bullet"/>
      <w:start w:val="1"/>
    </w:lvl>
  </w:abstractNum>
  <w:abstractNum w:abstractNumId="52">
    <w:nsid w:val="46B24DBC"/>
    <w:multiLevelType w:val="hybridMultilevel"/>
    <w:lvl w:ilvl="0">
      <w:lvlJc w:val="left"/>
      <w:lvlText w:val="•"/>
      <w:numFmt w:val="bullet"/>
      <w:start w:val="1"/>
    </w:lvl>
  </w:abstractNum>
  <w:abstractNum w:abstractNumId="53">
    <w:nsid w:val="75B52783"/>
    <w:multiLevelType w:val="hybridMultilevel"/>
    <w:lvl w:ilvl="0">
      <w:lvlJc w:val="left"/>
      <w:lvlText w:val="•"/>
      <w:numFmt w:val="bullet"/>
      <w:start w:val="1"/>
    </w:lvl>
  </w:abstractNum>
  <w:abstractNum w:abstractNumId="54">
    <w:nsid w:val="57CE66B4"/>
    <w:multiLevelType w:val="hybridMultilevel"/>
    <w:lvl w:ilvl="0">
      <w:lvlJc w:val="left"/>
      <w:lvlText w:val="•"/>
      <w:numFmt w:val="bullet"/>
      <w:start w:val="1"/>
    </w:lvl>
  </w:abstractNum>
  <w:abstractNum w:abstractNumId="55">
    <w:nsid w:val="67A70B69"/>
    <w:multiLevelType w:val="hybridMultilevel"/>
    <w:lvl w:ilvl="0">
      <w:lvlJc w:val="left"/>
      <w:lvlText w:val="•"/>
      <w:numFmt w:val="bullet"/>
      <w:start w:val="1"/>
    </w:lvl>
  </w:abstractNum>
  <w:abstractNum w:abstractNumId="56">
    <w:nsid w:val="5953172F"/>
    <w:multiLevelType w:val="hybridMultilevel"/>
    <w:lvl w:ilvl="0">
      <w:lvlJc w:val="left"/>
      <w:lvlText w:val="•"/>
      <w:numFmt w:val="bullet"/>
      <w:start w:val="1"/>
    </w:lvl>
  </w:abstractNum>
  <w:abstractNum w:abstractNumId="57">
    <w:nsid w:val="27EDFE3A"/>
    <w:multiLevelType w:val="hybridMultilevel"/>
    <w:lvl w:ilvl="0">
      <w:lvlJc w:val="left"/>
      <w:lvlText w:val="•"/>
      <w:numFmt w:val="bullet"/>
      <w:start w:val="1"/>
    </w:lvl>
  </w:abstractNum>
  <w:abstractNum w:abstractNumId="58">
    <w:nsid w:val="52AC7DFF"/>
    <w:multiLevelType w:val="hybridMultilevel"/>
    <w:lvl w:ilvl="0">
      <w:lvlJc w:val="left"/>
      <w:lvlText w:val="•"/>
      <w:numFmt w:val="bullet"/>
      <w:start w:val="1"/>
    </w:lvl>
  </w:abstractNum>
  <w:abstractNum w:abstractNumId="59">
    <w:nsid w:val="C4C3AF"/>
    <w:multiLevelType w:val="hybridMultilevel"/>
    <w:lvl w:ilvl="0">
      <w:lvlJc w:val="left"/>
      <w:lvlText w:val="(%1)"/>
      <w:numFmt w:val="decimal"/>
      <w:start w:val="1"/>
    </w:lvl>
  </w:abstractNum>
  <w:abstractNum w:abstractNumId="60">
    <w:nsid w:val="44380727"/>
    <w:multiLevelType w:val="hybridMultilevel"/>
    <w:lvl w:ilvl="0">
      <w:lvlJc w:val="left"/>
      <w:lvlText w:val="•"/>
      <w:numFmt w:val="bullet"/>
      <w:start w:val="1"/>
    </w:lvl>
  </w:abstractNum>
  <w:abstractNum w:abstractNumId="61">
    <w:nsid w:val="6C053B16"/>
    <w:multiLevelType w:val="hybridMultilevel"/>
    <w:lvl w:ilvl="0">
      <w:lvlJc w:val="left"/>
      <w:lvlText w:val="•"/>
      <w:numFmt w:val="bullet"/>
      <w:start w:val="1"/>
    </w:lvl>
  </w:abstractNum>
  <w:abstractNum w:abstractNumId="62">
    <w:nsid w:val="4F294393"/>
    <w:multiLevelType w:val="hybridMultilevel"/>
    <w:lvl w:ilvl="0">
      <w:lvlJc w:val="left"/>
      <w:lvlText w:val="•"/>
      <w:numFmt w:val="bullet"/>
      <w:start w:val="1"/>
    </w:lvl>
  </w:abstractNum>
  <w:abstractNum w:abstractNumId="63">
    <w:nsid w:val="5243BFAC"/>
    <w:multiLevelType w:val="hybridMultilevel"/>
    <w:lvl w:ilvl="0">
      <w:lvlJc w:val="left"/>
      <w:lvlText w:val="•"/>
      <w:numFmt w:val="bullet"/>
      <w:start w:val="1"/>
    </w:lvl>
  </w:abstractNum>
  <w:abstractNum w:abstractNumId="64">
    <w:nsid w:val="425EB207"/>
    <w:multiLevelType w:val="hybridMultilevel"/>
    <w:lvl w:ilvl="0">
      <w:lvlJc w:val="left"/>
      <w:lvlText w:val="(%1)"/>
      <w:numFmt w:val="decimal"/>
      <w:start w:val="1"/>
    </w:lvl>
  </w:abstractNum>
  <w:abstractNum w:abstractNumId="65">
    <w:nsid w:val="334A6F1F"/>
    <w:multiLevelType w:val="hybridMultilevel"/>
    <w:lvl w:ilvl="0">
      <w:lvlJc w:val="left"/>
      <w:lvlText w:val="(%1)"/>
      <w:numFmt w:val="decimal"/>
      <w:start w:val="1"/>
    </w:lvl>
  </w:abstractNum>
  <w:abstractNum w:abstractNumId="66">
    <w:nsid w:val="2E5B12B8"/>
    <w:multiLevelType w:val="hybridMultilevel"/>
    <w:lvl w:ilvl="0">
      <w:lvlJc w:val="left"/>
      <w:lvlText w:val="(%1)"/>
      <w:numFmt w:val="decimal"/>
      <w:start w:val="1"/>
    </w:lvl>
  </w:abstractNum>
  <w:abstractNum w:abstractNumId="67">
    <w:nsid w:val="5C03D76D"/>
    <w:multiLevelType w:val="hybridMultilevel"/>
    <w:lvl w:ilvl="0">
      <w:lvlJc w:val="left"/>
      <w:lvlText w:val="•"/>
      <w:numFmt w:val="bullet"/>
      <w:start w:val="1"/>
    </w:lvl>
  </w:abstractNum>
  <w:abstractNum w:abstractNumId="68">
    <w:nsid w:val="66A48D11"/>
    <w:multiLevelType w:val="hybridMultilevel"/>
    <w:lvl w:ilvl="0">
      <w:lvlJc w:val="left"/>
      <w:lvlText w:val="•"/>
      <w:numFmt w:val="bullet"/>
      <w:start w:val="1"/>
    </w:lvl>
  </w:abstractNum>
  <w:abstractNum w:abstractNumId="69">
    <w:nsid w:val="56C28E34"/>
    <w:multiLevelType w:val="hybridMultilevel"/>
    <w:lvl w:ilvl="0">
      <w:lvlJc w:val="left"/>
      <w:lvlText w:val="(%1)"/>
      <w:numFmt w:val="decimal"/>
      <w:start w:val="1"/>
    </w:lvl>
  </w:abstractNum>
  <w:abstractNum w:abstractNumId="70">
    <w:nsid w:val="13916F2D"/>
    <w:multiLevelType w:val="hybridMultilevel"/>
    <w:lvl w:ilvl="0">
      <w:lvlJc w:val="left"/>
      <w:lvlText w:val="•"/>
      <w:numFmt w:val="bullet"/>
      <w:start w:val="1"/>
    </w:lvl>
  </w:abstractNum>
  <w:abstractNum w:abstractNumId="71">
    <w:nsid w:val="435D38D"/>
    <w:multiLevelType w:val="hybridMultilevel"/>
    <w:lvl w:ilvl="0">
      <w:lvlJc w:val="left"/>
      <w:lvlText w:val="•"/>
      <w:numFmt w:val="bullet"/>
      <w:start w:val="1"/>
    </w:lvl>
  </w:abstractNum>
  <w:abstractNum w:abstractNumId="72">
    <w:nsid w:val="822C0EF"/>
    <w:multiLevelType w:val="hybridMultilevel"/>
    <w:lvl w:ilvl="0">
      <w:lvlJc w:val="left"/>
      <w:lvlText w:val="•"/>
      <w:numFmt w:val="bullet"/>
      <w:start w:val="1"/>
    </w:lvl>
  </w:abstractNum>
  <w:abstractNum w:abstractNumId="73">
    <w:nsid w:val="57C5BB4F"/>
    <w:multiLevelType w:val="hybridMultilevel"/>
    <w:lvl w:ilvl="0">
      <w:lvlJc w:val="left"/>
      <w:lvlText w:val="•"/>
      <w:numFmt w:val="bullet"/>
      <w:start w:val="1"/>
    </w:lvl>
  </w:abstractNum>
  <w:abstractNum w:abstractNumId="74">
    <w:nsid w:val="1803D089"/>
    <w:multiLevelType w:val="hybridMultilevel"/>
    <w:lvl w:ilvl="0">
      <w:lvlJc w:val="left"/>
      <w:lvlText w:val="•"/>
      <w:numFmt w:val="bullet"/>
      <w:start w:val="1"/>
    </w:lvl>
  </w:abstractNum>
  <w:abstractNum w:abstractNumId="75">
    <w:nsid w:val="4F3A06D4"/>
    <w:multiLevelType w:val="hybridMultilevel"/>
    <w:lvl w:ilvl="0">
      <w:lvlJc w:val="left"/>
      <w:lvlText w:val="•"/>
      <w:numFmt w:val="bullet"/>
      <w:start w:val="1"/>
    </w:lvl>
  </w:abstractNum>
  <w:abstractNum w:abstractNumId="76">
    <w:nsid w:val="59A377B6"/>
    <w:multiLevelType w:val="hybridMultilevel"/>
    <w:lvl w:ilvl="0">
      <w:lvlJc w:val="left"/>
      <w:lvlText w:val="•"/>
      <w:numFmt w:val="bullet"/>
      <w:start w:val="1"/>
    </w:lvl>
  </w:abstractNum>
  <w:abstractNum w:abstractNumId="77">
    <w:nsid w:val="48AEB063"/>
    <w:multiLevelType w:val="hybridMultilevel"/>
    <w:lvl w:ilvl="0">
      <w:lvlJc w:val="left"/>
      <w:lvlText w:val="•"/>
      <w:numFmt w:val="bullet"/>
      <w:start w:val="1"/>
    </w:lvl>
  </w:abstractNum>
  <w:abstractNum w:abstractNumId="78">
    <w:nsid w:val="24E135"/>
    <w:multiLevelType w:val="hybridMultilevel"/>
    <w:lvl w:ilvl="0">
      <w:lvlJc w:val="left"/>
      <w:lvlText w:val="•"/>
      <w:numFmt w:val="bullet"/>
      <w:start w:val="1"/>
    </w:lvl>
  </w:abstractNum>
  <w:abstractNum w:abstractNumId="79">
    <w:nsid w:val="BB13C1"/>
    <w:multiLevelType w:val="hybridMultilevel"/>
    <w:lvl w:ilvl="0">
      <w:lvlJc w:val="left"/>
      <w:lvlText w:val="•"/>
      <w:numFmt w:val="bullet"/>
      <w:start w:val="1"/>
    </w:lvl>
  </w:abstractNum>
  <w:abstractNum w:abstractNumId="80">
    <w:nsid w:val="271210C7"/>
    <w:multiLevelType w:val="hybridMultilevel"/>
    <w:lvl w:ilvl="0">
      <w:lvlJc w:val="left"/>
      <w:lvlText w:val="•"/>
      <w:numFmt w:val="bullet"/>
      <w:start w:val="1"/>
    </w:lvl>
  </w:abstractNum>
  <w:abstractNum w:abstractNumId="81">
    <w:nsid w:val="217B22E4"/>
    <w:multiLevelType w:val="hybridMultilevel"/>
    <w:lvl w:ilvl="0">
      <w:lvlJc w:val="left"/>
      <w:lvlText w:val="•"/>
      <w:numFmt w:val="bullet"/>
      <w:start w:val="1"/>
    </w:lvl>
    <w:lvl w:ilvl="1">
      <w:lvlJc w:val="left"/>
      <w:lvlText w:val="•"/>
      <w:numFmt w:val="bullet"/>
      <w:start w:val="1"/>
    </w:lvl>
  </w:abstractNum>
  <w:abstractNum w:abstractNumId="82">
    <w:nsid w:val="53E31A24"/>
    <w:multiLevelType w:val="hybridMultilevel"/>
    <w:lvl w:ilvl="0">
      <w:lvlJc w:val="left"/>
      <w:lvlText w:val="•"/>
      <w:numFmt w:val="bullet"/>
      <w:start w:val="1"/>
    </w:lvl>
  </w:abstractNum>
  <w:abstractNum w:abstractNumId="83">
    <w:nsid w:val="6DC45E83"/>
    <w:multiLevelType w:val="hybridMultilevel"/>
    <w:lvl w:ilvl="0">
      <w:lvlJc w:val="left"/>
      <w:lvlText w:val="•"/>
      <w:numFmt w:val="bullet"/>
      <w:start w:val="1"/>
    </w:lvl>
    <w:lvl w:ilvl="1">
      <w:lvlJc w:val="left"/>
      <w:lvlText w:val="•"/>
      <w:numFmt w:val="bullet"/>
      <w:start w:val="1"/>
    </w:lvl>
  </w:abstractNum>
  <w:abstractNum w:abstractNumId="84">
    <w:nsid w:val="17304A67"/>
    <w:multiLevelType w:val="hybridMultilevel"/>
    <w:lvl w:ilvl="0">
      <w:lvlJc w:val="left"/>
      <w:lvlText w:val="(%1)"/>
      <w:numFmt w:val="lowerRoman"/>
      <w:start w:val="3"/>
    </w:lvl>
  </w:abstractNum>
  <w:abstractNum w:abstractNumId="85">
    <w:nsid w:val="2BB180D8"/>
    <w:multiLevelType w:val="hybridMultilevel"/>
    <w:lvl w:ilvl="0">
      <w:lvlJc w:val="left"/>
      <w:lvlText w:val="(%1)"/>
      <w:numFmt w:val="lowerRoman"/>
      <w:start w:val="4"/>
    </w:lvl>
  </w:abstractNum>
  <w:abstractNum w:abstractNumId="86">
    <w:nsid w:val="556B69ED"/>
    <w:multiLevelType w:val="hybridMultilevel"/>
    <w:lvl w:ilvl="0">
      <w:lvlJc w:val="left"/>
      <w:lvlText w:val="(%1)"/>
      <w:numFmt w:val="decimal"/>
      <w:start w:val="1"/>
    </w:lvl>
  </w:abstractNum>
  <w:abstractNum w:abstractNumId="87">
    <w:nsid w:val="70836196"/>
    <w:multiLevelType w:val="hybridMultilevel"/>
    <w:lvl w:ilvl="0">
      <w:lvlJc w:val="left"/>
      <w:lvlText w:val="•"/>
      <w:numFmt w:val="bullet"/>
      <w:start w:val="1"/>
    </w:lvl>
  </w:abstractNum>
  <w:abstractNum w:abstractNumId="88">
    <w:nsid w:val="539F7F12"/>
    <w:multiLevelType w:val="hybridMultilevel"/>
    <w:lvl w:ilvl="0">
      <w:lvlJc w:val="left"/>
      <w:lvlText w:val="•"/>
      <w:numFmt w:val="bullet"/>
      <w:start w:val="1"/>
    </w:lvl>
  </w:abstractNum>
  <w:abstractNum w:abstractNumId="89">
    <w:nsid w:val="2817E7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0">
    <w:nsid w:val="7148254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1">
    <w:nsid w:val="17D78639"/>
    <w:multiLevelType w:val="hybridMultilevel"/>
    <w:lvl w:ilvl="0">
      <w:lvlJc w:val="left"/>
      <w:lvlText w:val="•"/>
      <w:numFmt w:val="bullet"/>
      <w:start w:val="1"/>
    </w:lvl>
  </w:abstractNum>
  <w:abstractNum w:abstractNumId="92">
    <w:nsid w:val="141D2302"/>
    <w:multiLevelType w:val="hybridMultilevel"/>
    <w:lvl w:ilvl="0">
      <w:lvlJc w:val="left"/>
      <w:lvlText w:val="•"/>
      <w:numFmt w:val="bullet"/>
      <w:start w:val="1"/>
    </w:lvl>
  </w:abstractNum>
  <w:abstractNum w:abstractNumId="93">
    <w:nsid w:val="407168D8"/>
    <w:multiLevelType w:val="hybridMultilevel"/>
    <w:lvl w:ilvl="0">
      <w:lvlJc w:val="left"/>
      <w:lvlText w:val="•"/>
      <w:numFmt w:val="bullet"/>
      <w:start w:val="1"/>
    </w:lvl>
  </w:abstractNum>
  <w:abstractNum w:abstractNumId="94">
    <w:nsid w:val="6A1B45E5"/>
    <w:multiLevelType w:val="hybridMultilevel"/>
    <w:lvl w:ilvl="0">
      <w:lvlJc w:val="left"/>
      <w:lvlText w:val="•"/>
      <w:numFmt w:val="bullet"/>
      <w:start w:val="1"/>
    </w:lvl>
  </w:abstractNum>
  <w:abstractNum w:abstractNumId="95">
    <w:nsid w:val="567BD50A"/>
    <w:multiLevelType w:val="hybridMultilevel"/>
    <w:lvl w:ilvl="0">
      <w:lvlJc w:val="left"/>
      <w:lvlText w:val="•"/>
      <w:numFmt w:val="bullet"/>
      <w:start w:val="1"/>
    </w:lvl>
  </w:abstractNum>
  <w:abstractNum w:abstractNumId="96">
    <w:nsid w:val="73BBD7F8"/>
    <w:multiLevelType w:val="hybridMultilevel"/>
    <w:lvl w:ilvl="0">
      <w:lvlJc w:val="left"/>
      <w:lvlText w:val="•"/>
      <w:numFmt w:val="bullet"/>
      <w:start w:val="1"/>
    </w:lvl>
  </w:abstractNum>
  <w:abstractNum w:abstractNumId="97">
    <w:nsid w:val="1876589D"/>
    <w:multiLevelType w:val="hybridMultilevel"/>
    <w:lvl w:ilvl="0">
      <w:lvlJc w:val="left"/>
      <w:lvlText w:val="•"/>
      <w:numFmt w:val="bullet"/>
      <w:start w:val="1"/>
    </w:lvl>
    <w:lvl w:ilvl="1">
      <w:lvlJc w:val="left"/>
      <w:lvlText w:val="•"/>
      <w:numFmt w:val="bullet"/>
      <w:start w:val="1"/>
    </w:lvl>
  </w:abstractNum>
  <w:abstractNum w:abstractNumId="98">
    <w:nsid w:val="327FAC77"/>
    <w:multiLevelType w:val="hybridMultilevel"/>
    <w:lvl w:ilvl="0">
      <w:lvlJc w:val="left"/>
      <w:lvlText w:val="•"/>
      <w:numFmt w:val="bullet"/>
      <w:start w:val="1"/>
    </w:lvl>
    <w:lvl w:ilvl="1">
      <w:lvlJc w:val="left"/>
      <w:lvlText w:val="•"/>
      <w:numFmt w:val="bullet"/>
      <w:start w:val="1"/>
    </w:lvl>
  </w:abstractNum>
  <w:abstractNum w:abstractNumId="99">
    <w:nsid w:val="5A606509"/>
    <w:multiLevelType w:val="hybridMultilevel"/>
    <w:lvl w:ilvl="0">
      <w:lvlJc w:val="left"/>
      <w:lvlText w:val="•"/>
      <w:numFmt w:val="bullet"/>
      <w:start w:val="1"/>
    </w:lvl>
  </w:abstractNum>
  <w:abstractNum w:abstractNumId="100">
    <w:nsid w:val="6F38E6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1">
    <w:nsid w:val="46111BA5"/>
    <w:multiLevelType w:val="hybridMultilevel"/>
    <w:lvl w:ilvl="0">
      <w:lvlJc w:val="left"/>
      <w:lvlText w:val="•"/>
      <w:numFmt w:val="bullet"/>
      <w:start w:val="1"/>
    </w:lvl>
    <w:lvl w:ilvl="1">
      <w:lvlJc w:val="left"/>
      <w:lvlText w:val="•"/>
      <w:numFmt w:val="bullet"/>
      <w:start w:val="1"/>
    </w:lvl>
  </w:abstractNum>
  <w:abstractNum w:abstractNumId="102">
    <w:nsid w:val="5E963896"/>
    <w:multiLevelType w:val="hybridMultilevel"/>
    <w:lvl w:ilvl="0">
      <w:lvlJc w:val="left"/>
      <w:lvlText w:val="•"/>
      <w:numFmt w:val="bullet"/>
      <w:start w:val="1"/>
    </w:lvl>
    <w:lvl w:ilvl="1">
      <w:lvlJc w:val="left"/>
      <w:lvlText w:val="•"/>
      <w:numFmt w:val="bullet"/>
      <w:start w:val="1"/>
    </w:lvl>
  </w:abstractNum>
  <w:abstractNum w:abstractNumId="103">
    <w:nsid w:val="775BA7C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4">
    <w:nsid w:val="1DD6D6F4"/>
    <w:multiLevelType w:val="hybridMultilevel"/>
    <w:lvl w:ilvl="0">
      <w:lvlJc w:val="left"/>
      <w:lvlText w:val="•"/>
      <w:numFmt w:val="bullet"/>
      <w:start w:val="1"/>
    </w:lvl>
    <w:lvl w:ilvl="1">
      <w:lvlJc w:val="left"/>
      <w:lvlText w:val="•"/>
      <w:numFmt w:val="bullet"/>
      <w:start w:val="1"/>
    </w:lvl>
  </w:abstractNum>
  <w:abstractNum w:abstractNumId="105">
    <w:nsid w:val="769A091F"/>
    <w:multiLevelType w:val="hybridMultilevel"/>
    <w:lvl w:ilvl="0">
      <w:lvlJc w:val="left"/>
      <w:lvlText w:val="•"/>
      <w:numFmt w:val="bullet"/>
      <w:start w:val="1"/>
    </w:lvl>
    <w:lvl w:ilvl="1">
      <w:lvlJc w:val="left"/>
      <w:lvlText w:val="•"/>
      <w:numFmt w:val="bullet"/>
      <w:start w:val="1"/>
    </w:lvl>
  </w:abstractNum>
  <w:abstractNum w:abstractNumId="106">
    <w:nsid w:val="4695AE95"/>
    <w:multiLevelType w:val="hybridMultilevel"/>
    <w:lvl w:ilvl="0">
      <w:lvlJc w:val="left"/>
      <w:lvlText w:val="•"/>
      <w:numFmt w:val="bullet"/>
      <w:start w:val="1"/>
    </w:lvl>
  </w:abstractNum>
  <w:abstractNum w:abstractNumId="107">
    <w:nsid w:val="777A4EAA"/>
    <w:multiLevelType w:val="hybridMultilevel"/>
    <w:lvl w:ilvl="0">
      <w:lvlJc w:val="left"/>
      <w:lvlText w:val="•"/>
      <w:numFmt w:val="bullet"/>
      <w:start w:val="1"/>
    </w:lvl>
    <w:lvl w:ilvl="1">
      <w:lvlJc w:val="left"/>
      <w:lvlText w:val="•"/>
      <w:numFmt w:val="bullet"/>
      <w:start w:val="1"/>
    </w:lvl>
  </w:abstractNum>
  <w:abstractNum w:abstractNumId="108">
    <w:nsid w:val="3F48B982"/>
    <w:multiLevelType w:val="hybridMultilevel"/>
    <w:lvl w:ilvl="0">
      <w:lvlJc w:val="left"/>
      <w:lvlText w:val="•"/>
      <w:numFmt w:val="bullet"/>
      <w:start w:val="1"/>
    </w:lvl>
    <w:lvl w:ilvl="1">
      <w:lvlJc w:val="left"/>
      <w:lvlText w:val="•"/>
      <w:numFmt w:val="bullet"/>
      <w:start w:val="1"/>
    </w:lvl>
  </w:abstractNum>
  <w:abstractNum w:abstractNumId="109">
    <w:nsid w:val="46BA8FCA"/>
    <w:multiLevelType w:val="hybridMultilevel"/>
    <w:lvl w:ilvl="0">
      <w:lvlJc w:val="left"/>
      <w:lvlText w:val="•"/>
      <w:numFmt w:val="bullet"/>
      <w:start w:val="1"/>
    </w:lvl>
    <w:lvl w:ilvl="1">
      <w:lvlJc w:val="left"/>
      <w:lvlText w:val="•"/>
      <w:numFmt w:val="bullet"/>
      <w:start w:val="1"/>
    </w:lvl>
  </w:abstractNum>
  <w:abstractNum w:abstractNumId="110">
    <w:nsid w:val="7835626C"/>
    <w:multiLevelType w:val="hybridMultilevel"/>
    <w:lvl w:ilvl="0">
      <w:lvlJc w:val="left"/>
      <w:lvlText w:val="•"/>
      <w:numFmt w:val="bullet"/>
      <w:start w:val="1"/>
    </w:lvl>
    <w:lvl w:ilvl="1">
      <w:lvlJc w:val="left"/>
      <w:lvlText w:val="•"/>
      <w:numFmt w:val="bullet"/>
      <w:start w:val="1"/>
    </w:lvl>
  </w:abstractNum>
  <w:abstractNum w:abstractNumId="111">
    <w:nsid w:val="665ACA49"/>
    <w:multiLevelType w:val="hybridMultilevel"/>
    <w:lvl w:ilvl="0">
      <w:lvlJc w:val="left"/>
      <w:lvlText w:val="•"/>
      <w:numFmt w:val="bullet"/>
      <w:start w:val="1"/>
    </w:lvl>
    <w:lvl w:ilvl="1">
      <w:lvlJc w:val="left"/>
      <w:lvlText w:val="•"/>
      <w:numFmt w:val="bullet"/>
      <w:start w:val="1"/>
    </w:lvl>
  </w:abstractNum>
  <w:abstractNum w:abstractNumId="112">
    <w:nsid w:val="6835B2AE"/>
    <w:multiLevelType w:val="hybridMultilevel"/>
    <w:lvl w:ilvl="0">
      <w:lvlJc w:val="left"/>
      <w:lvlText w:val="•"/>
      <w:numFmt w:val="bullet"/>
      <w:start w:val="1"/>
    </w:lvl>
  </w:abstractNum>
  <w:abstractNum w:abstractNumId="113">
    <w:nsid w:val="4C187C90"/>
    <w:multiLevelType w:val="hybridMultilevel"/>
    <w:lvl w:ilvl="0">
      <w:lvlJc w:val="left"/>
      <w:lvlText w:val="•"/>
      <w:numFmt w:val="bullet"/>
      <w:start w:val="1"/>
    </w:lvl>
  </w:abstractNum>
  <w:abstractNum w:abstractNumId="114">
    <w:nsid w:val="541F28CD"/>
    <w:multiLevelType w:val="hybridMultilevel"/>
    <w:lvl w:ilvl="0">
      <w:lvlJc w:val="left"/>
      <w:lvlText w:val="•"/>
      <w:numFmt w:val="bullet"/>
      <w:start w:val="1"/>
    </w:lvl>
  </w:abstractNum>
  <w:abstractNum w:abstractNumId="115">
    <w:nsid w:val="7F65FD16"/>
    <w:multiLevelType w:val="hybridMultilevel"/>
    <w:lvl w:ilvl="0">
      <w:lvlJc w:val="left"/>
      <w:lvlText w:val="•"/>
      <w:numFmt w:val="bullet"/>
      <w:start w:val="1"/>
    </w:lvl>
    <w:lvl w:ilvl="1">
      <w:lvlJc w:val="left"/>
      <w:lvlText w:val="•"/>
      <w:numFmt w:val="bullet"/>
      <w:start w:val="1"/>
    </w:lvl>
  </w:abstractNum>
  <w:abstractNum w:abstractNumId="116">
    <w:nsid w:val="77C9FD68"/>
    <w:multiLevelType w:val="hybridMultilevel"/>
    <w:lvl w:ilvl="0">
      <w:lvlJc w:val="left"/>
      <w:lvlText w:val="•"/>
      <w:numFmt w:val="bullet"/>
      <w:start w:val="1"/>
    </w:lvl>
    <w:lvl w:ilvl="1">
      <w:lvlJc w:val="left"/>
      <w:lvlText w:val="•"/>
      <w:numFmt w:val="bullet"/>
      <w:start w:val="1"/>
    </w:lvl>
  </w:abstractNum>
  <w:abstractNum w:abstractNumId="117">
    <w:nsid w:val="298A92BA"/>
    <w:multiLevelType w:val="hybridMultilevel"/>
    <w:lvl w:ilvl="0">
      <w:lvlJc w:val="left"/>
      <w:lvlText w:val="•"/>
      <w:numFmt w:val="bullet"/>
      <w:start w:val="1"/>
    </w:lvl>
    <w:lvl w:ilvl="1">
      <w:lvlJc w:val="left"/>
      <w:lvlText w:val="•"/>
      <w:numFmt w:val="bullet"/>
      <w:start w:val="1"/>
    </w:lvl>
  </w:abstractNum>
  <w:abstractNum w:abstractNumId="118">
    <w:nsid w:val="6FE95EAC"/>
    <w:multiLevelType w:val="hybridMultilevel"/>
    <w:lvl w:ilvl="0">
      <w:lvlJc w:val="left"/>
      <w:lvlText w:val="(%1)"/>
      <w:numFmt w:val="lowerRoman"/>
      <w:start w:val="1"/>
    </w:lvl>
  </w:abstractNum>
  <w:abstractNum w:abstractNumId="119">
    <w:nsid w:val="4B697C7A"/>
    <w:multiLevelType w:val="hybridMultilevel"/>
    <w:lvl w:ilvl="0">
      <w:lvlJc w:val="left"/>
      <w:lvlText w:val="(%1)"/>
      <w:numFmt w:val="lowerRoman"/>
      <w:start w:val="2"/>
    </w:lvl>
  </w:abstractNum>
  <w:abstractNum w:abstractNumId="120">
    <w:nsid w:val="51A27AA6"/>
    <w:multiLevelType w:val="hybridMultilevel"/>
    <w:lvl w:ilvl="0">
      <w:lvlJc w:val="left"/>
      <w:lvlText w:val="(%1)"/>
      <w:numFmt w:val="decimal"/>
      <w:start w:val="1"/>
    </w:lvl>
  </w:abstractNum>
  <w:abstractNum w:abstractNumId="121">
    <w:nsid w:val="613183F2"/>
    <w:multiLevelType w:val="hybridMultilevel"/>
    <w:lvl w:ilvl="0">
      <w:lvlJc w:val="left"/>
      <w:lvlText w:val="(%1)"/>
      <w:numFmt w:val="lowerRoman"/>
      <w:start w:val="1"/>
    </w:lvl>
  </w:abstractNum>
  <w:abstractNum w:abstractNumId="122">
    <w:nsid w:val="634102B4"/>
    <w:multiLevelType w:val="hybridMultilevel"/>
    <w:lvl w:ilvl="0">
      <w:lvlJc w:val="left"/>
      <w:lvlText w:val="(%1)"/>
      <w:numFmt w:val="lowerRoman"/>
      <w:start w:val="2"/>
    </w:lvl>
  </w:abstractNum>
  <w:abstractNum w:abstractNumId="123">
    <w:nsid w:val="65BF9DA8"/>
    <w:multiLevelType w:val="hybridMultilevel"/>
    <w:lvl w:ilvl="0">
      <w:lvlJc w:val="left"/>
      <w:lvlText w:val="(%1)"/>
      <w:numFmt w:val="decimal"/>
      <w:start w:val="7"/>
    </w:lvl>
  </w:abstractNum>
  <w:abstractNum w:abstractNumId="124">
    <w:nsid w:val="21A2ECCA"/>
    <w:multiLevelType w:val="hybridMultilevel"/>
    <w:lvl w:ilvl="0">
      <w:lvlJc w:val="left"/>
      <w:lvlText w:val="(%1)"/>
      <w:numFmt w:val="lowerRoman"/>
      <w:start w:val="2"/>
    </w:lvl>
  </w:abstractNum>
  <w:abstractNum w:abstractNumId="125">
    <w:nsid w:val="4D5C4899"/>
    <w:multiLevelType w:val="hybridMultilevel"/>
    <w:lvl w:ilvl="0">
      <w:lvlJc w:val="left"/>
      <w:lvlText w:val="(%1)"/>
      <w:numFmt w:val="decimal"/>
      <w:start w:val="1"/>
    </w:lvl>
  </w:abstractNum>
  <w:abstractNum w:abstractNumId="126">
    <w:nsid w:val="3C3B72B2"/>
    <w:multiLevelType w:val="hybridMultilevel"/>
    <w:lvl w:ilvl="0">
      <w:lvlJc w:val="left"/>
      <w:lvlText w:val="(%1)"/>
      <w:numFmt w:val="decimal"/>
      <w:start w:val="1"/>
    </w:lvl>
  </w:abstractNum>
  <w:abstractNum w:abstractNumId="127">
    <w:nsid w:val="155EC4C2"/>
    <w:multiLevelType w:val="hybridMultilevel"/>
    <w:lvl w:ilvl="0">
      <w:lvlJc w:val="left"/>
      <w:lvlText w:val="(%1)"/>
      <w:numFmt w:val="decimal"/>
      <w:start w:val="2"/>
    </w:lvl>
  </w:abstractNum>
  <w:abstractNum w:abstractNumId="128">
    <w:nsid w:val="65D2A137"/>
    <w:multiLevelType w:val="hybridMultilevel"/>
    <w:lvl w:ilvl="0">
      <w:lvlJc w:val="left"/>
      <w:lvlText w:val="(%1)"/>
      <w:numFmt w:val="decimal"/>
      <w:start w:val="13"/>
    </w:lvl>
  </w:abstractNum>
  <w:abstractNum w:abstractNumId="129">
    <w:nsid w:val="6EBB1F2A"/>
    <w:multiLevelType w:val="hybridMultilevel"/>
    <w:lvl w:ilvl="0">
      <w:lvlJc w:val="left"/>
      <w:lvlText w:val="(%1)"/>
      <w:numFmt w:val="decimal"/>
      <w:start w:val="21"/>
    </w:lvl>
  </w:abstractNum>
  <w:abstractNum w:abstractNumId="130">
    <w:nsid w:val="6FBF29CB"/>
    <w:multiLevelType w:val="hybridMultilevel"/>
    <w:lvl w:ilvl="0">
      <w:lvlJc w:val="left"/>
      <w:lvlText w:val="(%1)"/>
      <w:numFmt w:val="decimal"/>
      <w:start w:val="30"/>
    </w:lvl>
  </w:abstractNum>
  <w:abstractNum w:abstractNumId="131">
    <w:nsid w:val="550B8808"/>
    <w:multiLevelType w:val="hybridMultilevel"/>
    <w:lvl w:ilvl="0">
      <w:lvlJc w:val="left"/>
      <w:lvlText w:val="(%1)"/>
      <w:numFmt w:val="decimal"/>
      <w:start w:val="1"/>
    </w:lvl>
  </w:abstractNum>
  <w:abstractNum w:abstractNumId="132">
    <w:nsid w:val="34CC3ACF"/>
    <w:multiLevelType w:val="hybridMultilevel"/>
    <w:lvl w:ilvl="0">
      <w:lvlJc w:val="left"/>
      <w:lvlText w:val="(%1)"/>
      <w:numFmt w:val="lowerRoman"/>
      <w:start w:val="1"/>
    </w:lvl>
  </w:abstractNum>
  <w:abstractNum w:abstractNumId="133">
    <w:nsid w:val="4E556261"/>
    <w:multiLevelType w:val="hybridMultilevel"/>
    <w:lvl w:ilvl="0">
      <w:lvlJc w:val="left"/>
      <w:lvlText w:val="(%1)"/>
      <w:numFmt w:val="lowerRoman"/>
      <w:start w:val="4"/>
    </w:lvl>
  </w:abstractNum>
  <w:abstractNum w:abstractNumId="134">
    <w:nsid w:val="4C672FC9"/>
    <w:multiLevelType w:val="hybridMultilevel"/>
    <w:lvl w:ilvl="0">
      <w:lvlJc w:val="left"/>
      <w:lvlText w:val="(%1)"/>
      <w:numFmt w:val="upperLetter"/>
      <w:start w:val="2"/>
    </w:lvl>
  </w:abstractNum>
  <w:abstractNum w:abstractNumId="135">
    <w:nsid w:val="52A311C3"/>
    <w:multiLevelType w:val="hybridMultilevel"/>
    <w:lvl w:ilvl="0">
      <w:lvlJc w:val="left"/>
      <w:lvlText w:val="(%1)"/>
      <w:numFmt w:val="upperLetter"/>
      <w:start w:val="3"/>
    </w:lvl>
  </w:abstractNum>
  <w:abstractNum w:abstractNumId="136">
    <w:nsid w:val="44EF6B80"/>
    <w:multiLevelType w:val="hybridMultilevel"/>
    <w:lvl w:ilvl="0">
      <w:lvlJc w:val="left"/>
      <w:lvlText w:val="(%1)"/>
      <w:numFmt w:val="lowerRoman"/>
      <w:start w:val="1"/>
    </w:lvl>
  </w:abstractNum>
  <w:abstractNum w:abstractNumId="137">
    <w:nsid w:val="12FCDE5E"/>
    <w:multiLevelType w:val="hybridMultilevel"/>
    <w:lvl w:ilvl="0">
      <w:lvlJc w:val="left"/>
      <w:lvlText w:val="(%1)"/>
      <w:numFmt w:val="lowerLetter"/>
      <w:start w:val="25"/>
    </w:lvl>
  </w:abstractNum>
  <w:abstractNum w:abstractNumId="138">
    <w:nsid w:val="4A1D606E"/>
    <w:multiLevelType w:val="hybridMultilevel"/>
    <w:lvl w:ilvl="0">
      <w:lvlJc w:val="left"/>
      <w:lvlText w:val="(%1)"/>
      <w:numFmt w:val="lowerRoman"/>
      <w:start w:val="1"/>
    </w:lvl>
  </w:abstractNum>
  <w:abstractNum w:abstractNumId="139">
    <w:nsid w:val="4382503"/>
    <w:multiLevelType w:val="hybridMultilevel"/>
    <w:lvl w:ilvl="0">
      <w:lvlJc w:val="left"/>
      <w:lvlText w:val="(%1)"/>
      <w:numFmt w:val="lowerRoman"/>
      <w:start w:val="2"/>
    </w:lvl>
  </w:abstractNum>
  <w:abstractNum w:abstractNumId="140">
    <w:nsid w:val="59B76E2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1">
    <w:nsid w:val="4252C2DA"/>
    <w:multiLevelType w:val="hybridMultilevel"/>
    <w:lvl w:ilvl="0">
      <w:lvlJc w:val="left"/>
      <w:lvlText w:val="(%1)"/>
      <w:numFmt w:val="decimal"/>
      <w:start w:val="1"/>
    </w:lvl>
  </w:abstractNum>
  <w:abstractNum w:abstractNumId="142">
    <w:nsid w:val="6A92EF4C"/>
    <w:multiLevelType w:val="hybridMultilevel"/>
    <w:lvl w:ilvl="0">
      <w:lvlJc w:val="left"/>
      <w:lvlText w:val="(%1)"/>
      <w:numFmt w:val="decimal"/>
      <w:start w:val="6"/>
    </w:lvl>
  </w:abstractNum>
  <w:abstractNum w:abstractNumId="143">
    <w:nsid w:val="41ED20D7"/>
    <w:multiLevelType w:val="hybridMultilevel"/>
    <w:lvl w:ilvl="0">
      <w:lvlJc w:val="left"/>
      <w:lvlText w:val="(%1)"/>
      <w:numFmt w:val="decimal"/>
      <w:start w:val="8"/>
    </w:lvl>
  </w:abstractNum>
  <w:abstractNum w:abstractNumId="144">
    <w:nsid w:val="E6B3F6A"/>
    <w:multiLevelType w:val="hybridMultilevel"/>
    <w:lvl w:ilvl="0">
      <w:lvlJc w:val="left"/>
      <w:lvlText w:val="(%1)"/>
      <w:numFmt w:val="lowerRoman"/>
      <w:start w:val="1"/>
    </w:lvl>
  </w:abstractNum>
  <w:abstractNum w:abstractNumId="145">
    <w:nsid w:val="3EB2181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6">
    <w:nsid w:val="41531DED"/>
    <w:multiLevelType w:val="hybridMultilevel"/>
    <w:lvl w:ilvl="0">
      <w:lvlJc w:val="left"/>
      <w:lvlText w:val="(%1)"/>
      <w:numFmt w:val="decimal"/>
      <w:start w:val="1"/>
    </w:lvl>
  </w:abstractNum>
  <w:abstractNum w:abstractNumId="147">
    <w:nsid w:val="6353CD2"/>
    <w:multiLevelType w:val="hybridMultilevel"/>
    <w:lvl w:ilvl="0">
      <w:lvlJc w:val="left"/>
      <w:lvlText w:val="(%1)"/>
      <w:numFmt w:val="decimal"/>
      <w:start w:val="3"/>
    </w:lvl>
    <w:lvl w:ilvl="1">
      <w:lvlJc w:val="left"/>
      <w:lvlText w:val="(%2)"/>
      <w:numFmt w:val="upperLetter"/>
      <w:start w:val="1"/>
    </w:lvl>
  </w:abstractNum>
  <w:abstractNum w:abstractNumId="148">
    <w:nsid w:val="683CAAD3"/>
    <w:multiLevelType w:val="hybridMultilevel"/>
    <w:lvl w:ilvl="0">
      <w:lvlJc w:val="left"/>
      <w:lvlText w:val="%1"/>
      <w:numFmt w:val="decimal"/>
      <w:start w:val="1"/>
    </w:lvl>
    <w:lvl w:ilvl="1">
      <w:lvlJc w:val="left"/>
      <w:lvlText w:val="(%2)"/>
      <w:numFmt w:val="upperLetter"/>
      <w:start w:val="2"/>
    </w:lvl>
  </w:abstractNum>
  <w:abstractNum w:abstractNumId="149">
    <w:nsid w:val="313C7C99"/>
    <w:multiLevelType w:val="hybridMultilevel"/>
    <w:lvl w:ilvl="0">
      <w:lvlJc w:val="left"/>
      <w:lvlText w:val="(%1)"/>
      <w:numFmt w:val="decimal"/>
      <w:start w:val="9"/>
    </w:lvl>
    <w:lvl w:ilvl="1">
      <w:lvlJc w:val="left"/>
      <w:lvlText w:val="%2"/>
      <w:numFmt w:val="upperLetter"/>
      <w:start w:val="1"/>
    </w:lvl>
  </w:abstractNum>
  <w:abstractNum w:abstractNumId="150">
    <w:nsid w:val="519EB94C"/>
    <w:multiLevelType w:val="hybridMultilevel"/>
    <w:lvl w:ilvl="0">
      <w:lvlJc w:val="left"/>
      <w:lvlText w:val="(%1)"/>
      <w:numFmt w:val="decimal"/>
      <w:start w:val="10"/>
    </w:lvl>
  </w:abstractNum>
  <w:abstractNum w:abstractNumId="151">
    <w:nsid w:val="39DF2579"/>
    <w:multiLevelType w:val="hybridMultilevel"/>
    <w:lvl w:ilvl="0">
      <w:lvlJc w:val="left"/>
      <w:lvlText w:val="(%1)"/>
      <w:numFmt w:val="lowerRoman"/>
      <w:start w:val="1"/>
    </w:lvl>
  </w:abstractNum>
  <w:abstractNum w:abstractNumId="152">
    <w:nsid w:val="126E008B"/>
    <w:multiLevelType w:val="hybridMultilevel"/>
    <w:lvl w:ilvl="0">
      <w:lvlJc w:val="left"/>
      <w:lvlText w:val="(%1)"/>
      <w:numFmt w:val="lowerRoman"/>
      <w:start w:val="3"/>
    </w:lvl>
  </w:abstractNum>
  <w:abstractNum w:abstractNumId="153">
    <w:nsid w:val="34DFBC0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4">
    <w:nsid w:val="1F9EC322"/>
    <w:multiLevelType w:val="hybridMultilevel"/>
    <w:lvl w:ilvl="0">
      <w:lvlJc w:val="left"/>
      <w:lvlText w:val="(%1)"/>
      <w:numFmt w:val="decimal"/>
      <w:start w:val="1"/>
    </w:lvl>
  </w:abstractNum>
  <w:abstractNum w:abstractNumId="155">
    <w:nsid w:val="3410ED56"/>
    <w:multiLevelType w:val="hybridMultilevel"/>
    <w:lvl w:ilvl="0">
      <w:lvlJc w:val="left"/>
      <w:lvlText w:val="(%1)"/>
      <w:numFmt w:val="decimal"/>
      <w:start w:val="7"/>
    </w:lvl>
  </w:abstractNum>
  <w:abstractNum w:abstractNumId="156">
    <w:nsid w:val="23C049A"/>
    <w:multiLevelType w:val="hybridMultilevel"/>
    <w:lvl w:ilvl="0">
      <w:lvlJc w:val="left"/>
      <w:lvlText w:val="(%1)"/>
      <w:numFmt w:val="lowerLetter"/>
      <w:start w:val="25"/>
    </w:lvl>
  </w:abstractNum>
  <w:abstractNum w:abstractNumId="157">
    <w:nsid w:val="5BDA35D4"/>
    <w:multiLevelType w:val="hybridMultilevel"/>
    <w:lvl w:ilvl="0">
      <w:lvlJc w:val="left"/>
      <w:lvlText w:val="(%1)"/>
      <w:numFmt w:val="lowerRoman"/>
      <w:start w:val="1"/>
    </w:lvl>
  </w:abstractNum>
  <w:abstractNum w:abstractNumId="158">
    <w:nsid w:val="496FB21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9">
    <w:nsid w:val="680EA5D1"/>
    <w:multiLevelType w:val="hybridMultilevel"/>
    <w:lvl w:ilvl="0">
      <w:lvlJc w:val="left"/>
      <w:lvlText w:val="•"/>
      <w:numFmt w:val="bullet"/>
      <w:start w:val="1"/>
    </w:lvl>
    <w:lvl w:ilvl="1">
      <w:lvlJc w:val="left"/>
      <w:lvlText w:val="•"/>
      <w:numFmt w:val="bullet"/>
      <w:start w:val="1"/>
    </w:lvl>
  </w:abstractNum>
  <w:abstractNum w:abstractNumId="160">
    <w:nsid w:val="4A9554FE"/>
    <w:multiLevelType w:val="hybridMultilevel"/>
    <w:lvl w:ilvl="0">
      <w:lvlJc w:val="left"/>
      <w:lvlText w:val="(%1)"/>
      <w:numFmt w:val="decimal"/>
      <w:start w:val="1"/>
    </w:lvl>
  </w:abstractNum>
  <w:abstractNum w:abstractNumId="161">
    <w:nsid w:val="392EDBE4"/>
    <w:multiLevelType w:val="hybridMultilevel"/>
    <w:lvl w:ilvl="0">
      <w:lvlJc w:val="left"/>
      <w:lvlText w:val="(%1)"/>
      <w:numFmt w:val="decimal"/>
      <w:start w:val="2"/>
    </w:lvl>
  </w:abstractNum>
  <w:abstractNum w:abstractNumId="162">
    <w:nsid w:val="3D1A2DD9"/>
    <w:multiLevelType w:val="hybridMultilevel"/>
    <w:lvl w:ilvl="0">
      <w:lvlJc w:val="left"/>
      <w:lvlText w:val="(%1)"/>
      <w:numFmt w:val="decimal"/>
      <w:start w:val="9"/>
    </w:lvl>
  </w:abstractNum>
  <w:abstractNum w:abstractNumId="163">
    <w:nsid w:val="7F618FCD"/>
    <w:multiLevelType w:val="hybridMultilevel"/>
    <w:lvl w:ilvl="0">
      <w:lvlJc w:val="left"/>
      <w:lvlText w:val="(%1)"/>
      <w:numFmt w:val="lowerRoman"/>
      <w:start w:val="1"/>
    </w:lvl>
  </w:abstractNum>
  <w:abstractNum w:abstractNumId="164">
    <w:nsid w:val="7843E45"/>
    <w:multiLevelType w:val="hybridMultilevel"/>
    <w:lvl w:ilvl="0">
      <w:lvlJc w:val="left"/>
      <w:lvlText w:val="(%1)"/>
      <w:numFmt w:val="lowerRoman"/>
      <w:start w:val="1"/>
    </w:lvl>
  </w:abstractNum>
  <w:abstractNum w:abstractNumId="165">
    <w:nsid w:val="9815DA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6">
    <w:nsid w:val="5204A191"/>
    <w:multiLevelType w:val="hybridMultilevel"/>
    <w:lvl w:ilvl="0">
      <w:lvlJc w:val="left"/>
      <w:lvlText w:val="•"/>
      <w:numFmt w:val="bullet"/>
      <w:start w:val="1"/>
    </w:lvl>
  </w:abstractNum>
  <w:abstractNum w:abstractNumId="167">
    <w:nsid w:val="4C73A9C6"/>
    <w:multiLevelType w:val="hybridMultilevel"/>
    <w:lvl w:ilvl="0">
      <w:lvlJc w:val="left"/>
      <w:lvlText w:val="(%1)"/>
      <w:numFmt w:val="decimal"/>
      <w:start w:val="1"/>
    </w:lvl>
  </w:abstractNum>
  <w:abstractNum w:abstractNumId="168">
    <w:nsid w:val="1C7E3C01"/>
    <w:multiLevelType w:val="hybridMultilevel"/>
    <w:lvl w:ilvl="0">
      <w:lvlJc w:val="left"/>
      <w:lvlText w:val="(%1)"/>
      <w:numFmt w:val="decimal"/>
      <w:start w:val="3"/>
    </w:lvl>
    <w:lvl w:ilvl="1">
      <w:lvlJc w:val="left"/>
      <w:lvlText w:val="(%2)"/>
      <w:numFmt w:val="upperLetter"/>
      <w:start w:val="1"/>
    </w:lvl>
  </w:abstractNum>
  <w:abstractNum w:abstractNumId="169">
    <w:nsid w:val="1C2201FF"/>
    <w:multiLevelType w:val="hybridMultilevel"/>
    <w:lvl w:ilvl="0">
      <w:lvlJc w:val="left"/>
      <w:lvlText w:val="%1"/>
      <w:numFmt w:val="decimal"/>
      <w:start w:val="1"/>
    </w:lvl>
    <w:lvl w:ilvl="1">
      <w:lvlJc w:val="left"/>
      <w:lvlText w:val="(%2)"/>
      <w:numFmt w:val="upperLetter"/>
      <w:start w:val="2"/>
    </w:lvl>
  </w:abstractNum>
  <w:abstractNum w:abstractNumId="170">
    <w:nsid w:val="50ABCEC9"/>
    <w:multiLevelType w:val="hybridMultilevel"/>
    <w:lvl w:ilvl="0">
      <w:lvlJc w:val="left"/>
      <w:lvlText w:val="(%1)"/>
      <w:numFmt w:val="decimal"/>
      <w:start w:val="9"/>
    </w:lvl>
  </w:abstractNum>
  <w:abstractNum w:abstractNumId="171">
    <w:nsid w:val="7635AA2A"/>
    <w:multiLevelType w:val="hybridMultilevel"/>
    <w:lvl w:ilvl="0">
      <w:lvlJc w:val="left"/>
      <w:lvlText w:val="(%1)"/>
      <w:numFmt w:val="decimal"/>
      <w:start w:val="1"/>
    </w:lvl>
  </w:abstractNum>
  <w:abstractNum w:abstractNumId="172">
    <w:nsid w:val="5E74C4D9"/>
    <w:multiLevelType w:val="hybridMultilevel"/>
    <w:lvl w:ilvl="0">
      <w:lvlJc w:val="left"/>
      <w:lvlText w:val="•"/>
      <w:numFmt w:val="bullet"/>
      <w:start w:val="1"/>
    </w:lvl>
    <w:lvl w:ilvl="1">
      <w:lvlJc w:val="left"/>
      <w:lvlText w:val="•"/>
      <w:numFmt w:val="bullet"/>
      <w:start w:val="1"/>
    </w:lvl>
  </w:abstractNum>
  <w:abstractNum w:abstractNumId="173">
    <w:nsid w:val="3B3EBE15"/>
    <w:multiLevelType w:val="hybridMultilevel"/>
    <w:lvl w:ilvl="0">
      <w:lvlJc w:val="left"/>
      <w:lvlText w:val="(%1)"/>
      <w:numFmt w:val="lowerRoman"/>
      <w:start w:val="3"/>
    </w:lvl>
  </w:abstractNum>
  <w:abstractNum w:abstractNumId="174">
    <w:nsid w:val="3822CB01"/>
    <w:multiLevelType w:val="hybridMultilevel"/>
    <w:lvl w:ilvl="0">
      <w:lvlJc w:val="left"/>
      <w:lvlText w:val="*"/>
      <w:numFmt w:val="bullet"/>
      <w:start w:val="1"/>
    </w:lvl>
  </w:abstractNum>
  <w:abstractNum w:abstractNumId="175">
    <w:nsid w:val="6CE00443"/>
    <w:multiLevelType w:val="hybridMultilevel"/>
    <w:lvl w:ilvl="0">
      <w:lvlJc w:val="left"/>
      <w:lvlText w:val="(%1)"/>
      <w:numFmt w:val="decimal"/>
      <w:start w:val="1"/>
    </w:lvl>
  </w:abstractNum>
  <w:abstractNum w:abstractNumId="176">
    <w:nsid w:val="79F0D62F"/>
    <w:multiLevelType w:val="hybridMultilevel"/>
    <w:lvl w:ilvl="0">
      <w:lvlJc w:val="left"/>
      <w:lvlText w:val="%1)"/>
      <w:numFmt w:val="decimal"/>
      <w:start w:val="1"/>
    </w:lvl>
  </w:abstractNum>
  <w:abstractNum w:abstractNumId="177">
    <w:nsid w:val="7975E8EE"/>
    <w:multiLevelType w:val="hybridMultilevel"/>
    <w:lvl w:ilvl="0">
      <w:lvlJc w:val="left"/>
      <w:lvlText w:val="%1)"/>
      <w:numFmt w:val="decimal"/>
      <w:start w:val="7"/>
    </w:lvl>
  </w:abstractNum>
  <w:abstractNum w:abstractNumId="178">
    <w:nsid w:val="73154115"/>
    <w:multiLevelType w:val="hybridMultilevel"/>
    <w:lvl w:ilvl="0">
      <w:lvlJc w:val="left"/>
      <w:lvlText w:val="•"/>
      <w:numFmt w:val="bullet"/>
      <w:start w:val="1"/>
    </w:lvl>
  </w:abstractNum>
  <w:abstractNum w:abstractNumId="179">
    <w:nsid w:val="622D8102"/>
    <w:multiLevelType w:val="hybridMultilevel"/>
    <w:lvl w:ilvl="0">
      <w:lvlJc w:val="left"/>
      <w:lvlText w:val="•"/>
      <w:numFmt w:val="bullet"/>
      <w:start w:val="1"/>
    </w:lvl>
  </w:abstractNum>
  <w:abstractNum w:abstractNumId="180">
    <w:nsid w:val="2AB26587"/>
    <w:multiLevelType w:val="hybridMultilevel"/>
    <w:lvl w:ilvl="0">
      <w:lvlJc w:val="left"/>
      <w:lvlText w:val="(%1)"/>
      <w:numFmt w:val="lowerRoman"/>
      <w:start w:val="1"/>
    </w:lvl>
  </w:abstractNum>
  <w:abstractNum w:abstractNumId="181">
    <w:nsid w:val="44B3FA61"/>
    <w:multiLevelType w:val="hybridMultilevel"/>
    <w:lvl w:ilvl="0">
      <w:lvlJc w:val="left"/>
      <w:lvlText w:val="•"/>
      <w:numFmt w:val="bullet"/>
      <w:start w:val="1"/>
    </w:lvl>
  </w:abstractNum>
  <w:abstractNum w:abstractNumId="182">
    <w:nsid w:val="1C0CA67C"/>
    <w:multiLevelType w:val="hybridMultilevel"/>
    <w:lvl w:ilvl="0">
      <w:lvlJc w:val="left"/>
      <w:lvlText w:val="•"/>
      <w:numFmt w:val="bullet"/>
      <w:start w:val="1"/>
    </w:lvl>
  </w:abstractNum>
  <w:abstractNum w:abstractNumId="183">
    <w:nsid w:val="3D206613"/>
    <w:multiLevelType w:val="hybridMultilevel"/>
    <w:lvl w:ilvl="0">
      <w:lvlJc w:val="left"/>
      <w:lvlText w:val="•"/>
      <w:numFmt w:val="bullet"/>
      <w:start w:val="1"/>
    </w:lvl>
  </w:abstractNum>
  <w:abstractNum w:abstractNumId="184">
    <w:nsid w:val="7993B662"/>
    <w:multiLevelType w:val="hybridMultilevel"/>
    <w:lvl w:ilvl="0">
      <w:lvlJc w:val="left"/>
      <w:lvlText w:val="•"/>
      <w:numFmt w:val="bullet"/>
      <w:start w:val="1"/>
    </w:lvl>
  </w:abstractNum>
  <w:abstractNum w:abstractNumId="185">
    <w:nsid w:val="3BAB699E"/>
    <w:multiLevelType w:val="hybridMultilevel"/>
    <w:lvl w:ilvl="0">
      <w:lvlJc w:val="left"/>
      <w:lvlText w:val="•"/>
      <w:numFmt w:val="bullet"/>
      <w:start w:val="1"/>
    </w:lvl>
  </w:abstractNum>
  <w:abstractNum w:abstractNumId="186">
    <w:nsid w:val="71315369"/>
    <w:multiLevelType w:val="hybridMultilevel"/>
    <w:lvl w:ilvl="0">
      <w:lvlJc w:val="left"/>
      <w:lvlText w:val="(%1)"/>
      <w:numFmt w:val="lowerLetter"/>
      <w:start w:val="1"/>
    </w:lvl>
  </w:abstractNum>
  <w:abstractNum w:abstractNumId="187">
    <w:nsid w:val="7BCFBAFC"/>
    <w:multiLevelType w:val="hybridMultilevel"/>
    <w:lvl w:ilvl="0">
      <w:lvlJc w:val="left"/>
      <w:lvlText w:val="(%1)"/>
      <w:numFmt w:val="lowerLetter"/>
      <w:start w:val="1"/>
    </w:lvl>
  </w:abstractNum>
  <w:abstractNum w:abstractNumId="188">
    <w:nsid w:val="17859F72"/>
    <w:multiLevelType w:val="hybridMultilevel"/>
    <w:lvl w:ilvl="0">
      <w:lvlJc w:val="left"/>
      <w:lvlText w:val="(%1)"/>
      <w:numFmt w:val="lowerRoman"/>
      <w:start w:val="1"/>
    </w:lvl>
  </w:abstractNum>
  <w:abstractNum w:abstractNumId="189">
    <w:nsid w:val="3AA10581"/>
    <w:multiLevelType w:val="hybridMultilevel"/>
    <w:lvl w:ilvl="0">
      <w:lvlJc w:val="left"/>
      <w:lvlText w:val="(%1)"/>
      <w:numFmt w:val="lowerLetter"/>
      <w:start w:val="1"/>
    </w:lvl>
  </w:abstractNum>
  <w:abstractNum w:abstractNumId="190">
    <w:nsid w:val="63DE60CD"/>
    <w:multiLevelType w:val="hybridMultilevel"/>
    <w:lvl w:ilvl="0">
      <w:lvlJc w:val="left"/>
      <w:lvlText w:val="(%1)"/>
      <w:numFmt w:val="lowerLetter"/>
      <w:start w:val="1"/>
    </w:lvl>
  </w:abstractNum>
  <w:abstractNum w:abstractNumId="191">
    <w:nsid w:val="621AF471"/>
    <w:multiLevelType w:val="hybridMultilevel"/>
    <w:lvl w:ilvl="0">
      <w:lvlJc w:val="left"/>
      <w:lvlText w:val="%1."/>
      <w:numFmt w:val="decimal"/>
      <w:start w:val="1"/>
    </w:lvl>
  </w:abstractNum>
  <w:abstractNum w:abstractNumId="192">
    <w:nsid w:val="73CFE165"/>
    <w:multiLevelType w:val="hybridMultilevel"/>
    <w:lvl w:ilvl="0">
      <w:lvlJc w:val="left"/>
      <w:lvlText w:val="%1."/>
      <w:numFmt w:val="decimal"/>
      <w:start w:val="2"/>
    </w:lvl>
  </w:abstractNum>
  <w:abstractNum w:abstractNumId="193">
    <w:nsid w:val="20F88EA6"/>
    <w:multiLevelType w:val="hybridMultilevel"/>
    <w:lvl w:ilvl="0">
      <w:lvlJc w:val="left"/>
      <w:lvlText w:val="%1."/>
      <w:numFmt w:val="decimal"/>
      <w:start w:val="3"/>
    </w:lvl>
  </w:abstractNum>
  <w:abstractNum w:abstractNumId="194">
    <w:nsid w:val="617C843E"/>
    <w:multiLevelType w:val="hybridMultilevel"/>
    <w:lvl w:ilvl="0">
      <w:lvlJc w:val="left"/>
      <w:lvlText w:val="(%1)"/>
      <w:numFmt w:val="decimal"/>
      <w:start w:val="1"/>
    </w:lvl>
  </w:abstractNum>
  <w:abstractNum w:abstractNumId="195">
    <w:nsid w:val="7B541FAB"/>
    <w:multiLevelType w:val="hybridMultilevel"/>
    <w:lvl w:ilvl="0">
      <w:lvlJc w:val="left"/>
      <w:lvlText w:val="%1."/>
      <w:numFmt w:val="decimal"/>
      <w:start w:val="4"/>
    </w:lvl>
  </w:abstractNum>
  <w:abstractNum w:abstractNumId="196">
    <w:nsid w:val="2A79EC49"/>
    <w:multiLevelType w:val="hybridMultilevel"/>
    <w:lvl w:ilvl="0">
      <w:lvlJc w:val="left"/>
      <w:lvlText w:val="(%1)"/>
      <w:numFmt w:val="decimal"/>
      <w:start w:val="1"/>
    </w:lvl>
  </w:abstractNum>
  <w:abstractNum w:abstractNumId="197">
    <w:nsid w:val="338125CF"/>
    <w:multiLevelType w:val="hybridMultilevel"/>
    <w:lvl w:ilvl="0">
      <w:lvlJc w:val="left"/>
      <w:lvlText w:val="•"/>
      <w:numFmt w:val="bullet"/>
      <w:start w:val="1"/>
    </w:lvl>
  </w:abstractNum>
  <w:abstractNum w:abstractNumId="198">
    <w:nsid w:val="47C7C971"/>
    <w:multiLevelType w:val="hybridMultilevel"/>
    <w:lvl w:ilvl="0">
      <w:lvlJc w:val="left"/>
      <w:lvlText w:val="%1."/>
      <w:numFmt w:val="decimal"/>
      <w:start w:val="5"/>
    </w:lvl>
  </w:abstractNum>
  <w:abstractNum w:abstractNumId="199">
    <w:nsid w:val="46F8284B"/>
    <w:multiLevelType w:val="hybridMultilevel"/>
    <w:lvl w:ilvl="0">
      <w:lvlJc w:val="left"/>
      <w:lvlText w:val="(%1)"/>
      <w:numFmt w:val="decimal"/>
      <w:start w:val="1"/>
    </w:lvl>
  </w:abstractNum>
  <w:abstractNum w:abstractNumId="200">
    <w:nsid w:val="4FA327CE"/>
    <w:multiLevelType w:val="hybridMultilevel"/>
    <w:lvl w:ilvl="0">
      <w:lvlJc w:val="left"/>
      <w:lvlText w:val="%1."/>
      <w:numFmt w:val="decimal"/>
      <w:start w:val="6"/>
    </w:lvl>
  </w:abstractNum>
  <w:abstractNum w:abstractNumId="201">
    <w:nsid w:val="1873983A"/>
    <w:multiLevelType w:val="hybridMultilevel"/>
    <w:lvl w:ilvl="0">
      <w:lvlJc w:val="left"/>
      <w:lvlText w:val="•"/>
      <w:numFmt w:val="bullet"/>
      <w:start w:val="1"/>
    </w:lvl>
  </w:abstractNum>
  <w:abstractNum w:abstractNumId="202">
    <w:nsid w:val="3D2DD275"/>
    <w:multiLevelType w:val="hybridMultilevel"/>
    <w:lvl w:ilvl="0">
      <w:lvlJc w:val="left"/>
      <w:lvlText w:val="%1."/>
      <w:numFmt w:val="decimal"/>
      <w:start w:val="7"/>
    </w:lvl>
  </w:abstractNum>
  <w:abstractNum w:abstractNumId="203">
    <w:nsid w:val="2E17ECA7"/>
    <w:multiLevelType w:val="hybridMultilevel"/>
    <w:lvl w:ilvl="0">
      <w:lvlJc w:val="left"/>
      <w:lvlText w:val="%1."/>
      <w:numFmt w:val="decimal"/>
      <w:start w:val="8"/>
    </w:lvl>
  </w:abstractNum>
  <w:abstractNum w:abstractNumId="204">
    <w:nsid w:val="53B2564F"/>
    <w:multiLevelType w:val="hybridMultilevel"/>
    <w:lvl w:ilvl="0">
      <w:lvlJc w:val="left"/>
      <w:lvlText w:val="%1."/>
      <w:numFmt w:val="decimal"/>
      <w:start w:val="9"/>
    </w:lvl>
  </w:abstractNum>
  <w:abstractNum w:abstractNumId="205">
    <w:nsid w:val="75509D76"/>
    <w:multiLevelType w:val="hybridMultilevel"/>
    <w:lvl w:ilvl="0">
      <w:lvlJc w:val="left"/>
      <w:lvlText w:val="%1."/>
      <w:numFmt w:val="decimal"/>
      <w:start w:val="10"/>
    </w:lvl>
  </w:abstractNum>
  <w:abstractNum w:abstractNumId="206">
    <w:nsid w:val="1AF7F0EA"/>
    <w:multiLevelType w:val="hybridMultilevel"/>
    <w:lvl w:ilvl="0">
      <w:lvlJc w:val="left"/>
      <w:lvlText w:val="(%1)"/>
      <w:numFmt w:val="decimal"/>
      <w:start w:val="1"/>
    </w:lvl>
  </w:abstractNum>
  <w:abstractNum w:abstractNumId="207">
    <w:nsid w:val="4DA32C7E"/>
    <w:multiLevelType w:val="hybridMultilevel"/>
    <w:lvl w:ilvl="0">
      <w:lvlJc w:val="left"/>
      <w:lvlText w:val="(%1)"/>
      <w:numFmt w:val="decimal"/>
      <w:start w:val="1"/>
    </w:lvl>
  </w:abstractNum>
  <w:abstractNum w:abstractNumId="208">
    <w:nsid w:val="6EC68664"/>
    <w:multiLevelType w:val="hybridMultilevel"/>
    <w:lvl w:ilvl="0">
      <w:lvlJc w:val="left"/>
      <w:lvlText w:val="%1."/>
      <w:numFmt w:val="decimal"/>
      <w:start w:val="11"/>
    </w:lvl>
  </w:abstractNum>
  <w:abstractNum w:abstractNumId="209">
    <w:nsid w:val="E0D31FF"/>
    <w:multiLevelType w:val="hybridMultilevel"/>
    <w:lvl w:ilvl="0">
      <w:lvlJc w:val="left"/>
      <w:lvlText w:val="%1."/>
      <w:numFmt w:val="decimal"/>
      <w:start w:val="12"/>
    </w:lvl>
  </w:abstractNum>
  <w:abstractNum w:abstractNumId="210">
    <w:nsid w:val="2FD0AD81"/>
    <w:multiLevelType w:val="hybridMultilevel"/>
    <w:lvl w:ilvl="0">
      <w:lvlJc w:val="left"/>
      <w:lvlText w:val="%1."/>
      <w:numFmt w:val="decimal"/>
      <w:start w:val="13"/>
    </w:lvl>
  </w:abstractNum>
  <w:abstractNum w:abstractNumId="211">
    <w:nsid w:val="1978EBEB"/>
    <w:multiLevelType w:val="hybridMultilevel"/>
    <w:lvl w:ilvl="0">
      <w:lvlJc w:val="left"/>
      <w:lvlText w:val="%1."/>
      <w:numFmt w:val="decimal"/>
      <w:start w:val="14"/>
    </w:lvl>
  </w:abstractNum>
  <w:abstractNum w:abstractNumId="212">
    <w:nsid w:val="52C12C61"/>
    <w:multiLevelType w:val="hybridMultilevel"/>
    <w:lvl w:ilvl="0">
      <w:lvlJc w:val="left"/>
      <w:lvlText w:val="(%1)"/>
      <w:numFmt w:val="decimal"/>
      <w:start w:val="1"/>
    </w:lvl>
  </w:abstractNum>
  <w:abstractNum w:abstractNumId="213">
    <w:nsid w:val="4BDD53FD"/>
    <w:multiLevelType w:val="hybridMultilevel"/>
    <w:lvl w:ilvl="0">
      <w:lvlJc w:val="left"/>
      <w:lvlText w:val="(%1)"/>
      <w:numFmt w:val="decimal"/>
      <w:start w:val="1"/>
    </w:lvl>
  </w:abstractNum>
  <w:abstractNum w:abstractNumId="214">
    <w:nsid w:val="569951FE"/>
    <w:multiLevelType w:val="hybridMultilevel"/>
    <w:lvl w:ilvl="0">
      <w:lvlJc w:val="left"/>
      <w:lvlText w:val="(%1)"/>
      <w:numFmt w:val="decimal"/>
      <w:start w:val="1"/>
    </w:lvl>
  </w:abstractNum>
  <w:abstractNum w:abstractNumId="215">
    <w:nsid w:val="4C54E2C3"/>
    <w:multiLevelType w:val="hybridMultilevel"/>
    <w:lvl w:ilvl="0">
      <w:lvlJc w:val="left"/>
      <w:lvlText w:val="%1."/>
      <w:numFmt w:val="decimal"/>
      <w:start w:val="15"/>
    </w:lvl>
  </w:abstractNum>
  <w:abstractNum w:abstractNumId="216">
    <w:nsid w:val="788BD9B"/>
    <w:multiLevelType w:val="hybridMultilevel"/>
    <w:lvl w:ilvl="0">
      <w:lvlJc w:val="left"/>
      <w:lvlText w:val="%1."/>
      <w:numFmt w:val="decimal"/>
      <w:start w:val="16"/>
    </w:lvl>
  </w:abstractNum>
  <w:abstractNum w:abstractNumId="217">
    <w:nsid w:val="47CAA567"/>
    <w:multiLevelType w:val="hybridMultilevel"/>
    <w:lvl w:ilvl="0">
      <w:lvlJc w:val="left"/>
      <w:lvlText w:val="%1."/>
      <w:numFmt w:val="decimal"/>
      <w:start w:val="17"/>
    </w:lvl>
  </w:abstractNum>
  <w:abstractNum w:abstractNumId="218">
    <w:nsid w:val="48249DBF"/>
    <w:multiLevelType w:val="hybridMultilevel"/>
    <w:lvl w:ilvl="0">
      <w:lvlJc w:val="left"/>
      <w:lvlText w:val="(%1)"/>
      <w:numFmt w:val="decimal"/>
      <w:start w:val="1"/>
    </w:lvl>
  </w:abstractNum>
  <w:abstractNum w:abstractNumId="219">
    <w:nsid w:val="1F0E5D0D"/>
    <w:multiLevelType w:val="hybridMultilevel"/>
    <w:lvl w:ilvl="0">
      <w:lvlJc w:val="left"/>
      <w:lvlText w:val="%1."/>
      <w:numFmt w:val="decimal"/>
      <w:start w:val="18"/>
    </w:lvl>
  </w:abstractNum>
  <w:abstractNum w:abstractNumId="220">
    <w:nsid w:val="26BAAE9"/>
    <w:multiLevelType w:val="hybridMultilevel"/>
    <w:lvl w:ilvl="0">
      <w:lvlJc w:val="left"/>
      <w:lvlText w:val="%1."/>
      <w:numFmt w:val="decimal"/>
      <w:start w:val="19"/>
    </w:lvl>
  </w:abstractNum>
  <w:abstractNum w:abstractNumId="221">
    <w:nsid w:val="2C02FE8C"/>
    <w:multiLevelType w:val="hybridMultilevel"/>
    <w:lvl w:ilvl="0">
      <w:lvlJc w:val="left"/>
      <w:lvlText w:val="%1."/>
      <w:numFmt w:val="decimal"/>
      <w:start w:val="1"/>
    </w:lvl>
  </w:abstractNum>
  <w:abstractNum w:abstractNumId="222">
    <w:nsid w:val="129517E"/>
    <w:multiLevelType w:val="hybridMultilevel"/>
    <w:lvl w:ilvl="0">
      <w:lvlJc w:val="left"/>
      <w:lvlText w:val="%1."/>
      <w:numFmt w:val="decimal"/>
      <w:start w:val="2"/>
    </w:lvl>
  </w:abstractNum>
  <w:abstractNum w:abstractNumId="223">
    <w:nsid w:val="763B8C4E"/>
    <w:multiLevelType w:val="hybridMultilevel"/>
    <w:lvl w:ilvl="0">
      <w:lvlJc w:val="left"/>
      <w:lvlText w:val="%1."/>
      <w:numFmt w:val="decimal"/>
      <w:start w:val="3"/>
    </w:lvl>
  </w:abstractNum>
  <w:abstractNum w:abstractNumId="224">
    <w:nsid w:val="4CFB8D32"/>
    <w:multiLevelType w:val="hybridMultilevel"/>
    <w:lvl w:ilvl="0">
      <w:lvlJc w:val="left"/>
      <w:lvlText w:val="%1."/>
      <w:numFmt w:val="decimal"/>
      <w:start w:val="4"/>
    </w:lvl>
  </w:abstractNum>
  <w:abstractNum w:abstractNumId="225">
    <w:nsid w:val="62A5D5BD"/>
    <w:multiLevelType w:val="hybridMultilevel"/>
    <w:lvl w:ilvl="0">
      <w:lvlJc w:val="left"/>
      <w:lvlText w:val="(%1)"/>
      <w:numFmt w:val="decimal"/>
      <w:start w:val="1"/>
    </w:lvl>
  </w:abstractNum>
  <w:abstractNum w:abstractNumId="226">
    <w:nsid w:val="718FABF9"/>
    <w:multiLevelType w:val="hybridMultilevel"/>
    <w:lvl w:ilvl="0">
      <w:lvlJc w:val="left"/>
      <w:lvlText w:val="(%1)"/>
      <w:numFmt w:val="decimal"/>
      <w:start w:val="1"/>
    </w:lvl>
  </w:abstractNum>
  <w:abstractNum w:abstractNumId="227">
    <w:nsid w:val="7775797C"/>
    <w:multiLevelType w:val="hybridMultilevel"/>
    <w:lvl w:ilvl="0">
      <w:lvlJc w:val="left"/>
      <w:lvlText w:val="(%1)"/>
      <w:numFmt w:val="decimal"/>
      <w:start w:val="1"/>
    </w:lvl>
  </w:abstractNum>
  <w:abstractNum w:abstractNumId="228">
    <w:nsid w:val="1626FB8C"/>
    <w:multiLevelType w:val="hybridMultilevel"/>
    <w:lvl w:ilvl="0">
      <w:lvlJc w:val="left"/>
      <w:lvlText w:val="•"/>
      <w:numFmt w:val="bullet"/>
      <w:start w:val="1"/>
    </w:lvl>
  </w:abstractNum>
  <w:abstractNum w:abstractNumId="229">
    <w:nsid w:val="3957756A"/>
    <w:multiLevelType w:val="hybridMultilevel"/>
    <w:lvl w:ilvl="0">
      <w:lvlJc w:val="left"/>
      <w:lvlText w:val="(%1)"/>
      <w:numFmt w:val="decimal"/>
      <w:start w:val="1"/>
    </w:lvl>
  </w:abstractNum>
  <w:abstractNum w:abstractNumId="230">
    <w:nsid w:val="3E6DA1C7"/>
    <w:multiLevelType w:val="hybridMultilevel"/>
    <w:lvl w:ilvl="0">
      <w:lvlJc w:val="left"/>
      <w:lvlText w:val="(%1)"/>
      <w:numFmt w:val="decimal"/>
      <w:start w:val="1"/>
    </w:lvl>
  </w:abstractNum>
  <w:abstractNum w:abstractNumId="231">
    <w:nsid w:val="65CA235B"/>
    <w:multiLevelType w:val="hybridMultilevel"/>
    <w:lvl w:ilvl="0">
      <w:lvlJc w:val="left"/>
      <w:lvlText w:val="(%1)"/>
      <w:numFmt w:val="decimal"/>
      <w:start w:val="1"/>
    </w:lvl>
  </w:abstractNum>
  <w:abstractNum w:abstractNumId="232">
    <w:nsid w:val="51CB0DA4"/>
    <w:multiLevelType w:val="hybridMultilevel"/>
    <w:lvl w:ilvl="0">
      <w:lvlJc w:val="left"/>
      <w:lvlText w:val="(%1)"/>
      <w:numFmt w:val="lowerLetter"/>
      <w:start w:val="3"/>
    </w:lvl>
  </w:abstractNum>
  <w:abstractNum w:abstractNumId="233">
    <w:nsid w:val="7B9B743C"/>
    <w:multiLevelType w:val="hybridMultilevel"/>
    <w:lvl w:ilvl="0">
      <w:lvlJc w:val="left"/>
      <w:lvlText w:val="(%1)"/>
      <w:numFmt w:val="decimal"/>
      <w:start w:val="1"/>
    </w:lvl>
  </w:abstractNum>
  <w:abstractNum w:abstractNumId="234">
    <w:nsid w:val="13E21002"/>
    <w:multiLevelType w:val="hybridMultilevel"/>
    <w:lvl w:ilvl="0">
      <w:lvlJc w:val="left"/>
      <w:lvlText w:val="•"/>
      <w:numFmt w:val="bullet"/>
      <w:start w:val="1"/>
    </w:lvl>
  </w:abstractNum>
  <w:abstractNum w:abstractNumId="235">
    <w:nsid w:val="257D63F4"/>
    <w:multiLevelType w:val="hybridMultilevel"/>
    <w:lvl w:ilvl="0">
      <w:lvlJc w:val="left"/>
      <w:lvlText w:val="(%1)"/>
      <w:numFmt w:val="decimal"/>
      <w:start w:val="1"/>
    </w:lvl>
  </w:abstractNum>
  <w:abstractNum w:abstractNumId="236">
    <w:nsid w:val="70EC11B2"/>
    <w:multiLevelType w:val="hybridMultilevel"/>
    <w:lvl w:ilvl="0">
      <w:lvlJc w:val="left"/>
      <w:lvlText w:val="•"/>
      <w:numFmt w:val="bullet"/>
      <w:start w:val="1"/>
    </w:lvl>
  </w:abstractNum>
  <w:abstractNum w:abstractNumId="237">
    <w:nsid w:val="2EDA00ED"/>
    <w:multiLevelType w:val="hybridMultilevel"/>
    <w:lvl w:ilvl="0">
      <w:lvlJc w:val="left"/>
      <w:lvlText w:val="(%1)"/>
      <w:numFmt w:val="decimal"/>
      <w:start w:val="1"/>
    </w:lvl>
  </w:abstractNum>
  <w:abstractNum w:abstractNumId="238">
    <w:nsid w:val="73209072"/>
    <w:multiLevelType w:val="hybridMultilevel"/>
    <w:lvl w:ilvl="0">
      <w:lvlJc w:val="left"/>
      <w:lvlText w:val="%1."/>
      <w:numFmt w:val="decimal"/>
      <w:start w:val="13"/>
    </w:lvl>
  </w:abstractNum>
  <w:abstractNum w:abstractNumId="239">
    <w:nsid w:val="5FB29816"/>
    <w:multiLevelType w:val="hybridMultilevel"/>
    <w:lvl w:ilvl="0">
      <w:lvlJc w:val="left"/>
      <w:lvlText w:val="(%1)"/>
      <w:numFmt w:val="lowerRoman"/>
      <w:start w:val="1"/>
    </w:lvl>
  </w:abstractNum>
  <w:abstractNum w:abstractNumId="240">
    <w:nsid w:val="3CE732EC"/>
    <w:multiLevelType w:val="hybridMultilevel"/>
    <w:lvl w:ilvl="0">
      <w:lvlJc w:val="left"/>
      <w:lvlText w:val="(%1)"/>
      <w:numFmt w:val="lowerRoman"/>
      <w:start w:val="5"/>
    </w:lvl>
  </w:abstractNum>
  <w:abstractNum w:abstractNumId="241">
    <w:nsid w:val="22F13DF3"/>
    <w:multiLevelType w:val="hybridMultilevel"/>
    <w:lvl w:ilvl="0">
      <w:lvlJc w:val="left"/>
      <w:lvlText w:val="(%1)"/>
      <w:numFmt w:val="lowerLetter"/>
      <w:start w:val="1"/>
    </w:lvl>
  </w:abstractNum>
  <w:abstractNum w:abstractNumId="242">
    <w:nsid w:val="792B8401"/>
    <w:multiLevelType w:val="hybridMultilevel"/>
    <w:lvl w:ilvl="0">
      <w:lvlJc w:val="left"/>
      <w:lvlText w:val="(%1)"/>
      <w:numFmt w:val="lowerLetter"/>
      <w:start w:val="2"/>
    </w:lvl>
  </w:abstractNum>
  <w:abstractNum w:abstractNumId="243">
    <w:nsid w:val="FA85F4D"/>
    <w:multiLevelType w:val="hybridMultilevel"/>
    <w:lvl w:ilvl="0">
      <w:lvlJc w:val="left"/>
      <w:lvlText w:val="(%1)"/>
      <w:numFmt w:val="decimal"/>
      <w:start w:val="1"/>
    </w:lvl>
  </w:abstractNum>
  <w:abstractNum w:abstractNumId="244">
    <w:nsid w:val="6ECE91F0"/>
    <w:multiLevelType w:val="hybridMultilevel"/>
    <w:lvl w:ilvl="0">
      <w:lvlJc w:val="left"/>
      <w:lvlText w:val="(%1)"/>
      <w:numFmt w:val="upperLetter"/>
      <w:start w:val="1"/>
    </w:lvl>
  </w:abstractNum>
  <w:abstractNum w:abstractNumId="245">
    <w:nsid w:val="4FC4D600"/>
    <w:multiLevelType w:val="hybridMultilevel"/>
    <w:lvl w:ilvl="0">
      <w:lvlJc w:val="left"/>
      <w:lvlText w:val="*"/>
      <w:numFmt w:val="bullet"/>
      <w:start w:val="1"/>
    </w:lvl>
  </w:abstractNum>
  <w:abstractNum w:abstractNumId="246">
    <w:nsid w:val="5BFD4210"/>
    <w:multiLevelType w:val="hybridMultilevel"/>
    <w:lvl w:ilvl="0">
      <w:lvlJc w:val="left"/>
      <w:lvlText w:val="†"/>
      <w:numFmt w:val="bullet"/>
      <w:start w:val="1"/>
    </w:lvl>
  </w:abstractNum>
  <w:abstractNum w:abstractNumId="247">
    <w:nsid w:val="76574F8B"/>
    <w:multiLevelType w:val="hybridMultilevel"/>
    <w:lvl w:ilvl="0">
      <w:lvlJc w:val="left"/>
      <w:lvlText w:val="["/>
      <w:numFmt w:val="bullet"/>
      <w:start w:val="1"/>
    </w:lvl>
  </w:abstractNum>
  <w:abstractNum w:abstractNumId="248">
    <w:nsid w:val="178F7B67"/>
    <w:multiLevelType w:val="hybridMultilevel"/>
    <w:lvl w:ilvl="0">
      <w:lvlJc w:val="left"/>
      <w:lvlText w:val="%1."/>
      <w:numFmt w:val="decimal"/>
      <w:start w:val="1"/>
    </w:lvl>
  </w:abstractNum>
  <w:abstractNum w:abstractNumId="249">
    <w:nsid w:val="2421DFCF"/>
    <w:multiLevelType w:val="hybridMultilevel"/>
    <w:lvl w:ilvl="0">
      <w:lvlJc w:val="left"/>
      <w:lvlText w:val="(%1)"/>
      <w:numFmt w:val="lowerLetter"/>
      <w:start w:val="2"/>
    </w:lvl>
  </w:abstractNum>
  <w:abstractNum w:abstractNumId="250">
    <w:nsid w:val="1565AC99"/>
    <w:multiLevelType w:val="hybridMultilevel"/>
    <w:lvl w:ilvl="0">
      <w:lvlJc w:val="left"/>
      <w:lvlText w:val="(%1)"/>
      <w:numFmt w:val="lowerLetter"/>
      <w:start w:val="5"/>
    </w:lvl>
  </w:abstractNum>
  <w:abstractNum w:abstractNumId="251">
    <w:nsid w:val="19FB2650"/>
    <w:multiLevelType w:val="hybridMultilevel"/>
    <w:lvl w:ilvl="0">
      <w:lvlJc w:val="left"/>
      <w:lvlText w:val="%1"/>
      <w:numFmt w:val="lowerLetter"/>
      <w:start w:val="1"/>
    </w:lvl>
    <w:lvl w:ilvl="1">
      <w:lvlJc w:val="left"/>
      <w:lvlText w:val="(%2)"/>
      <w:numFmt w:val="lowerLetter"/>
      <w:start w:val="13"/>
    </w:lvl>
  </w:abstractNum>
  <w:abstractNum w:abstractNumId="252">
    <w:nsid w:val="5024DE5B"/>
    <w:multiLevelType w:val="hybridMultilevel"/>
    <w:lvl w:ilvl="0">
      <w:lvlJc w:val="left"/>
      <w:lvlText w:val="(%1)"/>
      <w:numFmt w:val="lowerLetter"/>
      <w:start w:val="9"/>
    </w:lvl>
    <w:lvl w:ilvl="1">
      <w:lvlJc w:val="left"/>
      <w:lvlText w:val="(%2)"/>
      <w:numFmt w:val="lowerLetter"/>
      <w:start w:val="15"/>
    </w:lvl>
  </w:abstractNum>
  <w:abstractNum w:abstractNumId="253">
    <w:nsid w:val="168EFE17"/>
    <w:multiLevelType w:val="hybridMultilevel"/>
    <w:lvl w:ilvl="0">
      <w:lvlJc w:val="left"/>
      <w:lvlText w:val="%1"/>
      <w:numFmt w:val="lowerLetter"/>
      <w:start w:val="1"/>
    </w:lvl>
    <w:lvl w:ilvl="1">
      <w:lvlJc w:val="left"/>
      <w:lvlText w:val="(%2)"/>
      <w:numFmt w:val="lowerLetter"/>
      <w:start w:val="16"/>
    </w:lvl>
  </w:abstractNum>
  <w:abstractNum w:abstractNumId="254">
    <w:nsid w:val="1036B29F"/>
    <w:multiLevelType w:val="hybridMultilevel"/>
    <w:lvl w:ilvl="0">
      <w:lvlJc w:val="left"/>
      <w:lvlText w:val="(%1)"/>
      <w:numFmt w:val="lowerLetter"/>
      <w:start w:val="9"/>
    </w:lvl>
    <w:lvl w:ilvl="1">
      <w:lvlJc w:val="left"/>
      <w:lvlText w:val="%2"/>
      <w:numFmt w:val="lowerLetter"/>
      <w:start w:val="1"/>
    </w:lvl>
  </w:abstractNum>
  <w:abstractNum w:abstractNumId="255">
    <w:nsid w:val="1D206B8E"/>
    <w:multiLevelType w:val="hybridMultilevel"/>
    <w:lvl w:ilvl="0">
      <w:lvlJc w:val="left"/>
      <w:lvlText w:val="%1"/>
      <w:numFmt w:val="lowerLetter"/>
      <w:start w:val="1"/>
    </w:lvl>
    <w:lvl w:ilvl="1">
      <w:lvlJc w:val="left"/>
      <w:lvlText w:val="(%2)"/>
      <w:numFmt w:val="lowerLetter"/>
      <w:start w:val="20"/>
    </w:lvl>
  </w:abstractNum>
  <w:abstractNum w:abstractNumId="256">
    <w:nsid w:val="7934D3D4"/>
    <w:multiLevelType w:val="hybridMultilevel"/>
    <w:lvl w:ilvl="0">
      <w:lvlJc w:val="left"/>
      <w:lvlText w:val="(%1)"/>
      <w:numFmt w:val="lowerLetter"/>
      <w:start w:val="35"/>
    </w:lvl>
    <w:lvl w:ilvl="1">
      <w:lvlJc w:val="left"/>
      <w:lvlText w:val="(%2)"/>
      <w:numFmt w:val="lowerLetter"/>
      <w:start w:val="21"/>
    </w:lvl>
  </w:abstractNum>
  <w:abstractNum w:abstractNumId="257">
    <w:nsid w:val="1C65E98"/>
    <w:multiLevelType w:val="hybridMultilevel"/>
    <w:lvl w:ilvl="0">
      <w:lvlJc w:val="left"/>
      <w:lvlText w:val="(%1)"/>
      <w:numFmt w:val="lowerLetter"/>
      <w:start w:val="25"/>
    </w:lvl>
  </w:abstractNum>
  <w:abstractNum w:abstractNumId="258">
    <w:nsid w:val="1495E50A"/>
    <w:multiLevelType w:val="hybridMultilevel"/>
    <w:lvl w:ilvl="0">
      <w:lvlJc w:val="left"/>
      <w:lvlText w:val="%1"/>
      <w:numFmt w:val="lowerLetter"/>
      <w:start w:val="1"/>
    </w:lvl>
    <w:lvl w:ilvl="1">
      <w:lvlJc w:val="left"/>
      <w:lvlText w:val="(%2)"/>
      <w:numFmt w:val="lowerLetter"/>
      <w:start w:val="27"/>
    </w:lvl>
  </w:abstractNum>
  <w:abstractNum w:abstractNumId="259">
    <w:nsid w:val="F5BCF61"/>
    <w:multiLevelType w:val="hybridMultilevel"/>
    <w:lvl w:ilvl="0">
      <w:lvlJc w:val="left"/>
      <w:lvlText w:val="(%1)"/>
      <w:numFmt w:val="lowerLetter"/>
      <w:start w:val="9"/>
    </w:lvl>
    <w:lvl w:ilvl="1">
      <w:lvlJc w:val="left"/>
      <w:lvlText w:val="%2"/>
      <w:numFmt w:val="lowerLetter"/>
      <w:start w:val="1"/>
    </w:lvl>
  </w:abstractNum>
  <w:abstractNum w:abstractNumId="260">
    <w:nsid w:val="3B1DD403"/>
    <w:multiLevelType w:val="hybridMultilevel"/>
    <w:lvl w:ilvl="0">
      <w:lvlJc w:val="left"/>
      <w:lvlText w:val="%1"/>
      <w:numFmt w:val="lowerLetter"/>
      <w:start w:val="1"/>
    </w:lvl>
    <w:lvl w:ilvl="1">
      <w:lvlJc w:val="left"/>
      <w:lvlText w:val="(%2)"/>
      <w:numFmt w:val="lowerLetter"/>
      <w:start w:val="30"/>
    </w:lvl>
  </w:abstractNum>
  <w:abstractNum w:abstractNumId="261">
    <w:nsid w:val="530386D1"/>
    <w:multiLevelType w:val="hybridMultilevel"/>
    <w:lvl w:ilvl="0">
      <w:lvlJc w:val="left"/>
      <w:lvlText w:val="(%1)"/>
      <w:numFmt w:val="lowerLetter"/>
      <w:start w:val="35"/>
    </w:lvl>
    <w:lvl w:ilvl="1">
      <w:lvlJc w:val="left"/>
      <w:lvlText w:val="(%2)"/>
      <w:numFmt w:val="lowerLetter"/>
      <w:start w:val="32"/>
    </w:lvl>
  </w:abstractNum>
  <w:abstractNum w:abstractNumId="262">
    <w:nsid w:val="7525F2BC"/>
    <w:multiLevelType w:val="hybridMultilevel"/>
    <w:lvl w:ilvl="0">
      <w:lvlJc w:val="left"/>
      <w:lvlText w:val="(%1)"/>
      <w:numFmt w:val="lowerLetter"/>
      <w:start w:val="34"/>
    </w:lvl>
  </w:abstractNum>
  <w:abstractNum w:abstractNumId="263">
    <w:nsid w:val="CE8E1A7"/>
    <w:multiLevelType w:val="hybridMultilevel"/>
    <w:lvl w:ilvl="0">
      <w:lvlJc w:val="left"/>
      <w:lvlText w:val="(%1)"/>
      <w:numFmt w:val="lowerLetter"/>
      <w:start w:val="39"/>
    </w:lvl>
  </w:abstractNum>
  <w:abstractNum w:abstractNumId="264">
    <w:nsid w:val="4E9EFB0D"/>
    <w:multiLevelType w:val="hybridMultilevel"/>
    <w:lvl w:ilvl="0">
      <w:lvlJc w:val="left"/>
      <w:lvlText w:val="(%1)"/>
      <w:numFmt w:val="lowerLetter"/>
      <w:start w:val="41"/>
    </w:lvl>
  </w:abstractNum>
  <w:abstractNum w:abstractNumId="265">
    <w:nsid w:val="90802BE"/>
    <w:multiLevelType w:val="hybridMultilevel"/>
    <w:lvl w:ilvl="0">
      <w:lvlJc w:val="left"/>
      <w:lvlText w:val="%1"/>
      <w:numFmt w:val="lowerLetter"/>
      <w:start w:val="1"/>
    </w:lvl>
    <w:lvl w:ilvl="1">
      <w:lvlJc w:val="left"/>
      <w:lvlText w:val="%2."/>
      <w:numFmt w:val="decimal"/>
      <w:start w:val="2"/>
    </w:lvl>
  </w:abstractNum>
  <w:abstractNum w:abstractNumId="266">
    <w:nsid w:val="3266459B"/>
    <w:multiLevelType w:val="hybridMultilevel"/>
    <w:lvl w:ilvl="0">
      <w:lvlJc w:val="left"/>
      <w:lvlText w:val="(%1)"/>
      <w:numFmt w:val="lowerLetter"/>
      <w:start w:val="1"/>
    </w:lvl>
    <w:lvl w:ilvl="1">
      <w:lvlJc w:val="left"/>
      <w:lvlText w:val="%2"/>
      <w:numFmt w:val="decimal"/>
      <w:start w:val="1"/>
    </w:lvl>
  </w:abstractNum>
  <w:abstractNum w:abstractNumId="267">
    <w:nsid w:val="3F8B0CBF"/>
    <w:multiLevelType w:val="hybridMultilevel"/>
    <w:lvl w:ilvl="0">
      <w:lvlJc w:val="left"/>
      <w:lvlText w:val="%1"/>
      <w:numFmt w:val="lowerLetter"/>
      <w:start w:val="1"/>
    </w:lvl>
    <w:lvl w:ilvl="1">
      <w:lvlJc w:val="left"/>
      <w:lvlText w:val="(%2)"/>
      <w:numFmt w:val="lowerLetter"/>
      <w:start w:val="3"/>
    </w:lvl>
  </w:abstractNum>
  <w:abstractNum w:abstractNumId="268">
    <w:nsid w:val="37E203AB"/>
    <w:multiLevelType w:val="hybridMultilevel"/>
    <w:lvl w:ilvl="0">
      <w:lvlJc w:val="left"/>
      <w:lvlText w:val="(%1)"/>
      <w:numFmt w:val="lowerLetter"/>
      <w:start w:val="9"/>
    </w:lvl>
    <w:lvl w:ilvl="1">
      <w:lvlJc w:val="left"/>
      <w:lvlText w:val="%2"/>
      <w:numFmt w:val="lowerLetter"/>
      <w:start w:val="1"/>
    </w:lvl>
  </w:abstractNum>
  <w:abstractNum w:abstractNumId="269">
    <w:nsid w:val="2586D60E"/>
    <w:multiLevelType w:val="hybridMultilevel"/>
    <w:lvl w:ilvl="0">
      <w:lvlJc w:val="left"/>
      <w:lvlText w:val="(%1)"/>
      <w:numFmt w:val="lowerLetter"/>
      <w:start w:val="5"/>
    </w:lvl>
  </w:abstractNum>
  <w:abstractNum w:abstractNumId="270">
    <w:nsid w:val="1F3DA4D5"/>
    <w:multiLevelType w:val="hybridMultilevel"/>
    <w:lvl w:ilvl="0">
      <w:lvlJc w:val="left"/>
      <w:lvlText w:val="%1."/>
      <w:numFmt w:val="decimal"/>
      <w:start w:val="3"/>
    </w:lvl>
  </w:abstractNum>
  <w:abstractNum w:abstractNumId="271">
    <w:nsid w:val="74C93698"/>
    <w:multiLevelType w:val="hybridMultilevel"/>
    <w:lvl w:ilvl="0">
      <w:lvlJc w:val="left"/>
      <w:lvlText w:val="(%1)"/>
      <w:numFmt w:val="lowerLetter"/>
      <w:start w:val="1"/>
    </w:lvl>
  </w:abstractNum>
  <w:abstractNum w:abstractNumId="272">
    <w:nsid w:val="48781401"/>
    <w:multiLevelType w:val="hybridMultilevel"/>
    <w:lvl w:ilvl="0">
      <w:lvlJc w:val="left"/>
      <w:lvlText w:val="(%1)"/>
      <w:numFmt w:val="lowerLetter"/>
      <w:start w:val="3"/>
    </w:lvl>
  </w:abstractNum>
  <w:abstractNum w:abstractNumId="273">
    <w:nsid w:val="186928D6"/>
    <w:multiLevelType w:val="hybridMultilevel"/>
    <w:lvl w:ilvl="0">
      <w:lvlJc w:val="left"/>
      <w:lvlText w:val="%1."/>
      <w:numFmt w:val="decimal"/>
      <w:start w:val="4"/>
    </w:lvl>
  </w:abstractNum>
  <w:abstractNum w:abstractNumId="274">
    <w:nsid w:val="47195E5"/>
    <w:multiLevelType w:val="hybridMultilevel"/>
    <w:lvl w:ilvl="0">
      <w:lvlJc w:val="left"/>
      <w:lvlText w:val="%1."/>
      <w:numFmt w:val="decimal"/>
      <w:start w:val="5"/>
    </w:lvl>
  </w:abstractNum>
  <w:abstractNum w:abstractNumId="275">
    <w:nsid w:val="3746A5F2"/>
    <w:multiLevelType w:val="hybridMultilevel"/>
    <w:lvl w:ilvl="0">
      <w:lvlJc w:val="left"/>
      <w:lvlText w:val="(%1)"/>
      <w:numFmt w:val="lowerLetter"/>
      <w:start w:val="1"/>
    </w:lvl>
  </w:abstractNum>
  <w:abstractNum w:abstractNumId="276">
    <w:nsid w:val="682DFED6"/>
    <w:multiLevelType w:val="hybridMultilevel"/>
    <w:lvl w:ilvl="0">
      <w:lvlJc w:val="left"/>
      <w:lvlText w:val="%1"/>
      <w:numFmt w:val="lowerRoman"/>
      <w:start w:val="1"/>
    </w:lvl>
    <w:lvl w:ilvl="1">
      <w:lvlJc w:val="left"/>
      <w:lvlText w:val="(%2)"/>
      <w:numFmt w:val="lowerLetter"/>
      <w:start w:val="2"/>
    </w:lvl>
  </w:abstractNum>
  <w:abstractNum w:abstractNumId="277">
    <w:nsid w:val="606ED7F6"/>
    <w:multiLevelType w:val="hybridMultilevel"/>
    <w:lvl w:ilvl="0">
      <w:lvlJc w:val="left"/>
      <w:lvlText w:val="(%1)"/>
      <w:numFmt w:val="lowerRoman"/>
      <w:start w:val="2"/>
    </w:lvl>
    <w:lvl w:ilvl="1">
      <w:lvlJc w:val="left"/>
      <w:lvlText w:val="(%2)"/>
      <w:numFmt w:val="lowerLetter"/>
      <w:start w:val="3"/>
    </w:lvl>
  </w:abstractNum>
  <w:abstractNum w:abstractNumId="278">
    <w:nsid w:val="2D9DF57D"/>
    <w:multiLevelType w:val="hybridMultilevel"/>
    <w:lvl w:ilvl="0">
      <w:lvlJc w:val="left"/>
      <w:lvlText w:val="(%1)"/>
      <w:numFmt w:val="lowerLetter"/>
      <w:start w:val="6"/>
    </w:lvl>
  </w:abstractNum>
  <w:abstractNum w:abstractNumId="279">
    <w:nsid w:val="7FBD7A3E"/>
    <w:multiLevelType w:val="hybridMultilevel"/>
    <w:lvl w:ilvl="0">
      <w:lvlJc w:val="left"/>
      <w:lvlText w:val="(%1)"/>
      <w:numFmt w:val="lowerLetter"/>
      <w:start w:val="10"/>
    </w:lvl>
  </w:abstractNum>
  <w:abstractNum w:abstractNumId="280">
    <w:nsid w:val="490B7C5"/>
    <w:multiLevelType w:val="hybridMultilevel"/>
    <w:lvl w:ilvl="0">
      <w:lvlJc w:val="left"/>
      <w:lvlText w:val="(%1)"/>
      <w:numFmt w:val="lowerLetter"/>
      <w:start w:val="13"/>
    </w:lvl>
  </w:abstractNum>
  <w:abstractNum w:abstractNumId="281">
    <w:nsid w:val="4303A216"/>
    <w:multiLevelType w:val="hybridMultilevel"/>
    <w:lvl w:ilvl="0">
      <w:lvlJc w:val="left"/>
      <w:lvlText w:val="(%1)"/>
      <w:numFmt w:val="lowerLetter"/>
      <w:start w:val="1"/>
    </w:lvl>
  </w:abstractNum>
  <w:abstractNum w:abstractNumId="282">
    <w:nsid w:val="19B8A08E"/>
    <w:multiLevelType w:val="hybridMultilevel"/>
    <w:lvl w:ilvl="0">
      <w:lvlJc w:val="left"/>
      <w:lvlText w:val="(%1)"/>
      <w:numFmt w:val="lowerLetter"/>
      <w:start w:val="2"/>
    </w:lvl>
  </w:abstractNum>
  <w:abstractNum w:abstractNumId="283">
    <w:nsid w:val="54B59621"/>
    <w:multiLevelType w:val="hybridMultilevel"/>
    <w:lvl w:ilvl="0">
      <w:lvlJc w:val="left"/>
      <w:lvlText w:val="%1."/>
      <w:numFmt w:val="decimal"/>
      <w:start w:val="8"/>
    </w:lvl>
  </w:abstractNum>
  <w:abstractNum w:abstractNumId="284">
    <w:nsid w:val="5992A02E"/>
    <w:multiLevelType w:val="hybridMultilevel"/>
    <w:lvl w:ilvl="0">
      <w:lvlJc w:val="left"/>
      <w:lvlText w:val="(%1)"/>
      <w:numFmt w:val="lowerLetter"/>
      <w:start w:val="1"/>
    </w:lvl>
    <w:lvl w:ilvl="1">
      <w:lvlJc w:val="left"/>
      <w:lvlText w:val="(%2)"/>
      <w:numFmt w:val="lowerRoman"/>
      <w:start w:val="2"/>
    </w:lvl>
  </w:abstractNum>
  <w:abstractNum w:abstractNumId="285">
    <w:nsid w:val="29EF532D"/>
    <w:multiLevelType w:val="hybridMultilevel"/>
    <w:lvl w:ilvl="0">
      <w:lvlJc w:val="left"/>
      <w:lvlText w:val="(%1)"/>
      <w:numFmt w:val="lowerLetter"/>
      <w:start w:val="3"/>
    </w:lvl>
    <w:lvl w:ilvl="1">
      <w:lvlJc w:val="left"/>
      <w:lvlText w:val="(%2)"/>
      <w:numFmt w:val="decimal"/>
      <w:start w:val="1"/>
    </w:lvl>
  </w:abstractNum>
  <w:abstractNum w:abstractNumId="286">
    <w:nsid w:val="71D601AF"/>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1"/>
    </w:lvl>
  </w:abstractNum>
  <w:abstractNum w:abstractNumId="287">
    <w:nsid w:val="52C77402"/>
    <w:multiLevelType w:val="hybridMultilevel"/>
    <w:lvl w:ilvl="0">
      <w:lvlJc w:val="left"/>
      <w:lvlText w:val="(%1)"/>
      <w:numFmt w:val="lowerLetter"/>
      <w:start w:val="35"/>
    </w:lvl>
    <w:lvl w:ilvl="1">
      <w:lvlJc w:val="left"/>
      <w:lvlText w:val="(%2)"/>
      <w:numFmt w:val="lowerLetter"/>
      <w:start w:val="10"/>
    </w:lvl>
    <w:lvl w:ilvl="2">
      <w:lvlJc w:val="left"/>
      <w:lvlText w:val="%3"/>
      <w:numFmt w:val="decimal"/>
      <w:start w:val="1"/>
    </w:lvl>
  </w:abstractNum>
  <w:abstractNum w:abstractNumId="288">
    <w:nsid w:val="2BB5B1C6"/>
    <w:multiLevelType w:val="hybridMultilevel"/>
    <w:lvl w:ilvl="0">
      <w:lvlJc w:val="left"/>
      <w:lvlText w:val="(%1)"/>
      <w:numFmt w:val="lowerLetter"/>
      <w:start w:val="11"/>
    </w:lvl>
  </w:abstractNum>
  <w:abstractNum w:abstractNumId="289">
    <w:nsid w:val="66BE6B9"/>
    <w:multiLevelType w:val="hybridMultilevel"/>
    <w:lvl w:ilvl="0">
      <w:lvlJc w:val="left"/>
      <w:lvlText w:val="%1."/>
      <w:numFmt w:val="decimal"/>
      <w:start w:val="9"/>
    </w:lvl>
  </w:abstractNum>
  <w:abstractNum w:abstractNumId="290">
    <w:nsid w:val="62234363"/>
    <w:multiLevelType w:val="hybridMultilevel"/>
    <w:lvl w:ilvl="0">
      <w:lvlJc w:val="left"/>
      <w:lvlText w:val="(%1)"/>
      <w:numFmt w:val="lowerLetter"/>
      <w:start w:val="1"/>
    </w:lvl>
  </w:abstractNum>
  <w:abstractNum w:abstractNumId="291">
    <w:nsid w:val="66D385C9"/>
    <w:multiLevelType w:val="hybridMultilevel"/>
    <w:lvl w:ilvl="0">
      <w:lvlJc w:val="left"/>
      <w:lvlText w:val="(%1)"/>
      <w:numFmt w:val="lowerLetter"/>
      <w:start w:val="24"/>
    </w:lvl>
    <w:lvl w:ilvl="1">
      <w:lvlJc w:val="left"/>
      <w:lvlText w:val="(%2)"/>
      <w:numFmt w:val="lowerLetter"/>
      <w:start w:val="2"/>
    </w:lvl>
  </w:abstractNum>
  <w:abstractNum w:abstractNumId="292">
    <w:nsid w:val="596F6D8A"/>
    <w:multiLevelType w:val="hybridMultilevel"/>
    <w:lvl w:ilvl="0">
      <w:lvlJc w:val="left"/>
      <w:lvlText w:val="(%1)"/>
      <w:numFmt w:val="lowerLetter"/>
      <w:start w:val="4"/>
    </w:lvl>
  </w:abstractNum>
  <w:abstractNum w:abstractNumId="293">
    <w:nsid w:val="5749361F"/>
    <w:multiLevelType w:val="hybridMultilevel"/>
    <w:lvl w:ilvl="0">
      <w:lvlJc w:val="left"/>
      <w:lvlText w:val="(%1)"/>
      <w:numFmt w:val="lowerLetter"/>
      <w:start w:val="5"/>
    </w:lvl>
  </w:abstractNum>
  <w:abstractNum w:abstractNumId="294">
    <w:nsid w:val="73BC6770"/>
    <w:multiLevelType w:val="hybridMultilevel"/>
    <w:lvl w:ilvl="0">
      <w:lvlJc w:val="left"/>
      <w:lvlText w:val="%1."/>
      <w:numFmt w:val="decimal"/>
      <w:start w:val="11"/>
    </w:lvl>
  </w:abstractNum>
  <w:abstractNum w:abstractNumId="295">
    <w:nsid w:val="280E6897"/>
    <w:multiLevelType w:val="hybridMultilevel"/>
    <w:lvl w:ilvl="0">
      <w:lvlJc w:val="left"/>
      <w:lvlText w:val="%1"/>
      <w:numFmt w:val="lowerRoman"/>
      <w:start w:val="1"/>
    </w:lvl>
    <w:lvl w:ilvl="1">
      <w:lvlJc w:val="left"/>
      <w:lvlText w:val="%2."/>
      <w:numFmt w:val="decimal"/>
      <w:start w:val="12"/>
    </w:lvl>
  </w:abstractNum>
  <w:abstractNum w:abstractNumId="296">
    <w:nsid w:val="605138DE"/>
    <w:multiLevelType w:val="hybridMultilevel"/>
    <w:lvl w:ilvl="0">
      <w:lvlJc w:val="left"/>
      <w:lvlText w:val="(%1)"/>
      <w:numFmt w:val="lowerRoman"/>
      <w:start w:val="4"/>
    </w:lvl>
    <w:lvl w:ilvl="1">
      <w:lvlJc w:val="left"/>
      <w:lvlText w:val="%2."/>
      <w:numFmt w:val="decimal"/>
      <w:start w:val="13"/>
    </w:lvl>
  </w:abstractNum>
  <w:abstractNum w:abstractNumId="297">
    <w:nsid w:val="2622AD0C"/>
    <w:multiLevelType w:val="hybridMultilevel"/>
    <w:lvl w:ilvl="0">
      <w:lvlJc w:val="left"/>
      <w:lvlText w:val="&amp;"/>
      <w:numFmt w:val="bullet"/>
      <w:start w:val="1"/>
    </w:lvl>
    <w:lvl w:ilvl="1">
      <w:lvlJc w:val="left"/>
      <w:lvlText w:val="%2."/>
      <w:numFmt w:val="decimal"/>
      <w:start w:val="15"/>
    </w:lvl>
  </w:abstractNum>
  <w:abstractNum w:abstractNumId="298">
    <w:nsid w:val="67997556"/>
    <w:multiLevelType w:val="hybridMultilevel"/>
    <w:lvl w:ilvl="0">
      <w:lvlJc w:val="left"/>
      <w:lvlText w:val="%1"/>
      <w:numFmt w:val="lowerLetter"/>
      <w:start w:val="1"/>
    </w:lvl>
    <w:lvl w:ilvl="1">
      <w:lvlJc w:val="left"/>
      <w:lvlText w:val="(%2)"/>
      <w:numFmt w:val="lowerLetter"/>
      <w:start w:val="1"/>
    </w:lvl>
  </w:abstractNum>
  <w:abstractNum w:abstractNumId="299">
    <w:nsid w:val="18333C89"/>
    <w:multiLevelType w:val="hybridMultilevel"/>
    <w:lvl w:ilvl="0">
      <w:lvlJc w:val="left"/>
      <w:lvlText w:val="(%1)"/>
      <w:numFmt w:val="lowerLetter"/>
      <w:start w:val="9"/>
    </w:lvl>
    <w:lvl w:ilvl="1">
      <w:lvlJc w:val="left"/>
      <w:lvlText w:val="%2"/>
      <w:numFmt w:val="lowerLetter"/>
      <w:start w:val="1"/>
    </w:lvl>
  </w:abstractNum>
  <w:abstractNum w:abstractNumId="300">
    <w:nsid w:val="4BA9831A"/>
    <w:multiLevelType w:val="hybridMultilevel"/>
    <w:lvl w:ilvl="0">
      <w:lvlJc w:val="left"/>
      <w:lvlText w:val="%1."/>
      <w:numFmt w:val="decimal"/>
      <w:start w:val="16"/>
    </w:lvl>
  </w:abstractNum>
  <w:abstractNum w:abstractNumId="301">
    <w:nsid w:val="6D71A2B"/>
    <w:multiLevelType w:val="hybridMultilevel"/>
    <w:lvl w:ilvl="0">
      <w:lvlJc w:val="left"/>
      <w:lvlText w:val="%1."/>
      <w:numFmt w:val="decimal"/>
      <w:start w:val="18"/>
    </w:lvl>
  </w:abstractNum>
  <w:abstractNum w:abstractNumId="302">
    <w:nsid w:val="CFC7321"/>
    <w:multiLevelType w:val="hybridMultilevel"/>
    <w:lvl w:ilvl="0">
      <w:lvlJc w:val="left"/>
      <w:lvlText w:val="%1."/>
      <w:numFmt w:val="decimal"/>
      <w:start w:val="23"/>
    </w:lvl>
  </w:abstractNum>
  <w:abstractNum w:abstractNumId="303">
    <w:nsid w:val="1421971B"/>
    <w:multiLevelType w:val="hybridMultilevel"/>
    <w:lvl w:ilvl="0">
      <w:lvlJc w:val="left"/>
      <w:lvlText w:val="(%1)"/>
      <w:numFmt w:val="lowerRoman"/>
      <w:start w:val="2"/>
    </w:lvl>
  </w:abstractNum>
  <w:abstractNum w:abstractNumId="304">
    <w:nsid w:val="1F404301"/>
    <w:multiLevelType w:val="hybridMultilevel"/>
    <w:lvl w:ilvl="0">
      <w:lvlJc w:val="left"/>
      <w:lvlText w:val="%1."/>
      <w:numFmt w:val="decimal"/>
      <w:start w:val="26"/>
    </w:lvl>
  </w:abstractNum>
  <w:abstractNum w:abstractNumId="305">
    <w:nsid w:val="116E0907"/>
    <w:multiLevelType w:val="hybridMultilevel"/>
    <w:lvl w:ilvl="0">
      <w:lvlJc w:val="left"/>
      <w:lvlText w:val="•"/>
      <w:numFmt w:val="bullet"/>
      <w:start w:val="1"/>
    </w:lvl>
  </w:abstractNum>
  <w:abstractNum w:abstractNumId="306">
    <w:nsid w:val="4B683D0D"/>
    <w:multiLevelType w:val="hybridMultilevel"/>
    <w:lvl w:ilvl="0">
      <w:lvlJc w:val="left"/>
      <w:lvlText w:val="(%1)"/>
      <w:numFmt w:val="lowerRoman"/>
      <w:start w:val="1"/>
    </w:lvl>
  </w:abstractNum>
  <w:abstractNum w:abstractNumId="307">
    <w:nsid w:val="76E41D8"/>
    <w:multiLevelType w:val="hybridMultilevel"/>
    <w:lvl w:ilvl="0">
      <w:lvlJc w:val="left"/>
      <w:lvlText w:val="1"/>
      <w:numFmt w:val="bullet"/>
      <w:start w:val="1"/>
    </w:lvl>
  </w:abstractNum>
  <w:abstractNum w:abstractNumId="308">
    <w:nsid w:val="71DCE0FD"/>
    <w:multiLevelType w:val="hybridMultilevel"/>
    <w:lvl w:ilvl="0">
      <w:lvlJc w:val="left"/>
      <w:lvlText w:val="(%1)"/>
      <w:numFmt w:val="lowerRoman"/>
      <w:start w:val="8"/>
    </w:lvl>
  </w:abstractNum>
  <w:abstractNum w:abstractNumId="309">
    <w:nsid w:val="7906328B"/>
    <w:multiLevelType w:val="hybridMultilevel"/>
    <w:lvl w:ilvl="0">
      <w:lvlJc w:val="left"/>
      <w:lvlText w:val="(%1)"/>
      <w:numFmt w:val="lowerRoman"/>
      <w:start w:val="13"/>
    </w:lvl>
  </w:abstractNum>
  <w:abstractNum w:abstractNumId="310">
    <w:nsid w:val="72BBC16"/>
    <w:multiLevelType w:val="hybridMultilevel"/>
    <w:lvl w:ilvl="0">
      <w:lvlJc w:val="left"/>
      <w:lvlText w:val="%1."/>
      <w:numFmt w:val="upperLetter"/>
      <w:start w:val="1"/>
    </w:lvl>
  </w:abstractNum>
  <w:abstractNum w:abstractNumId="311">
    <w:nsid w:val="766D98C2"/>
    <w:multiLevelType w:val="hybridMultilevel"/>
    <w:lvl w:ilvl="0">
      <w:lvlJc w:val="left"/>
      <w:lvlText w:val="%1."/>
      <w:numFmt w:val="decimal"/>
      <w:start w:val="1"/>
    </w:lvl>
    <w:lvl w:ilvl="1">
      <w:lvlJc w:val="left"/>
      <w:lvlText w:val="(%2)"/>
      <w:numFmt w:val="lowerLetter"/>
      <w:start w:val="1"/>
    </w:lvl>
  </w:abstractNum>
  <w:abstractNum w:abstractNumId="312">
    <w:nsid w:val="3C09D4A1"/>
    <w:multiLevelType w:val="hybridMultilevel"/>
    <w:lvl w:ilvl="0">
      <w:lvlJc w:val="left"/>
      <w:lvlText w:val="%1."/>
      <w:numFmt w:val="decimal"/>
      <w:start w:val="2"/>
    </w:lvl>
    <w:lvl w:ilvl="1">
      <w:lvlJc w:val="left"/>
      <w:lvlText w:val="(%2)"/>
      <w:numFmt w:val="lowerLetter"/>
      <w:start w:val="1"/>
    </w:lvl>
  </w:abstractNum>
  <w:abstractNum w:abstractNumId="313">
    <w:nsid w:val="20E45CA4"/>
    <w:multiLevelType w:val="hybridMultilevel"/>
    <w:lvl w:ilvl="0">
      <w:lvlJc w:val="left"/>
      <w:lvlText w:val="%1"/>
      <w:numFmt w:val="decimal"/>
      <w:start w:val="1"/>
    </w:lvl>
    <w:lvl w:ilvl="1">
      <w:lvlJc w:val="left"/>
      <w:lvlText w:val="(%2)"/>
      <w:numFmt w:val="lowerLetter"/>
      <w:start w:val="2"/>
    </w:lvl>
  </w:abstractNum>
  <w:abstractNum w:abstractNumId="314">
    <w:nsid w:val="4B232EE3"/>
    <w:multiLevelType w:val="hybridMultilevel"/>
    <w:lvl w:ilvl="0">
      <w:lvlJc w:val="left"/>
      <w:lvlText w:val="%1."/>
      <w:numFmt w:val="decimal"/>
      <w:start w:val="3"/>
    </w:lvl>
    <w:lvl w:ilvl="1">
      <w:lvlJc w:val="left"/>
      <w:lvlText w:val="%2"/>
      <w:numFmt w:val="lowerLetter"/>
      <w:start w:val="1"/>
    </w:lvl>
  </w:abstractNum>
  <w:abstractNum w:abstractNumId="315">
    <w:nsid w:val="159C74CF"/>
    <w:multiLevelType w:val="hybridMultilevel"/>
    <w:lvl w:ilvl="0">
      <w:lvlJc w:val="left"/>
      <w:lvlText w:val="%1."/>
      <w:numFmt w:val="decimal"/>
      <w:start w:val="1"/>
    </w:lvl>
    <w:lvl w:ilvl="1">
      <w:lvlJc w:val="left"/>
      <w:lvlText w:val="(%2)"/>
      <w:numFmt w:val="lowerLetter"/>
      <w:start w:val="1"/>
    </w:lvl>
  </w:abstractNum>
  <w:abstractNum w:abstractNumId="316">
    <w:nsid w:val="4AD3AFD2"/>
    <w:multiLevelType w:val="hybridMultilevel"/>
    <w:lvl w:ilvl="0">
      <w:lvlJc w:val="left"/>
      <w:lvlText w:val="%1."/>
      <w:numFmt w:val="decimal"/>
      <w:start w:val="2"/>
    </w:lvl>
  </w:abstractNum>
  <w:abstractNum w:abstractNumId="317">
    <w:nsid w:val="3CF93092"/>
    <w:multiLevelType w:val="hybridMultilevel"/>
    <w:lvl w:ilvl="0">
      <w:lvlJc w:val="left"/>
      <w:lvlText w:val="(%1)"/>
      <w:numFmt w:val="lowerLetter"/>
      <w:start w:val="1"/>
    </w:lvl>
  </w:abstractNum>
  <w:abstractNum w:abstractNumId="318">
    <w:nsid w:val="6863E8D2"/>
    <w:multiLevelType w:val="hybridMultilevel"/>
    <w:lvl w:ilvl="0">
      <w:lvlJc w:val="left"/>
      <w:lvlText w:val="%1."/>
      <w:numFmt w:val="decimal"/>
      <w:start w:val="3"/>
    </w:lvl>
  </w:abstractNum>
  <w:abstractNum w:abstractNumId="319">
    <w:nsid w:val="76896198"/>
    <w:multiLevelType w:val="hybridMultilevel"/>
    <w:lvl w:ilvl="0">
      <w:lvlJc w:val="left"/>
      <w:lvlText w:val="(%1)"/>
      <w:numFmt w:val="lowerLetter"/>
      <w:start w:val="2"/>
    </w:lvl>
  </w:abstractNum>
  <w:abstractNum w:abstractNumId="320">
    <w:nsid w:val="4365174B"/>
    <w:multiLevelType w:val="hybridMultilevel"/>
    <w:lvl w:ilvl="0">
      <w:lvlJc w:val="left"/>
      <w:lvlText w:val="(%1)"/>
      <w:numFmt w:val="lowerRoman"/>
      <w:start w:val="10"/>
    </w:lvl>
  </w:abstractNum>
  <w:abstractNum w:abstractNumId="321">
    <w:nsid w:val="4A872C35"/>
    <w:multiLevelType w:val="hybridMultilevel"/>
    <w:lvl w:ilvl="0">
      <w:lvlJc w:val="left"/>
      <w:lvlText w:val="(%1)"/>
      <w:numFmt w:val="lowerRoman"/>
      <w:start w:val="3"/>
    </w:lvl>
  </w:abstractNum>
  <w:abstractNum w:abstractNumId="322">
    <w:nsid w:val="5D5CE761"/>
    <w:multiLevelType w:val="hybridMultilevel"/>
    <w:lvl w:ilvl="0">
      <w:lvlJc w:val="left"/>
      <w:lvlText w:val="(%1)"/>
      <w:numFmt w:val="lowerRoman"/>
      <w:start w:val="3"/>
    </w:lvl>
  </w:abstractNum>
  <w:abstractNum w:abstractNumId="323">
    <w:nsid w:val="1CD484D5"/>
    <w:multiLevelType w:val="hybridMultilevel"/>
    <w:lvl w:ilvl="0">
      <w:lvlJc w:val="left"/>
      <w:lvlText w:val="(%1)"/>
      <w:numFmt w:val="decimal"/>
      <w:start w:val="1"/>
    </w:lvl>
  </w:abstractNum>
  <w:abstractNum w:abstractNumId="324">
    <w:nsid w:val="21D06255"/>
    <w:multiLevelType w:val="hybridMultilevel"/>
    <w:lvl w:ilvl="0">
      <w:lvlJc w:val="left"/>
      <w:lvlText w:val="(%1)"/>
      <w:numFmt w:val="lowerLetter"/>
      <w:start w:val="1"/>
    </w:lvl>
  </w:abstractNum>
  <w:abstractNum w:abstractNumId="325">
    <w:nsid w:val="51194ED1"/>
    <w:multiLevelType w:val="hybridMultilevel"/>
    <w:lvl w:ilvl="0">
      <w:lvlJc w:val="left"/>
      <w:lvlText w:val="(%1)"/>
      <w:numFmt w:val="lowerLetter"/>
      <w:start w:val="2"/>
    </w:lvl>
  </w:abstractNum>
  <w:abstractNum w:abstractNumId="326">
    <w:nsid w:val="44E2ED6C"/>
    <w:multiLevelType w:val="hybridMultilevel"/>
    <w:lvl w:ilvl="0">
      <w:lvlJc w:val="left"/>
      <w:lvlText w:val="(%1)"/>
      <w:numFmt w:val="lowerLetter"/>
      <w:start w:val="1"/>
    </w:lvl>
  </w:abstractNum>
  <w:abstractNum w:abstractNumId="327">
    <w:nsid w:val="2219B33"/>
    <w:multiLevelType w:val="hybridMultilevel"/>
    <w:lvl w:ilvl="0">
      <w:lvlJc w:val="left"/>
      <w:lvlText w:val="(%1)"/>
      <w:numFmt w:val="lowerLetter"/>
      <w:start w:val="2"/>
    </w:lvl>
  </w:abstractNum>
  <w:abstractNum w:abstractNumId="328">
    <w:nsid w:val="773BFBDD"/>
    <w:multiLevelType w:val="hybridMultilevel"/>
    <w:lvl w:ilvl="0">
      <w:lvlJc w:val="left"/>
      <w:lvlText w:val="(%1)"/>
      <w:numFmt w:val="lowerLetter"/>
      <w:start w:val="4"/>
    </w:lvl>
  </w:abstractNum>
  <w:abstractNum w:abstractNumId="329">
    <w:nsid w:val="2C7C62C2"/>
    <w:multiLevelType w:val="hybridMultilevel"/>
    <w:lvl w:ilvl="0">
      <w:lvlJc w:val="left"/>
      <w:lvlText w:val="(%1)"/>
      <w:numFmt w:val="lowerLetter"/>
      <w:start w:val="1"/>
    </w:lvl>
  </w:abstractNum>
  <w:abstractNum w:abstractNumId="330">
    <w:nsid w:val="1A54D7BC"/>
    <w:multiLevelType w:val="hybridMultilevel"/>
    <w:lvl w:ilvl="0">
      <w:lvlJc w:val="left"/>
      <w:lvlText w:val="(%1)"/>
      <w:numFmt w:val="lowerLetter"/>
      <w:start w:val="2"/>
    </w:lvl>
  </w:abstractNum>
  <w:abstractNum w:abstractNumId="331">
    <w:nsid w:val="42E57EF7"/>
    <w:multiLevelType w:val="hybridMultilevel"/>
    <w:lvl w:ilvl="0">
      <w:lvlJc w:val="left"/>
      <w:lvlText w:val="(%1)"/>
      <w:numFmt w:val="lowerLetter"/>
      <w:start w:val="1"/>
    </w:lvl>
  </w:abstractNum>
  <w:abstractNum w:abstractNumId="332">
    <w:nsid w:val="33537CED"/>
    <w:multiLevelType w:val="hybridMultilevel"/>
    <w:lvl w:ilvl="0">
      <w:lvlJc w:val="left"/>
      <w:lvlText w:val="(%1)"/>
      <w:numFmt w:val="lowerLetter"/>
      <w:start w:val="1"/>
    </w:lvl>
  </w:abstractNum>
  <w:abstractNum w:abstractNumId="333">
    <w:nsid w:val="27514ADE"/>
    <w:multiLevelType w:val="hybridMultilevel"/>
    <w:lvl w:ilvl="0">
      <w:lvlJc w:val="left"/>
      <w:lvlText w:val="(%1)"/>
      <w:numFmt w:val="lowerLetter"/>
      <w:start w:val="1"/>
    </w:lvl>
  </w:abstractNum>
  <w:abstractNum w:abstractNumId="334">
    <w:nsid w:val="57071613"/>
    <w:multiLevelType w:val="hybridMultilevel"/>
    <w:lvl w:ilvl="0">
      <w:lvlJc w:val="left"/>
      <w:lvlText w:val="(%1)"/>
      <w:numFmt w:val="lowerLetter"/>
      <w:start w:val="1"/>
    </w:lvl>
  </w:abstractNum>
  <w:abstractNum w:abstractNumId="335">
    <w:nsid w:val="5293BFEF"/>
    <w:multiLevelType w:val="hybridMultilevel"/>
    <w:lvl w:ilvl="0">
      <w:lvlJc w:val="left"/>
      <w:lvlText w:val="(%1)"/>
      <w:numFmt w:val="lowerLetter"/>
      <w:start w:val="1"/>
    </w:lvl>
  </w:abstractNum>
  <w:abstractNum w:abstractNumId="336">
    <w:nsid w:val="38BF53E5"/>
    <w:multiLevelType w:val="hybridMultilevel"/>
    <w:lvl w:ilvl="0">
      <w:lvlJc w:val="left"/>
      <w:lvlText w:val="(%1)"/>
      <w:numFmt w:val="lowerLetter"/>
      <w:start w:val="1"/>
    </w:lvl>
  </w:abstractNum>
  <w:abstractNum w:abstractNumId="337">
    <w:nsid w:val="226F5320"/>
    <w:multiLevelType w:val="hybridMultilevel"/>
    <w:lvl w:ilvl="0">
      <w:lvlJc w:val="left"/>
      <w:lvlText w:val="%1"/>
      <w:numFmt w:val="decimal"/>
      <w:start w:val="1"/>
    </w:lvl>
    <w:lvl w:ilvl="1">
      <w:lvlJc w:val="left"/>
      <w:lvlText w:val="(%2)"/>
      <w:numFmt w:val="lowerLetter"/>
      <w:start w:val="2"/>
    </w:lvl>
  </w:abstractNum>
  <w:abstractNum w:abstractNumId="338">
    <w:nsid w:val="5A0201C7"/>
    <w:multiLevelType w:val="hybridMultilevel"/>
    <w:lvl w:ilvl="0">
      <w:lvlJc w:val="left"/>
      <w:lvlText w:val="(%1)"/>
      <w:numFmt w:val="decimal"/>
      <w:start w:val="713"/>
    </w:lvl>
    <w:lvl w:ilvl="1">
      <w:lvlJc w:val="left"/>
      <w:lvlText w:val="(%2)"/>
      <w:numFmt w:val="lowerLetter"/>
      <w:start w:val="4"/>
    </w:lvl>
  </w:abstractNum>
  <w:abstractNum w:abstractNumId="339">
    <w:nsid w:val="2A9C34E2"/>
    <w:multiLevelType w:val="hybridMultilevel"/>
    <w:lvl w:ilvl="0">
      <w:lvlJc w:val="left"/>
      <w:lvlText w:val="(%1)"/>
      <w:numFmt w:val="lowerLetter"/>
      <w:start w:val="1"/>
    </w:lvl>
  </w:abstractNum>
  <w:abstractNum w:abstractNumId="340">
    <w:nsid w:val="1B7585AB"/>
    <w:multiLevelType w:val="hybridMultilevel"/>
    <w:lvl w:ilvl="0">
      <w:lvlJc w:val="left"/>
      <w:lvlText w:val="(%1)"/>
      <w:numFmt w:val="lowerLetter"/>
      <w:start w:val="4"/>
    </w:lvl>
  </w:abstractNum>
  <w:abstractNum w:abstractNumId="341">
    <w:nsid w:val="612DBDDD"/>
    <w:multiLevelType w:val="hybridMultilevel"/>
    <w:lvl w:ilvl="0">
      <w:lvlJc w:val="left"/>
      <w:lvlText w:val="(%1)"/>
      <w:numFmt w:val="lowerLetter"/>
      <w:start w:val="1"/>
    </w:lvl>
  </w:abstractNum>
  <w:abstractNum w:abstractNumId="342">
    <w:nsid w:val="2109CDA4"/>
    <w:multiLevelType w:val="hybridMultilevel"/>
    <w:lvl w:ilvl="0">
      <w:lvlJc w:val="left"/>
      <w:lvlText w:val="%1"/>
      <w:numFmt w:val="lowerLetter"/>
      <w:start w:val="1"/>
    </w:lvl>
    <w:lvl w:ilvl="1">
      <w:lvlJc w:val="left"/>
      <w:lvlText w:val="(%2)"/>
      <w:numFmt w:val="lowerRoman"/>
      <w:start w:val="1"/>
    </w:lvl>
  </w:abstractNum>
  <w:abstractNum w:abstractNumId="343">
    <w:nsid w:val="577F5A4D"/>
    <w:multiLevelType w:val="hybridMultilevel"/>
    <w:lvl w:ilvl="0">
      <w:lvlJc w:val="left"/>
      <w:lvlText w:val="(%1)"/>
      <w:numFmt w:val="lowerLetter"/>
      <w:start w:val="25"/>
    </w:lvl>
    <w:lvl w:ilvl="1">
      <w:lvlJc w:val="left"/>
      <w:lvlText w:val="%2"/>
      <w:numFmt w:val="lowerRoman"/>
      <w:start w:val="1"/>
    </w:lvl>
  </w:abstractNum>
  <w:abstractNum w:abstractNumId="344">
    <w:nsid w:val="2121A81"/>
    <w:multiLevelType w:val="hybridMultilevel"/>
    <w:lvl w:ilvl="0">
      <w:lvlJc w:val="left"/>
      <w:lvlText w:val="(%1)"/>
      <w:numFmt w:val="lowerRoman"/>
      <w:start w:val="3"/>
    </w:lvl>
  </w:abstractNum>
  <w:abstractNum w:abstractNumId="345">
    <w:nsid w:val="6C2CFC88"/>
    <w:multiLevelType w:val="hybridMultilevel"/>
    <w:lvl w:ilvl="0">
      <w:lvlJc w:val="left"/>
      <w:lvlText w:val="%1."/>
      <w:numFmt w:val="decimal"/>
      <w:start w:val="1"/>
    </w:lvl>
  </w:abstractNum>
  <w:abstractNum w:abstractNumId="346">
    <w:nsid w:val="6D1BCF1C"/>
    <w:multiLevelType w:val="hybridMultilevel"/>
    <w:lvl w:ilvl="0">
      <w:lvlJc w:val="left"/>
      <w:lvlText w:val="(%1)"/>
      <w:numFmt w:val="lowerLetter"/>
      <w:start w:val="1"/>
    </w:lvl>
  </w:abstractNum>
  <w:abstractNum w:abstractNumId="347">
    <w:nsid w:val="4CE5CA53"/>
    <w:multiLevelType w:val="hybridMultilevel"/>
    <w:lvl w:ilvl="0">
      <w:lvlJc w:val="left"/>
      <w:lvlText w:val="(%1)"/>
      <w:numFmt w:val="decimal"/>
      <w:start w:val="1"/>
    </w:lvl>
  </w:abstractNum>
  <w:abstractNum w:abstractNumId="348">
    <w:nsid w:val="29262D1A"/>
    <w:multiLevelType w:val="hybridMultilevel"/>
    <w:lvl w:ilvl="0">
      <w:lvlJc w:val="left"/>
      <w:lvlText w:val="(%1)"/>
      <w:numFmt w:val="decimal"/>
      <w:start w:val="8"/>
    </w:lvl>
  </w:abstractNum>
  <w:abstractNum w:abstractNumId="349">
    <w:nsid w:val="557FB7EE"/>
    <w:multiLevelType w:val="hybridMultilevel"/>
    <w:lvl w:ilvl="0">
      <w:lvlJc w:val="left"/>
      <w:lvlText w:val="%1."/>
      <w:numFmt w:val="decimal"/>
      <w:start w:val="2"/>
    </w:lvl>
  </w:abstractNum>
  <w:abstractNum w:abstractNumId="350">
    <w:nsid w:val="436F2BEB"/>
    <w:multiLevelType w:val="hybridMultilevel"/>
    <w:lvl w:ilvl="0">
      <w:lvlJc w:val="left"/>
      <w:lvlText w:val="(%1)"/>
      <w:numFmt w:val="lowerRoman"/>
      <w:start w:val="1"/>
    </w:lvl>
  </w:abstractNum>
  <w:abstractNum w:abstractNumId="351">
    <w:nsid w:val="6C8B4466"/>
    <w:multiLevelType w:val="hybridMultilevel"/>
    <w:lvl w:ilvl="0">
      <w:lvlJc w:val="left"/>
      <w:lvlText w:val="(%1)"/>
      <w:numFmt w:val="lowerRoman"/>
      <w:start w:val="9"/>
    </w:lvl>
  </w:abstractNum>
  <w:abstractNum w:abstractNumId="352">
    <w:nsid w:val="2006E424"/>
    <w:multiLevelType w:val="hybridMultilevel"/>
    <w:lvl w:ilvl="0">
      <w:lvlJc w:val="left"/>
      <w:lvlText w:val="(%1)"/>
      <w:numFmt w:val="lowerLetter"/>
      <w:start w:val="2"/>
    </w:lvl>
  </w:abstractNum>
  <w:abstractNum w:abstractNumId="353">
    <w:nsid w:val="20CC134C"/>
    <w:multiLevelType w:val="hybridMultilevel"/>
    <w:lvl w:ilvl="0">
      <w:lvlJc w:val="left"/>
      <w:lvlText w:val="%1."/>
      <w:numFmt w:val="decimal"/>
      <w:start w:val="3"/>
    </w:lvl>
  </w:abstractNum>
  <w:abstractNum w:abstractNumId="354">
    <w:nsid w:val="95FC93B"/>
    <w:multiLevelType w:val="hybridMultilevel"/>
    <w:lvl w:ilvl="0">
      <w:lvlJc w:val="left"/>
      <w:lvlText w:val="%1"/>
      <w:numFmt w:val="lowerLetter"/>
      <w:start w:val="1"/>
    </w:lvl>
    <w:lvl w:ilvl="1">
      <w:lvlJc w:val="left"/>
      <w:lvlText w:val="(%2)"/>
      <w:numFmt w:val="lowerLetter"/>
      <w:start w:val="1"/>
    </w:lvl>
  </w:abstractNum>
  <w:abstractNum w:abstractNumId="355">
    <w:nsid w:val="41D74679"/>
    <w:multiLevelType w:val="hybridMultilevel"/>
    <w:lvl w:ilvl="0">
      <w:lvlJc w:val="left"/>
      <w:lvlText w:val="(%1)"/>
      <w:numFmt w:val="lowerLetter"/>
      <w:start w:val="9"/>
    </w:lvl>
    <w:lvl w:ilvl="1">
      <w:lvlJc w:val="left"/>
      <w:lvlText w:val="%2"/>
      <w:numFmt w:val="lowerLetter"/>
      <w:start w:val="1"/>
    </w:lvl>
  </w:abstractNum>
  <w:abstractNum w:abstractNumId="356">
    <w:nsid w:val="71E5621E"/>
    <w:multiLevelType w:val="hybridMultilevel"/>
    <w:lvl w:ilvl="0">
      <w:lvlJc w:val="left"/>
      <w:lvlText w:val="(%1)"/>
      <w:numFmt w:val="lowerLetter"/>
      <w:start w:val="3"/>
    </w:lvl>
  </w:abstractNum>
  <w:abstractNum w:abstractNumId="357">
    <w:nsid w:val="4E42B6A8"/>
    <w:multiLevelType w:val="hybridMultilevel"/>
    <w:lvl w:ilvl="0">
      <w:lvlJc w:val="left"/>
      <w:lvlText w:val="(%1)"/>
      <w:numFmt w:val="lowerLetter"/>
      <w:start w:val="1"/>
    </w:lvl>
  </w:abstractNum>
  <w:abstractNum w:abstractNumId="358">
    <w:nsid w:val="43F8E1AC"/>
    <w:multiLevelType w:val="hybridMultilevel"/>
    <w:lvl w:ilvl="0">
      <w:lvlJc w:val="left"/>
      <w:lvlText w:val="%1"/>
      <w:numFmt w:val="lowerLetter"/>
      <w:start w:val="1"/>
    </w:lvl>
    <w:lvl w:ilvl="1">
      <w:lvlJc w:val="left"/>
      <w:lvlText w:val="(%2)"/>
      <w:numFmt w:val="lowerLetter"/>
      <w:start w:val="2"/>
    </w:lvl>
  </w:abstractNum>
  <w:abstractNum w:abstractNumId="359">
    <w:nsid w:val="69215DFB"/>
    <w:multiLevelType w:val="hybridMultilevel"/>
    <w:lvl w:ilvl="0">
      <w:lvlJc w:val="left"/>
      <w:lvlText w:val="(%1)"/>
      <w:numFmt w:val="lowerLetter"/>
      <w:start w:val="26"/>
    </w:lvl>
    <w:lvl w:ilvl="1">
      <w:lvlJc w:val="left"/>
      <w:lvlText w:val="%2"/>
      <w:numFmt w:val="lowerLetter"/>
      <w:start w:val="1"/>
    </w:lvl>
  </w:abstractNum>
  <w:abstractNum w:abstractNumId="360">
    <w:nsid w:val="7ABF196A"/>
    <w:multiLevelType w:val="hybridMultilevel"/>
    <w:lvl w:ilvl="0">
      <w:lvlJc w:val="left"/>
      <w:lvlText w:val="%1."/>
      <w:numFmt w:val="decimal"/>
      <w:start w:val="4"/>
    </w:lvl>
  </w:abstractNum>
  <w:abstractNum w:abstractNumId="361">
    <w:nsid w:val="5E4DB968"/>
    <w:multiLevelType w:val="hybridMultilevel"/>
    <w:lvl w:ilvl="0">
      <w:lvlJc w:val="left"/>
      <w:lvlText w:val="(%1)"/>
      <w:numFmt w:val="lowerLetter"/>
      <w:start w:val="1"/>
    </w:lvl>
  </w:abstractNum>
  <w:abstractNum w:abstractNumId="362">
    <w:nsid w:val="2C06DCF3"/>
    <w:multiLevelType w:val="hybridMultilevel"/>
    <w:lvl w:ilvl="0">
      <w:lvlJc w:val="left"/>
      <w:lvlText w:val="(%1)"/>
      <w:numFmt w:val="lowerLetter"/>
      <w:start w:val="4"/>
    </w:lvl>
  </w:abstractNum>
  <w:abstractNum w:abstractNumId="363">
    <w:nsid w:val="2E129658"/>
    <w:multiLevelType w:val="hybridMultilevel"/>
    <w:lvl w:ilvl="0">
      <w:lvlJc w:val="left"/>
      <w:lvlText w:val="%1."/>
      <w:numFmt w:val="decimal"/>
      <w:start w:val="5"/>
    </w:lvl>
  </w:abstractNum>
  <w:abstractNum w:abstractNumId="364">
    <w:nsid w:val="59F0446"/>
    <w:multiLevelType w:val="hybridMultilevel"/>
    <w:lvl w:ilvl="0">
      <w:lvlJc w:val="left"/>
      <w:lvlText w:val="(%1)"/>
      <w:numFmt w:val="lowerLetter"/>
      <w:start w:val="1"/>
    </w:lvl>
  </w:abstractNum>
  <w:abstractNum w:abstractNumId="365">
    <w:nsid w:val="30DF306"/>
    <w:multiLevelType w:val="hybridMultilevel"/>
    <w:lvl w:ilvl="0">
      <w:lvlJc w:val="left"/>
      <w:lvlText w:val="(%1)"/>
      <w:numFmt w:val="lowerLetter"/>
      <w:start w:val="2"/>
    </w:lvl>
  </w:abstractNum>
  <w:abstractNum w:abstractNumId="366">
    <w:nsid w:val="A65647"/>
    <w:multiLevelType w:val="hybridMultilevel"/>
    <w:lvl w:ilvl="0">
      <w:lvlJc w:val="left"/>
      <w:lvlText w:val="(%1)"/>
      <w:numFmt w:val="lowerLetter"/>
      <w:start w:val="1"/>
    </w:lvl>
  </w:abstractNum>
  <w:abstractNum w:abstractNumId="367">
    <w:nsid w:val="3E5E582B"/>
    <w:multiLevelType w:val="hybridMultilevel"/>
    <w:lvl w:ilvl="0">
      <w:lvlJc w:val="left"/>
      <w:lvlText w:val="(%1)"/>
      <w:numFmt w:val="lowerLetter"/>
      <w:start w:val="2"/>
    </w:lvl>
  </w:abstractNum>
  <w:abstractNum w:abstractNumId="368">
    <w:nsid w:val="257D4626"/>
    <w:multiLevelType w:val="hybridMultilevel"/>
    <w:lvl w:ilvl="0">
      <w:lvlJc w:val="left"/>
      <w:lvlText w:val="%1."/>
      <w:numFmt w:val="decimal"/>
      <w:start w:val="6"/>
    </w:lvl>
  </w:abstractNum>
  <w:abstractNum w:abstractNumId="369">
    <w:nsid w:val="5AA8580E"/>
    <w:multiLevelType w:val="hybridMultilevel"/>
    <w:lvl w:ilvl="0">
      <w:lvlJc w:val="left"/>
      <w:lvlText w:val="%1"/>
      <w:numFmt w:val="lowerRoman"/>
      <w:start w:val="1"/>
    </w:lvl>
    <w:lvl w:ilvl="1">
      <w:lvlJc w:val="left"/>
      <w:lvlText w:val="(%2)"/>
      <w:numFmt w:val="lowerLetter"/>
      <w:start w:val="1"/>
    </w:lvl>
  </w:abstractNum>
  <w:abstractNum w:abstractNumId="370">
    <w:nsid w:val="68FA8D0D"/>
    <w:multiLevelType w:val="hybridMultilevel"/>
    <w:lvl w:ilvl="0">
      <w:lvlJc w:val="left"/>
      <w:lvlText w:val="(%1)"/>
      <w:numFmt w:val="lowerRoman"/>
      <w:start w:val="1"/>
    </w:lvl>
    <w:lvl w:ilvl="1">
      <w:lvlJc w:val="left"/>
      <w:lvlText w:val="%2"/>
      <w:numFmt w:val="lowerLetter"/>
      <w:start w:val="1"/>
    </w:lvl>
  </w:abstractNum>
  <w:abstractNum w:abstractNumId="371">
    <w:nsid w:val="40F2CBD2"/>
    <w:multiLevelType w:val="hybridMultilevel"/>
    <w:lvl w:ilvl="0">
      <w:lvlJc w:val="left"/>
      <w:lvlText w:val="(%1)"/>
      <w:numFmt w:val="lowerRoman"/>
      <w:start w:val="7"/>
    </w:lvl>
  </w:abstractNum>
  <w:abstractNum w:abstractNumId="372">
    <w:nsid w:val="3BD615EB"/>
    <w:multiLevelType w:val="hybridMultilevel"/>
    <w:lvl w:ilvl="0">
      <w:lvlJc w:val="left"/>
      <w:lvlText w:val="(%1)"/>
      <w:numFmt w:val="lowerLetter"/>
      <w:start w:val="2"/>
    </w:lvl>
  </w:abstractNum>
  <w:abstractNum w:abstractNumId="373">
    <w:nsid w:val="A045AB2"/>
    <w:multiLevelType w:val="hybridMultilevel"/>
    <w:lvl w:ilvl="0">
      <w:lvlJc w:val="left"/>
      <w:lvlText w:val="(%1)"/>
      <w:numFmt w:val="lowerLetter"/>
      <w:start w:val="4"/>
    </w:lvl>
  </w:abstractNum>
  <w:abstractNum w:abstractNumId="374">
    <w:nsid w:val="1872261F"/>
    <w:multiLevelType w:val="hybridMultilevel"/>
    <w:lvl w:ilvl="0">
      <w:lvlJc w:val="left"/>
      <w:lvlText w:val="(%1)"/>
      <w:numFmt w:val="lowerLetter"/>
      <w:start w:val="1"/>
    </w:lvl>
  </w:abstractNum>
  <w:abstractNum w:abstractNumId="375">
    <w:nsid w:val="3DE8306C"/>
    <w:multiLevelType w:val="hybridMultilevel"/>
    <w:lvl w:ilvl="0">
      <w:lvlJc w:val="left"/>
      <w:lvlText w:val="%1."/>
      <w:numFmt w:val="decimal"/>
      <w:start w:val="7"/>
    </w:lvl>
  </w:abstractNum>
  <w:abstractNum w:abstractNumId="376">
    <w:nsid w:val="7631573A"/>
    <w:multiLevelType w:val="hybridMultilevel"/>
    <w:lvl w:ilvl="0">
      <w:lvlJc w:val="left"/>
      <w:lvlText w:val="(%1)"/>
      <w:numFmt w:val="lowerLetter"/>
      <w:start w:val="1"/>
    </w:lvl>
  </w:abstractNum>
  <w:abstractNum w:abstractNumId="377">
    <w:nsid w:val="58DF53B"/>
    <w:multiLevelType w:val="hybridMultilevel"/>
    <w:lvl w:ilvl="0">
      <w:lvlJc w:val="left"/>
      <w:lvlText w:val="%1."/>
      <w:numFmt w:val="decimal"/>
      <w:start w:val="8"/>
    </w:lvl>
  </w:abstractNum>
  <w:abstractNum w:abstractNumId="378">
    <w:nsid w:val="ACDFAC0"/>
    <w:multiLevelType w:val="hybridMultilevel"/>
    <w:lvl w:ilvl="0">
      <w:lvlJc w:val="left"/>
      <w:lvlText w:val="(%1)"/>
      <w:numFmt w:val="lowerLetter"/>
      <w:start w:val="1"/>
    </w:lvl>
  </w:abstractNum>
  <w:abstractNum w:abstractNumId="379">
    <w:nsid w:val="1F578454"/>
    <w:multiLevelType w:val="hybridMultilevel"/>
    <w:lvl w:ilvl="0">
      <w:lvlJc w:val="left"/>
      <w:lvlText w:val="(%1)"/>
      <w:numFmt w:val="lowerLetter"/>
      <w:start w:val="1"/>
    </w:lvl>
  </w:abstractNum>
  <w:abstractNum w:abstractNumId="380">
    <w:nsid w:val="5B0DAD2A"/>
    <w:multiLevelType w:val="hybridMultilevel"/>
    <w:lvl w:ilvl="0">
      <w:lvlJc w:val="left"/>
      <w:lvlText w:val="(%1)"/>
      <w:numFmt w:val="lowerLetter"/>
      <w:start w:val="1"/>
    </w:lvl>
  </w:abstractNum>
  <w:abstractNum w:abstractNumId="381">
    <w:nsid w:val="4E3D26AB"/>
    <w:multiLevelType w:val="hybridMultilevel"/>
    <w:lvl w:ilvl="0">
      <w:lvlJc w:val="left"/>
      <w:lvlText w:val="%1."/>
      <w:numFmt w:val="decimal"/>
      <w:start w:val="1"/>
    </w:lvl>
    <w:lvl w:ilvl="1">
      <w:lvlJc w:val="left"/>
      <w:lvlText w:val="(%2)"/>
      <w:numFmt w:val="lowerLetter"/>
      <w:start w:val="1"/>
    </w:lvl>
  </w:abstractNum>
  <w:abstractNum w:abstractNumId="382">
    <w:nsid w:val="BE2C8BA"/>
    <w:multiLevelType w:val="hybridMultilevel"/>
    <w:lvl w:ilvl="0">
      <w:lvlJc w:val="left"/>
      <w:lvlText w:val="%1"/>
      <w:numFmt w:val="decimal"/>
      <w:start w:val="1"/>
    </w:lvl>
    <w:lvl w:ilvl="1">
      <w:lvlJc w:val="left"/>
      <w:lvlText w:val="(%2)"/>
      <w:numFmt w:val="lowerLetter"/>
      <w:start w:val="11"/>
    </w:lvl>
  </w:abstractNum>
  <w:abstractNum w:abstractNumId="383">
    <w:nsid w:val="7B14914E"/>
    <w:multiLevelType w:val="hybridMultilevel"/>
    <w:lvl w:ilvl="0">
      <w:lvlJc w:val="left"/>
      <w:lvlText w:val="%1."/>
      <w:numFmt w:val="decimal"/>
      <w:start w:val="2"/>
    </w:lvl>
    <w:lvl w:ilvl="1">
      <w:lvlJc w:val="left"/>
      <w:lvlText w:val="%2"/>
      <w:numFmt w:val="lowerLetter"/>
      <w:start w:val="1"/>
    </w:lvl>
  </w:abstractNum>
  <w:abstractNum w:abstractNumId="384">
    <w:nsid w:val="6F0939F8"/>
    <w:multiLevelType w:val="hybridMultilevel"/>
    <w:lvl w:ilvl="0">
      <w:lvlJc w:val="left"/>
      <w:lvlText w:val="(%1)"/>
      <w:numFmt w:val="lowerLetter"/>
      <w:start w:val="1"/>
    </w:lvl>
  </w:abstractNum>
  <w:abstractNum w:abstractNumId="385">
    <w:nsid w:val="154291F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86">
    <w:nsid w:val="3CEBD7C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87">
    <w:nsid w:val="60EE9C16"/>
    <w:multiLevelType w:val="hybridMultilevel"/>
    <w:lvl w:ilvl="0">
      <w:lvlJc w:val="left"/>
      <w:lvlText w:val="%1"/>
      <w:numFmt w:val="decimal"/>
      <w:start w:val="1"/>
    </w:lvl>
    <w:lvl w:ilvl="1">
      <w:lvlJc w:val="left"/>
      <w:lvlText w:val="(%2)"/>
      <w:numFmt w:val="lowerLetter"/>
      <w:start w:val="2"/>
    </w:lvl>
  </w:abstractNum>
  <w:abstractNum w:abstractNumId="388">
    <w:nsid w:val="6385489E"/>
    <w:multiLevelType w:val="hybridMultilevel"/>
    <w:lvl w:ilvl="0">
      <w:lvlJc w:val="left"/>
      <w:lvlText w:val="%1."/>
      <w:numFmt w:val="decimal"/>
      <w:start w:val="5"/>
    </w:lvl>
    <w:lvl w:ilvl="1">
      <w:lvlJc w:val="left"/>
      <w:lvlText w:val="(%2)"/>
      <w:numFmt w:val="lowerLetter"/>
      <w:start w:val="1"/>
    </w:lvl>
  </w:abstractNum>
  <w:abstractNum w:abstractNumId="389">
    <w:nsid w:val="E4B97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90">
    <w:nsid w:val="4A0FFA1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1">
    <w:nsid w:val="5E44620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92">
    <w:nsid w:val="5F3272D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93">
    <w:nsid w:val="7616D704"/>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94">
    <w:nsid w:val="C56F860"/>
    <w:multiLevelType w:val="hybridMultilevel"/>
    <w:lvl w:ilvl="0">
      <w:lvlJc w:val="left"/>
      <w:lvlText w:val="%1."/>
      <w:numFmt w:val="decimal"/>
      <w:start w:val="8"/>
    </w:lvl>
    <w:lvl w:ilvl="1">
      <w:lvlJc w:val="left"/>
      <w:lvlText w:val="(%2)"/>
      <w:numFmt w:val="lowerLetter"/>
      <w:start w:val="1"/>
    </w:lvl>
  </w:abstractNum>
  <w:abstractNum w:abstractNumId="395">
    <w:nsid w:val="64D17722"/>
    <w:multiLevelType w:val="hybridMultilevel"/>
    <w:lvl w:ilvl="0">
      <w:lvlJc w:val="left"/>
      <w:lvlText w:val="%1."/>
      <w:numFmt w:val="decimal"/>
      <w:start w:val="11"/>
    </w:lvl>
    <w:lvl w:ilvl="1">
      <w:lvlJc w:val="left"/>
      <w:lvlText w:val="(%2)"/>
      <w:numFmt w:val="lowerLetter"/>
      <w:start w:val="1"/>
    </w:lvl>
  </w:abstractNum>
  <w:abstractNum w:abstractNumId="396">
    <w:nsid w:val="7924CA0A"/>
    <w:multiLevelType w:val="hybridMultilevel"/>
    <w:lvl w:ilvl="0">
      <w:lvlJc w:val="left"/>
      <w:lvlText w:val="(%1)"/>
      <w:numFmt w:val="lowerLetter"/>
      <w:start w:val="2"/>
    </w:lvl>
  </w:abstractNum>
  <w:abstractNum w:abstractNumId="397">
    <w:nsid w:val="CFD4EA7"/>
    <w:multiLevelType w:val="hybridMultilevel"/>
    <w:lvl w:ilvl="0">
      <w:lvlJc w:val="left"/>
      <w:lvlText w:val="%1"/>
      <w:numFmt w:val="decimal"/>
      <w:start w:val="1"/>
    </w:lvl>
    <w:lvl w:ilvl="1">
      <w:lvlJc w:val="left"/>
      <w:lvlText w:val="(%2)"/>
      <w:numFmt w:val="lowerLetter"/>
      <w:start w:val="3"/>
    </w:lvl>
  </w:abstractNum>
  <w:abstractNum w:abstractNumId="398">
    <w:nsid w:val="232FCF4D"/>
    <w:multiLevelType w:val="hybridMultilevel"/>
    <w:lvl w:ilvl="0">
      <w:lvlJc w:val="left"/>
      <w:lvlText w:val="%1."/>
      <w:numFmt w:val="decimal"/>
      <w:start w:val="12"/>
    </w:lvl>
    <w:lvl w:ilvl="1">
      <w:lvlJc w:val="left"/>
      <w:lvlText w:val="%2"/>
      <w:numFmt w:val="lowerLetter"/>
      <w:start w:val="1"/>
    </w:lvl>
  </w:abstractNum>
  <w:abstractNum w:abstractNumId="399">
    <w:nsid w:val="1EA21031"/>
    <w:multiLevelType w:val="hybridMultilevel"/>
    <w:lvl w:ilvl="0">
      <w:lvlJc w:val="left"/>
      <w:lvlText w:val="%1."/>
      <w:numFmt w:val="decimal"/>
      <w:start w:val="13"/>
    </w:lvl>
    <w:lvl w:ilvl="1">
      <w:lvlJc w:val="left"/>
      <w:lvlText w:val="(%2)"/>
      <w:numFmt w:val="lowerLetter"/>
      <w:start w:val="1"/>
    </w:lvl>
  </w:abstractNum>
  <w:abstractNum w:abstractNumId="400">
    <w:nsid w:val="67A5A6B5"/>
    <w:multiLevelType w:val="hybridMultilevel"/>
    <w:lvl w:ilvl="0">
      <w:lvlJc w:val="left"/>
      <w:lvlText w:val="%1."/>
      <w:numFmt w:val="decimal"/>
      <w:start w:val="14"/>
    </w:lvl>
  </w:abstractNum>
  <w:abstractNum w:abstractNumId="401">
    <w:nsid w:val="C2A5C5B"/>
    <w:multiLevelType w:val="hybridMultilevel"/>
    <w:lvl w:ilvl="0">
      <w:lvlJc w:val="left"/>
      <w:lvlText w:val="%1."/>
      <w:numFmt w:val="decimal"/>
      <w:start w:val="19"/>
    </w:lvl>
    <w:lvl w:ilvl="1">
      <w:lvlJc w:val="left"/>
      <w:lvlText w:val="(%2)"/>
      <w:numFmt w:val="lowerLetter"/>
      <w:start w:val="1"/>
    </w:lvl>
  </w:abstractNum>
  <w:abstractNum w:abstractNumId="402">
    <w:nsid w:val="5F94DC03"/>
    <w:multiLevelType w:val="hybridMultilevel"/>
    <w:lvl w:ilvl="0">
      <w:lvlJc w:val="left"/>
      <w:lvlText w:val="(%1)"/>
      <w:numFmt w:val="lowerLetter"/>
      <w:start w:val="2"/>
    </w:lvl>
  </w:abstractNum>
  <w:abstractNum w:abstractNumId="403">
    <w:nsid w:val="237BBCA0"/>
    <w:multiLevelType w:val="hybridMultilevel"/>
    <w:lvl w:ilvl="0">
      <w:lvlJc w:val="left"/>
      <w:lvlText w:val="%1."/>
      <w:numFmt w:val="decimal"/>
      <w:start w:val="24"/>
    </w:lvl>
  </w:abstractNum>
  <w:abstractNum w:abstractNumId="404">
    <w:nsid w:val="162EB70D"/>
    <w:multiLevelType w:val="hybridMultilevel"/>
    <w:lvl w:ilvl="0">
      <w:lvlJc w:val="left"/>
      <w:lvlText w:val="%1."/>
      <w:numFmt w:val="decimal"/>
      <w:start w:val="26"/>
    </w:lvl>
    <w:lvl w:ilvl="1">
      <w:lvlJc w:val="left"/>
      <w:lvlText w:val="(%2)"/>
      <w:numFmt w:val="lowerLetter"/>
      <w:start w:val="1"/>
    </w:lvl>
  </w:abstractNum>
  <w:abstractNum w:abstractNumId="405">
    <w:nsid w:val="78070222"/>
    <w:multiLevelType w:val="hybridMultilevel"/>
    <w:lvl w:ilvl="0">
      <w:lvlJc w:val="left"/>
      <w:lvlText w:val="%1."/>
      <w:numFmt w:val="decimal"/>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91" Type="http://schemas.openxmlformats.org/officeDocument/2006/relationships/image" Target="media/image376.png"/><Relationship Id="rId397" Type="http://schemas.openxmlformats.org/officeDocument/2006/relationships/image" Target="media/image377.png"/><Relationship Id="rId410" Type="http://schemas.openxmlformats.org/officeDocument/2006/relationships/image" Target="media/image378.png"/><Relationship Id="rId426" Type="http://schemas.openxmlformats.org/officeDocument/2006/relationships/image" Target="media/image379.png"/><Relationship Id="rId428" Type="http://schemas.openxmlformats.org/officeDocument/2006/relationships/image" Target="media/image380.png"/><Relationship Id="rId429" Type="http://schemas.openxmlformats.org/officeDocument/2006/relationships/image" Target="media/image381.png"/><Relationship Id="rId430" Type="http://schemas.openxmlformats.org/officeDocument/2006/relationships/image" Target="media/image382.png"/><Relationship Id="rId431" Type="http://schemas.openxmlformats.org/officeDocument/2006/relationships/image" Target="media/image383.png"/><Relationship Id="rId432" Type="http://schemas.openxmlformats.org/officeDocument/2006/relationships/image" Target="media/image384.png"/><Relationship Id="rId433" Type="http://schemas.openxmlformats.org/officeDocument/2006/relationships/image" Target="media/image385.png"/><Relationship Id="rId434" Type="http://schemas.openxmlformats.org/officeDocument/2006/relationships/image" Target="media/image386.png"/><Relationship Id="rId435" Type="http://schemas.openxmlformats.org/officeDocument/2006/relationships/image" Target="media/image387.png"/><Relationship Id="rId436" Type="http://schemas.openxmlformats.org/officeDocument/2006/relationships/image" Target="media/image388.png"/><Relationship Id="rId437" Type="http://schemas.openxmlformats.org/officeDocument/2006/relationships/image" Target="media/image389.png"/><Relationship Id="rId438" Type="http://schemas.openxmlformats.org/officeDocument/2006/relationships/image" Target="media/image390.png"/><Relationship Id="rId439" Type="http://schemas.openxmlformats.org/officeDocument/2006/relationships/image" Target="media/image391.png"/><Relationship Id="rId440" Type="http://schemas.openxmlformats.org/officeDocument/2006/relationships/image" Target="media/image392.png"/><Relationship Id="rId441" Type="http://schemas.openxmlformats.org/officeDocument/2006/relationships/image" Target="media/image393.png"/><Relationship Id="rId442" Type="http://schemas.openxmlformats.org/officeDocument/2006/relationships/image" Target="media/image394.png"/><Relationship Id="rId443" Type="http://schemas.openxmlformats.org/officeDocument/2006/relationships/image" Target="media/image395.png"/><Relationship Id="rId444" Type="http://schemas.openxmlformats.org/officeDocument/2006/relationships/image" Target="media/image396.png"/><Relationship Id="rId445" Type="http://schemas.openxmlformats.org/officeDocument/2006/relationships/image" Target="media/image397.png"/><Relationship Id="rId446" Type="http://schemas.openxmlformats.org/officeDocument/2006/relationships/image" Target="media/image398.png"/><Relationship Id="rId447" Type="http://schemas.openxmlformats.org/officeDocument/2006/relationships/image" Target="media/image399.png"/><Relationship Id="rId448" Type="http://schemas.openxmlformats.org/officeDocument/2006/relationships/image" Target="media/image400.png"/><Relationship Id="rId449" Type="http://schemas.openxmlformats.org/officeDocument/2006/relationships/image" Target="media/image401.png"/><Relationship Id="rId450" Type="http://schemas.openxmlformats.org/officeDocument/2006/relationships/image" Target="media/image402.png"/><Relationship Id="rId451" Type="http://schemas.openxmlformats.org/officeDocument/2006/relationships/image" Target="media/image403.png"/><Relationship Id="rId452" Type="http://schemas.openxmlformats.org/officeDocument/2006/relationships/image" Target="media/image404.png"/><Relationship Id="rId453" Type="http://schemas.openxmlformats.org/officeDocument/2006/relationships/image" Target="media/image405.png"/><Relationship Id="rId454" Type="http://schemas.openxmlformats.org/officeDocument/2006/relationships/image" Target="media/image406.png"/><Relationship Id="rId455" Type="http://schemas.openxmlformats.org/officeDocument/2006/relationships/image" Target="media/image407.png"/><Relationship Id="rId456" Type="http://schemas.openxmlformats.org/officeDocument/2006/relationships/image" Target="media/image408.png"/><Relationship Id="rId457" Type="http://schemas.openxmlformats.org/officeDocument/2006/relationships/image" Target="media/image409.png"/><Relationship Id="rId458" Type="http://schemas.openxmlformats.org/officeDocument/2006/relationships/image" Target="media/image410.png"/><Relationship Id="rId459" Type="http://schemas.openxmlformats.org/officeDocument/2006/relationships/image" Target="media/image411.png"/><Relationship Id="rId460" Type="http://schemas.openxmlformats.org/officeDocument/2006/relationships/image" Target="media/image412.png"/><Relationship Id="rId461" Type="http://schemas.openxmlformats.org/officeDocument/2006/relationships/image" Target="media/image413.png"/><Relationship Id="rId462" Type="http://schemas.openxmlformats.org/officeDocument/2006/relationships/image" Target="media/image414.png"/><Relationship Id="rId463" Type="http://schemas.openxmlformats.org/officeDocument/2006/relationships/image" Target="media/image415.png"/><Relationship Id="rId464" Type="http://schemas.openxmlformats.org/officeDocument/2006/relationships/image" Target="media/image416.png"/><Relationship Id="rId465" Type="http://schemas.openxmlformats.org/officeDocument/2006/relationships/image" Target="media/image417.png"/><Relationship Id="rId466" Type="http://schemas.openxmlformats.org/officeDocument/2006/relationships/image" Target="media/image418.png"/><Relationship Id="rId467" Type="http://schemas.openxmlformats.org/officeDocument/2006/relationships/image" Target="media/image419.png"/><Relationship Id="rId468" Type="http://schemas.openxmlformats.org/officeDocument/2006/relationships/image" Target="media/image420.png"/><Relationship Id="rId469" Type="http://schemas.openxmlformats.org/officeDocument/2006/relationships/image" Target="media/image421.png"/><Relationship Id="rId470" Type="http://schemas.openxmlformats.org/officeDocument/2006/relationships/image" Target="media/image422.png"/><Relationship Id="rId471" Type="http://schemas.openxmlformats.org/officeDocument/2006/relationships/image" Target="media/image423.png"/><Relationship Id="rId472" Type="http://schemas.openxmlformats.org/officeDocument/2006/relationships/image" Target="media/image424.png"/><Relationship Id="rId473" Type="http://schemas.openxmlformats.org/officeDocument/2006/relationships/image" Target="media/image425.png"/><Relationship Id="rId474" Type="http://schemas.openxmlformats.org/officeDocument/2006/relationships/image" Target="media/image426.png"/><Relationship Id="rId475" Type="http://schemas.openxmlformats.org/officeDocument/2006/relationships/image" Target="media/image427.png"/><Relationship Id="rId476" Type="http://schemas.openxmlformats.org/officeDocument/2006/relationships/image" Target="media/image428.png"/><Relationship Id="rId477" Type="http://schemas.openxmlformats.org/officeDocument/2006/relationships/image" Target="media/image429.png"/><Relationship Id="rId478" Type="http://schemas.openxmlformats.org/officeDocument/2006/relationships/image" Target="media/image430.png"/><Relationship Id="rId479" Type="http://schemas.openxmlformats.org/officeDocument/2006/relationships/image" Target="media/image431.png"/><Relationship Id="rId480" Type="http://schemas.openxmlformats.org/officeDocument/2006/relationships/image" Target="media/image432.png"/><Relationship Id="rId481" Type="http://schemas.openxmlformats.org/officeDocument/2006/relationships/image" Target="media/image433.png"/><Relationship Id="rId482" Type="http://schemas.openxmlformats.org/officeDocument/2006/relationships/image" Target="media/image434.png"/><Relationship Id="rId483" Type="http://schemas.openxmlformats.org/officeDocument/2006/relationships/image" Target="media/image435.png"/><Relationship Id="rId484" Type="http://schemas.openxmlformats.org/officeDocument/2006/relationships/image" Target="media/image436.png"/><Relationship Id="rId485" Type="http://schemas.openxmlformats.org/officeDocument/2006/relationships/image" Target="media/image437.png"/><Relationship Id="rId486" Type="http://schemas.openxmlformats.org/officeDocument/2006/relationships/image" Target="media/image438.png"/><Relationship Id="rId487" Type="http://schemas.openxmlformats.org/officeDocument/2006/relationships/image" Target="media/image439.png"/><Relationship Id="rId488" Type="http://schemas.openxmlformats.org/officeDocument/2006/relationships/image" Target="media/image440.png"/><Relationship Id="rId489" Type="http://schemas.openxmlformats.org/officeDocument/2006/relationships/image" Target="media/image441.png"/><Relationship Id="rId490" Type="http://schemas.openxmlformats.org/officeDocument/2006/relationships/image" Target="media/image442.png"/><Relationship Id="rId491" Type="http://schemas.openxmlformats.org/officeDocument/2006/relationships/image" Target="media/image443.png"/><Relationship Id="rId492" Type="http://schemas.openxmlformats.org/officeDocument/2006/relationships/image" Target="media/image444.png"/><Relationship Id="rId493" Type="http://schemas.openxmlformats.org/officeDocument/2006/relationships/image" Target="media/image445.png"/><Relationship Id="rId494" Type="http://schemas.openxmlformats.org/officeDocument/2006/relationships/image" Target="media/image446.png"/><Relationship Id="rId495" Type="http://schemas.openxmlformats.org/officeDocument/2006/relationships/image" Target="media/image447.png"/><Relationship Id="rId496" Type="http://schemas.openxmlformats.org/officeDocument/2006/relationships/image" Target="media/image448.png"/><Relationship Id="rId497" Type="http://schemas.openxmlformats.org/officeDocument/2006/relationships/image" Target="media/image449.png"/><Relationship Id="rId498" Type="http://schemas.openxmlformats.org/officeDocument/2006/relationships/image" Target="media/image450.png"/><Relationship Id="rId499" Type="http://schemas.openxmlformats.org/officeDocument/2006/relationships/image" Target="media/image451.png"/><Relationship Id="rId500" Type="http://schemas.openxmlformats.org/officeDocument/2006/relationships/image" Target="media/image452.png"/><Relationship Id="rId501" Type="http://schemas.openxmlformats.org/officeDocument/2006/relationships/image" Target="media/image453.png"/><Relationship Id="rId502" Type="http://schemas.openxmlformats.org/officeDocument/2006/relationships/image" Target="media/image454.png"/><Relationship Id="rId503" Type="http://schemas.openxmlformats.org/officeDocument/2006/relationships/image" Target="media/image455.png"/><Relationship Id="rId504" Type="http://schemas.openxmlformats.org/officeDocument/2006/relationships/image" Target="media/image456.png"/><Relationship Id="rId505" Type="http://schemas.openxmlformats.org/officeDocument/2006/relationships/image" Target="media/image457.png"/><Relationship Id="rId506" Type="http://schemas.openxmlformats.org/officeDocument/2006/relationships/image" Target="media/image458.png"/><Relationship Id="rId507" Type="http://schemas.openxmlformats.org/officeDocument/2006/relationships/image" Target="media/image459.png"/><Relationship Id="rId508" Type="http://schemas.openxmlformats.org/officeDocument/2006/relationships/image" Target="media/image460.png"/><Relationship Id="rId509" Type="http://schemas.openxmlformats.org/officeDocument/2006/relationships/image" Target="media/image461.png"/><Relationship Id="rId510" Type="http://schemas.openxmlformats.org/officeDocument/2006/relationships/image" Target="media/image462.png"/><Relationship Id="rId511" Type="http://schemas.openxmlformats.org/officeDocument/2006/relationships/image" Target="media/image463.png"/><Relationship Id="rId512" Type="http://schemas.openxmlformats.org/officeDocument/2006/relationships/image" Target="media/image464.png"/><Relationship Id="rId513" Type="http://schemas.openxmlformats.org/officeDocument/2006/relationships/image" Target="media/image465.png"/><Relationship Id="rId514" Type="http://schemas.openxmlformats.org/officeDocument/2006/relationships/image" Target="media/image466.png"/><Relationship Id="rId515" Type="http://schemas.openxmlformats.org/officeDocument/2006/relationships/image" Target="media/image467.png"/><Relationship Id="rId516" Type="http://schemas.openxmlformats.org/officeDocument/2006/relationships/image" Target="media/image468.png"/><Relationship Id="rId517" Type="http://schemas.openxmlformats.org/officeDocument/2006/relationships/image" Target="media/image469.png"/><Relationship Id="rId518" Type="http://schemas.openxmlformats.org/officeDocument/2006/relationships/image" Target="media/image470.png"/><Relationship Id="rId519" Type="http://schemas.openxmlformats.org/officeDocument/2006/relationships/image" Target="media/image471.png"/><Relationship Id="rId520" Type="http://schemas.openxmlformats.org/officeDocument/2006/relationships/image" Target="media/image472.png"/><Relationship Id="rId521" Type="http://schemas.openxmlformats.org/officeDocument/2006/relationships/image" Target="media/image473.png"/><Relationship Id="rId522" Type="http://schemas.openxmlformats.org/officeDocument/2006/relationships/image" Target="media/image474.png"/><Relationship Id="rId523" Type="http://schemas.openxmlformats.org/officeDocument/2006/relationships/image" Target="media/image475.png"/><Relationship Id="rId524" Type="http://schemas.openxmlformats.org/officeDocument/2006/relationships/image" Target="media/image476.png"/><Relationship Id="rId525" Type="http://schemas.openxmlformats.org/officeDocument/2006/relationships/image" Target="media/image477.png"/><Relationship Id="rId526" Type="http://schemas.openxmlformats.org/officeDocument/2006/relationships/image" Target="media/image478.png"/><Relationship Id="rId527" Type="http://schemas.openxmlformats.org/officeDocument/2006/relationships/image" Target="media/image479.png"/><Relationship Id="rId528" Type="http://schemas.openxmlformats.org/officeDocument/2006/relationships/image" Target="media/image480.png"/><Relationship Id="rId529" Type="http://schemas.openxmlformats.org/officeDocument/2006/relationships/image" Target="media/image481.png"/><Relationship Id="rId530" Type="http://schemas.openxmlformats.org/officeDocument/2006/relationships/image" Target="media/image482.png"/><Relationship Id="rId531" Type="http://schemas.openxmlformats.org/officeDocument/2006/relationships/image" Target="media/image483.png"/><Relationship Id="rId532" Type="http://schemas.openxmlformats.org/officeDocument/2006/relationships/image" Target="media/image484.png"/><Relationship Id="rId533" Type="http://schemas.openxmlformats.org/officeDocument/2006/relationships/image" Target="media/image485.png"/><Relationship Id="rId534" Type="http://schemas.openxmlformats.org/officeDocument/2006/relationships/image" Target="media/image486.png"/><Relationship Id="rId535" Type="http://schemas.openxmlformats.org/officeDocument/2006/relationships/image" Target="media/image487.png"/><Relationship Id="rId536" Type="http://schemas.openxmlformats.org/officeDocument/2006/relationships/image" Target="media/image488.png"/><Relationship Id="rId537" Type="http://schemas.openxmlformats.org/officeDocument/2006/relationships/image" Target="media/image489.png"/><Relationship Id="rId538" Type="http://schemas.openxmlformats.org/officeDocument/2006/relationships/image" Target="media/image490.png"/><Relationship Id="rId539" Type="http://schemas.openxmlformats.org/officeDocument/2006/relationships/image" Target="media/image491.png"/><Relationship Id="rId540" Type="http://schemas.openxmlformats.org/officeDocument/2006/relationships/image" Target="media/image492.png"/><Relationship Id="rId541" Type="http://schemas.openxmlformats.org/officeDocument/2006/relationships/image" Target="media/image493.png"/><Relationship Id="rId542" Type="http://schemas.openxmlformats.org/officeDocument/2006/relationships/image" Target="media/image494.png"/><Relationship Id="rId543" Type="http://schemas.openxmlformats.org/officeDocument/2006/relationships/image" Target="media/image495.png"/><Relationship Id="rId544" Type="http://schemas.openxmlformats.org/officeDocument/2006/relationships/image" Target="media/image496.png"/><Relationship Id="rId545" Type="http://schemas.openxmlformats.org/officeDocument/2006/relationships/image" Target="media/image497.png"/><Relationship Id="rId546" Type="http://schemas.openxmlformats.org/officeDocument/2006/relationships/image" Target="media/image498.png"/><Relationship Id="rId547" Type="http://schemas.openxmlformats.org/officeDocument/2006/relationships/image" Target="media/image499.png"/><Relationship Id="rId548" Type="http://schemas.openxmlformats.org/officeDocument/2006/relationships/image" Target="media/image500.png"/><Relationship Id="rId549" Type="http://schemas.openxmlformats.org/officeDocument/2006/relationships/image" Target="media/image501.png"/><Relationship Id="rId550" Type="http://schemas.openxmlformats.org/officeDocument/2006/relationships/image" Target="media/image502.png"/><Relationship Id="rId551" Type="http://schemas.openxmlformats.org/officeDocument/2006/relationships/image" Target="media/image503.png"/><Relationship Id="rId552" Type="http://schemas.openxmlformats.org/officeDocument/2006/relationships/image" Target="media/image504.png"/><Relationship Id="rId553" Type="http://schemas.openxmlformats.org/officeDocument/2006/relationships/image" Target="media/image505.png"/><Relationship Id="rId554" Type="http://schemas.openxmlformats.org/officeDocument/2006/relationships/image" Target="media/image506.png"/><Relationship Id="rId555" Type="http://schemas.openxmlformats.org/officeDocument/2006/relationships/image" Target="media/image507.png"/><Relationship Id="rId556" Type="http://schemas.openxmlformats.org/officeDocument/2006/relationships/image" Target="media/image508.png"/><Relationship Id="rId557" Type="http://schemas.openxmlformats.org/officeDocument/2006/relationships/image" Target="media/image509.png"/><Relationship Id="rId558" Type="http://schemas.openxmlformats.org/officeDocument/2006/relationships/image" Target="media/image510.png"/><Relationship Id="rId559" Type="http://schemas.openxmlformats.org/officeDocument/2006/relationships/image" Target="media/image511.png"/><Relationship Id="rId560" Type="http://schemas.openxmlformats.org/officeDocument/2006/relationships/image" Target="media/image512.png"/><Relationship Id="rId561" Type="http://schemas.openxmlformats.org/officeDocument/2006/relationships/image" Target="media/image513.png"/><Relationship Id="rId562" Type="http://schemas.openxmlformats.org/officeDocument/2006/relationships/image" Target="media/image514.png"/><Relationship Id="rId563" Type="http://schemas.openxmlformats.org/officeDocument/2006/relationships/image" Target="media/image515.png"/><Relationship Id="rId564" Type="http://schemas.openxmlformats.org/officeDocument/2006/relationships/image" Target="media/image516.png"/><Relationship Id="rId565" Type="http://schemas.openxmlformats.org/officeDocument/2006/relationships/image" Target="media/image517.png"/><Relationship Id="rId566" Type="http://schemas.openxmlformats.org/officeDocument/2006/relationships/image" Target="media/image518.png"/><Relationship Id="rId567" Type="http://schemas.openxmlformats.org/officeDocument/2006/relationships/image" Target="media/image519.png"/><Relationship Id="rId568" Type="http://schemas.openxmlformats.org/officeDocument/2006/relationships/image" Target="media/image520.png"/><Relationship Id="rId569" Type="http://schemas.openxmlformats.org/officeDocument/2006/relationships/image" Target="media/image521.png"/><Relationship Id="rId570" Type="http://schemas.openxmlformats.org/officeDocument/2006/relationships/image" Target="media/image522.png"/><Relationship Id="rId571" Type="http://schemas.openxmlformats.org/officeDocument/2006/relationships/image" Target="media/image523.png"/><Relationship Id="rId572" Type="http://schemas.openxmlformats.org/officeDocument/2006/relationships/image" Target="media/image524.png"/><Relationship Id="rId573" Type="http://schemas.openxmlformats.org/officeDocument/2006/relationships/image" Target="media/image525.png"/><Relationship Id="rId574" Type="http://schemas.openxmlformats.org/officeDocument/2006/relationships/image" Target="media/image526.png"/><Relationship Id="rId575" Type="http://schemas.openxmlformats.org/officeDocument/2006/relationships/image" Target="media/image527.png"/><Relationship Id="rId576" Type="http://schemas.openxmlformats.org/officeDocument/2006/relationships/image" Target="media/image528.png"/><Relationship Id="rId577" Type="http://schemas.openxmlformats.org/officeDocument/2006/relationships/image" Target="media/image529.png"/><Relationship Id="rId578" Type="http://schemas.openxmlformats.org/officeDocument/2006/relationships/image" Target="media/image530.png"/><Relationship Id="rId579" Type="http://schemas.openxmlformats.org/officeDocument/2006/relationships/image" Target="media/image531.png"/><Relationship Id="rId580" Type="http://schemas.openxmlformats.org/officeDocument/2006/relationships/image" Target="media/image532.png"/><Relationship Id="rId581" Type="http://schemas.openxmlformats.org/officeDocument/2006/relationships/image" Target="media/image533.png"/><Relationship Id="rId582" Type="http://schemas.openxmlformats.org/officeDocument/2006/relationships/image" Target="media/image534.png"/><Relationship Id="rId583" Type="http://schemas.openxmlformats.org/officeDocument/2006/relationships/image" Target="media/image535.png"/><Relationship Id="rId584" Type="http://schemas.openxmlformats.org/officeDocument/2006/relationships/image" Target="media/image536.png"/><Relationship Id="rId585" Type="http://schemas.openxmlformats.org/officeDocument/2006/relationships/image" Target="media/image537.png"/><Relationship Id="rId586" Type="http://schemas.openxmlformats.org/officeDocument/2006/relationships/image" Target="media/image538.png"/><Relationship Id="rId587" Type="http://schemas.openxmlformats.org/officeDocument/2006/relationships/image" Target="media/image539.png"/><Relationship Id="rId588" Type="http://schemas.openxmlformats.org/officeDocument/2006/relationships/image" Target="media/image540.png"/><Relationship Id="rId589" Type="http://schemas.openxmlformats.org/officeDocument/2006/relationships/image" Target="media/image541.png"/><Relationship Id="rId590" Type="http://schemas.openxmlformats.org/officeDocument/2006/relationships/image" Target="media/image542.png"/><Relationship Id="rId591" Type="http://schemas.openxmlformats.org/officeDocument/2006/relationships/image" Target="media/image543.png"/><Relationship Id="rId592" Type="http://schemas.openxmlformats.org/officeDocument/2006/relationships/image" Target="media/image544.png"/><Relationship Id="rId383" Type="http://schemas.openxmlformats.org/officeDocument/2006/relationships/hyperlink" Target="http://www.sec.gov/Archives/edgar/data/1817358/000119312520264744/d910645dex31.htm" TargetMode="External"/><Relationship Id="rId384" Type="http://schemas.openxmlformats.org/officeDocument/2006/relationships/hyperlink" Target="http://www.sec.gov/Archives/edgar/data/1817358/000119312520264744/d910645dex32.htm" TargetMode="External"/><Relationship Id="rId385" Type="http://schemas.openxmlformats.org/officeDocument/2006/relationships/hyperlink" Target="http://www.sec.gov/Archives/edgar/data/1817358/000119312520264744/d910645dex41.htm" TargetMode="External"/><Relationship Id="rId386" Type="http://schemas.openxmlformats.org/officeDocument/2006/relationships/hyperlink" Target="http://www.sec.gov/Archives/edgar/data/1817358/000119312520287988/d22150dex41.htm" TargetMode="External"/><Relationship Id="rId387" Type="http://schemas.openxmlformats.org/officeDocument/2006/relationships/hyperlink" Target="http://www.sec.gov/Archives/edgar/data/1817358/000119312520287988/d22150dex101.htm" TargetMode="External"/><Relationship Id="rId388" Type="http://schemas.openxmlformats.org/officeDocument/2006/relationships/hyperlink" Target="http://www.sec.gov/Archives/edgar/data/0001817358/000119312520242076/d934024dex102.htm" TargetMode="External"/><Relationship Id="rId389" Type="http://schemas.openxmlformats.org/officeDocument/2006/relationships/hyperlink" Target="http://www.sec.gov/Archives/edgar/data/0001817358/000119312520242076/d934024dex103.htm" TargetMode="External"/><Relationship Id="rId390" Type="http://schemas.openxmlformats.org/officeDocument/2006/relationships/hyperlink" Target="http://www.sec.gov/Archives/edgar/data/0001817358/000119312520242076/d934024dex104.htm" TargetMode="External"/><Relationship Id="rId392" Type="http://schemas.openxmlformats.org/officeDocument/2006/relationships/hyperlink" Target="http://www.sec.gov/Archives/edgar/data/0001817358/000119312520242076/d934024dex105.htm" TargetMode="External"/><Relationship Id="rId393" Type="http://schemas.openxmlformats.org/officeDocument/2006/relationships/hyperlink" Target="http://www.sec.gov/Archives/edgar/data/0001817358/000119312520242076/d934024dex106.htm" TargetMode="External"/><Relationship Id="rId394" Type="http://schemas.openxmlformats.org/officeDocument/2006/relationships/hyperlink" Target="http://www.sec.gov/Archives/edgar/data/1817358/000119312520287988/d22150dex102.htm" TargetMode="External"/><Relationship Id="rId395" Type="http://schemas.openxmlformats.org/officeDocument/2006/relationships/hyperlink" Target="http://www.sec.gov/Archives/edgar/data/0001817358/000119312520242076/d934024dex107.htm" TargetMode="External"/><Relationship Id="rId396" Type="http://schemas.openxmlformats.org/officeDocument/2006/relationships/hyperlink" Target="http://www.sec.gov/Archives/edgar/data/0001817358/000119312520242076/d934024dex108.htm" TargetMode="External"/><Relationship Id="rId398" Type="http://schemas.openxmlformats.org/officeDocument/2006/relationships/hyperlink" Target="http://www.sec.gov/Archives/edgar/data/1817358/000181735820000012/exhibit102.htm" TargetMode="External"/><Relationship Id="rId399" Type="http://schemas.openxmlformats.org/officeDocument/2006/relationships/hyperlink" Target="http://www.sec.gov/Archives/edgar/data/1817358/000119312520252290/d934024dex1010.htm" TargetMode="External"/><Relationship Id="rId400" Type="http://schemas.openxmlformats.org/officeDocument/2006/relationships/hyperlink" Target="http://www.sec.gov/Archives/edgar/data/1817358/000119312520252290/d934024dex1011.htm" TargetMode="External"/><Relationship Id="rId401" Type="http://schemas.openxmlformats.org/officeDocument/2006/relationships/hyperlink" Target="http://www.sec.gov/Archives/edgar/data/1817358/000119312520252290/d934024dex1012.htm" TargetMode="External"/><Relationship Id="rId402" Type="http://schemas.openxmlformats.org/officeDocument/2006/relationships/hyperlink" Target="http://www.sec.gov/Archives/edgar/data/1817358/000119312520242076/d934024dex1013.htm" TargetMode="External"/><Relationship Id="rId403" Type="http://schemas.openxmlformats.org/officeDocument/2006/relationships/hyperlink" Target="http://www.sec.gov/Archives/edgar/data/1817358/000119312520242076/d934024dex1014.htm" TargetMode="External"/><Relationship Id="rId404" Type="http://schemas.openxmlformats.org/officeDocument/2006/relationships/hyperlink" Target="http://www.sec.gov/Archives/edgar/data/1817358/000119312520242076/d934024dex1015.htm" TargetMode="External"/><Relationship Id="rId405" Type="http://schemas.openxmlformats.org/officeDocument/2006/relationships/hyperlink" Target="http://www.sec.gov/Archives/edgar/data/1817358/000119312520242076/d934024dex1017.htm" TargetMode="External"/><Relationship Id="rId406" Type="http://schemas.openxmlformats.org/officeDocument/2006/relationships/hyperlink" Target="http://www.sec.gov/Archives/edgar/data/1817358/000119312520242076/d934024dex1018.htm" TargetMode="External"/><Relationship Id="rId407" Type="http://schemas.openxmlformats.org/officeDocument/2006/relationships/hyperlink" Target="http://www.sec.gov/Archives/edgar/data/1817358/000119312520242076/d934024dex1019.htm" TargetMode="External"/><Relationship Id="rId408" Type="http://schemas.openxmlformats.org/officeDocument/2006/relationships/hyperlink" Target="http://www.sec.gov/Archives/edgar/data/1817358/000119312520242076/d934024dex1020.htm" TargetMode="External"/><Relationship Id="rId409" Type="http://schemas.openxmlformats.org/officeDocument/2006/relationships/hyperlink" Target="http://www.sec.gov/Archives/edgar/data/1817358/000119312520242076/d934024dex1022.htm" TargetMode="External"/><Relationship Id="rId411" Type="http://schemas.openxmlformats.org/officeDocument/2006/relationships/hyperlink" Target="http://www.sec.gov/Archives/edgar/data/1817358/000119312520242076/d934024dex1023.htm" TargetMode="External"/><Relationship Id="rId412" Type="http://schemas.openxmlformats.org/officeDocument/2006/relationships/hyperlink" Target="http://www.sec.gov/Archives/edgar/data/1817358/000119312520242076/d934024dex1024.htm" TargetMode="External"/><Relationship Id="rId413" Type="http://schemas.openxmlformats.org/officeDocument/2006/relationships/hyperlink" Target="http://www.sec.gov/Archives/edgar/data/1817358/000119312520242076/d934024dex1025.htm" TargetMode="External"/><Relationship Id="rId414" Type="http://schemas.openxmlformats.org/officeDocument/2006/relationships/hyperlink" Target="http://www.sec.gov/Archives/edgar/data/1817358/000119312520242076/d934024dex1026.htm" TargetMode="External"/><Relationship Id="rId415" Type="http://schemas.openxmlformats.org/officeDocument/2006/relationships/hyperlink" Target="http://www.sec.gov/Archives/edgar/data/1817358/000119312520242076/d934024dex1027.htm" TargetMode="External"/><Relationship Id="rId416" Type="http://schemas.openxmlformats.org/officeDocument/2006/relationships/hyperlink" Target="http://www.sec.gov/Archives/edgar/data/1817358/000119312520242076/d934024dex1028.htm" TargetMode="External"/><Relationship Id="rId417" Type="http://schemas.openxmlformats.org/officeDocument/2006/relationships/hyperlink" Target="http://www.sec.gov/Archives/edgar/data/1817358/000119312520242076/d934024dex1029.htm" TargetMode="External"/><Relationship Id="rId418" Type="http://schemas.openxmlformats.org/officeDocument/2006/relationships/hyperlink" Target="http://www.sec.gov/Archives/edgar/data/1817358/000119312520242076/d934024dex1030.htm" TargetMode="External"/><Relationship Id="rId419" Type="http://schemas.openxmlformats.org/officeDocument/2006/relationships/hyperlink" Target="http://www.sec.gov/Archives/edgar/data/1817358/000119312520242076/d934024dex1031.htm" TargetMode="External"/><Relationship Id="rId420" Type="http://schemas.openxmlformats.org/officeDocument/2006/relationships/hyperlink" Target="http://www.sec.gov/Archives/edgar/data/1817358/000119312520242076/d934024dex1032.htm" TargetMode="External"/><Relationship Id="rId421" Type="http://schemas.openxmlformats.org/officeDocument/2006/relationships/hyperlink" Target="http://www.sec.gov/Archives/edgar/data/1817358/000119312520242076/d934024dex1033.htm" TargetMode="External"/><Relationship Id="rId422" Type="http://schemas.openxmlformats.org/officeDocument/2006/relationships/hyperlink" Target="http://www.sec.gov/Archives/edgar/data/1817358/000181735821000004/exhibit101-separationagree.htm" TargetMode="External"/><Relationship Id="rId423" Type="http://schemas.openxmlformats.org/officeDocument/2006/relationships/hyperlink" Target="http://www.sec.gov/Archives/edgar/data/1817358/000119312520252290/d934024dex1034.htm" TargetMode="External"/><Relationship Id="rId424" Type="http://schemas.openxmlformats.org/officeDocument/2006/relationships/hyperlink" Target="http://www.sec.gov/Archives/edgar/data/1817358/000119312520264744/d910645dex101.htm" TargetMode="External"/><Relationship Id="rId425" Type="http://schemas.openxmlformats.org/officeDocument/2006/relationships/hyperlink" Target="http://www.sec.gov/Archives/edgar/data/1817358/000119312520252290/d934024dex1037.htm" TargetMode="External"/><Relationship Id="rId427" Type="http://schemas.openxmlformats.org/officeDocument/2006/relationships/hyperlink" Target="http://www.sec.gov/Archives/edgar/data/1817358/000119312520242076/d93402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2021-01-25T15:17:15Z</dcterms:created>
  <dcterms:modified xsi:type="dcterms:W3CDTF">2021-01-25T15:17:15Z</dcterms:modified>
</cp:coreProperties>
</file>