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brhc20058087_s8.htm"/>
      <w:bookmarkStart w:id="1" w:name="ksbrhc20058087_s8"/>
      <w:bookmarkEnd w:id="0"/>
      <w:bookmarkEnd w:id="1"/>
      <w:r>
        <w:rPr>
          <w:rFonts w:ascii="Times New Roman" w:hAnsi="Times New Roman"/>
          <w:b/>
          <w:color w:val="000000"/>
          <w:sz w:val="20"/>
        </w:rPr>
        <w:t>As filed with the Securities and Exchange Commission on August 31, 2023</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rPr>
      </w:pPr>
      <w:r>
        <w:rPr>
          <w:b/>
        </w:rPr>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br/>
        <w:t>REGISTRATION STATEMENT UNDER THE SECURITIES ACT OF 1933</w:t>
      </w:r>
    </w:p>
    <w:p>
      <w:pPr>
        <w:pStyle w:val="TextBody"/>
        <w:bidi w:val="0"/>
        <w:spacing w:before="0" w:after="0"/>
        <w:jc w:val="center"/>
        <w:rPr>
          <w:b/>
        </w:rPr>
      </w:pPr>
      <w:r>
        <w:rPr>
          <w:b/>
        </w:rPr>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ACADEMY SPORTS AND OUTDOORS,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f97340cfc28b46d59256f4ffe28b3216"/>
      <w:bookmarkStart w:id="3" w:name="zf97340cfc28b46d59256f4ffe28b3216"/>
      <w:bookmarkEnd w:id="3"/>
    </w:p>
    <w:tbl>
      <w:tblPr>
        <w:tblW w:w="9265" w:type="dxa"/>
        <w:jc w:val="left"/>
        <w:tblInd w:w="0" w:type="dxa"/>
        <w:tblLayout w:type="fixed"/>
        <w:tblCellMar>
          <w:top w:w="0" w:type="dxa"/>
          <w:left w:w="0" w:type="dxa"/>
          <w:bottom w:w="0" w:type="dxa"/>
          <w:right w:w="0" w:type="dxa"/>
        </w:tblCellMar>
      </w:tblPr>
      <w:tblGrid>
        <w:gridCol w:w="5765"/>
        <w:gridCol w:w="60"/>
        <w:gridCol w:w="3440"/>
      </w:tblGrid>
      <w:tr>
        <w:trPr/>
        <w:tc>
          <w:tcPr>
            <w:tcW w:w="5765" w:type="dxa"/>
            <w:tcBorders/>
            <w:vAlign w:val="center"/>
          </w:tcPr>
          <w:p>
            <w:pPr>
              <w:pStyle w:val="TableContents"/>
              <w:bidi w:val="0"/>
              <w:spacing w:before="0" w:after="0"/>
              <w:jc w:val="center"/>
              <w:rPr>
                <w:b/>
                <w:color w:val="000000"/>
              </w:rPr>
            </w:pPr>
            <w:r>
              <w:rPr>
                <w:b/>
                <w:color w:val="000000"/>
              </w:rPr>
              <w:t>Delaware</w:t>
            </w:r>
          </w:p>
          <w:p>
            <w:pPr>
              <w:pStyle w:val="TableContents"/>
              <w:bidi w:val="0"/>
              <w:spacing w:before="0" w:after="0"/>
              <w:jc w:val="center"/>
              <w:rPr>
                <w:color w:val="000000"/>
              </w:rPr>
            </w:pPr>
            <w:r>
              <w:rPr>
                <w:color w:val="00000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center"/>
              <w:rPr>
                <w:b/>
                <w:color w:val="000000"/>
              </w:rPr>
            </w:pPr>
            <w:r>
              <w:rPr>
                <w:b/>
                <w:color w:val="000000"/>
              </w:rPr>
              <w:t>85-1800912</w:t>
            </w:r>
          </w:p>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1800 North Mason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Katy, Texas 77449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(281) 646-5200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including zip code, and telephone number, including area code, of principal executive offices)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Academy Sports and Outdoors, Inc. Amended and Restated 2020 Omnibus Incentive Plan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Rene G. Casares, Esq.</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Senior Vice President, General Counsel and Secretary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1800 North Mason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Katy, Texas 77449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(281) 646-5200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and address, including zip code, and telephone number, including area code, of agent for service)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i/>
          <w:color w:val="000000"/>
          <w:sz w:val="20"/>
        </w:rPr>
        <w:t>Copies to</w:t>
      </w:r>
      <w:r>
        <w:rPr>
          <w:rFonts w:ascii="Times New Roman" w:hAnsi="Times New Roman"/>
          <w:b/>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Krista P. Hanvey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Gibson, Dunn &amp; Crutcher LLP</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2001 Ross Avenue, Suite 2100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Dallas, TX 75201-2911</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(214) 698 - 3100</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36a3ff278a874583b35850da742fe273"/>
      <w:bookmarkStart w:id="5" w:name="z36a3ff278a874583b35850da742fe273"/>
      <w:bookmarkEnd w:id="5"/>
    </w:p>
    <w:tbl>
      <w:tblPr>
        <w:tblW w:w="10205" w:type="dxa"/>
        <w:jc w:val="left"/>
        <w:tblInd w:w="0" w:type="dxa"/>
        <w:tblLayout w:type="fixed"/>
        <w:tblCellMar>
          <w:top w:w="0" w:type="dxa"/>
          <w:left w:w="0" w:type="dxa"/>
          <w:bottom w:w="0" w:type="dxa"/>
          <w:right w:w="0" w:type="dxa"/>
        </w:tblCellMar>
      </w:tblPr>
      <w:tblGrid>
        <w:gridCol w:w="4346"/>
        <w:gridCol w:w="512"/>
        <w:gridCol w:w="4834"/>
        <w:gridCol w:w="513"/>
      </w:tblGrid>
      <w:tr>
        <w:trPr/>
        <w:tc>
          <w:tcPr>
            <w:tcW w:w="4346" w:type="dxa"/>
            <w:tcBorders/>
            <w:vAlign w:val="center"/>
          </w:tcPr>
          <w:p>
            <w:pPr>
              <w:pStyle w:val="TableContents"/>
              <w:bidi w:val="0"/>
              <w:spacing w:before="0" w:after="0"/>
              <w:jc w:val="left"/>
              <w:rPr>
                <w:color w:val="000000"/>
              </w:rPr>
            </w:pPr>
            <w:r>
              <w:rPr>
                <w:color w:val="000000"/>
              </w:rPr>
              <w:t>Large accelerated filer</w:t>
            </w:r>
          </w:p>
        </w:tc>
        <w:tc>
          <w:tcPr>
            <w:tcW w:w="512" w:type="dxa"/>
            <w:tcBorders/>
            <w:vAlign w:val="center"/>
          </w:tcPr>
          <w:p>
            <w:pPr>
              <w:pStyle w:val="TableContents"/>
              <w:bidi w:val="0"/>
              <w:spacing w:before="0" w:after="0"/>
              <w:jc w:val="left"/>
              <w:rPr>
                <w:color w:val="000000"/>
              </w:rPr>
            </w:pPr>
            <w:r>
              <w:rPr>
                <w:color w:val="000000"/>
              </w:rPr>
              <w:t>☑</w:t>
            </w:r>
          </w:p>
        </w:tc>
        <w:tc>
          <w:tcPr>
            <w:tcW w:w="4834" w:type="dxa"/>
            <w:tcBorders/>
            <w:vAlign w:val="center"/>
          </w:tcPr>
          <w:p>
            <w:pPr>
              <w:pStyle w:val="TableContents"/>
              <w:bidi w:val="0"/>
              <w:spacing w:before="0" w:after="0"/>
              <w:jc w:val="left"/>
              <w:rPr>
                <w:color w:val="000000"/>
              </w:rPr>
            </w:pPr>
            <w:r>
              <w:rPr>
                <w:color w:val="000000"/>
              </w:rPr>
              <w:t>Accelerated filer</w:t>
            </w:r>
          </w:p>
        </w:tc>
        <w:tc>
          <w:tcPr>
            <w:tcW w:w="513" w:type="dxa"/>
            <w:tcBorders/>
            <w:vAlign w:val="center"/>
          </w:tcPr>
          <w:p>
            <w:pPr>
              <w:pStyle w:val="TableContents"/>
              <w:bidi w:val="0"/>
              <w:spacing w:before="0" w:after="0"/>
              <w:jc w:val="left"/>
              <w:rPr>
                <w:color w:val="000000"/>
              </w:rPr>
            </w:pPr>
            <w:r>
              <w:rPr>
                <w:color w:val="000000"/>
              </w:rPr>
              <w:t>☐</w:t>
            </w:r>
          </w:p>
        </w:tc>
      </w:tr>
      <w:tr>
        <w:trPr/>
        <w:tc>
          <w:tcPr>
            <w:tcW w:w="43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4834"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r>
      <w:tr>
        <w:trPr/>
        <w:tc>
          <w:tcPr>
            <w:tcW w:w="4346" w:type="dxa"/>
            <w:tcBorders/>
            <w:vAlign w:val="center"/>
          </w:tcPr>
          <w:p>
            <w:pPr>
              <w:pStyle w:val="TableContents"/>
              <w:bidi w:val="0"/>
              <w:spacing w:before="0" w:after="0"/>
              <w:jc w:val="left"/>
              <w:rPr>
                <w:color w:val="000000"/>
              </w:rPr>
            </w:pPr>
            <w:r>
              <w:rPr>
                <w:color w:val="000000"/>
              </w:rPr>
              <w:t>Non-accelerated filer</w:t>
            </w:r>
          </w:p>
        </w:tc>
        <w:tc>
          <w:tcPr>
            <w:tcW w:w="512" w:type="dxa"/>
            <w:tcBorders/>
            <w:vAlign w:val="center"/>
          </w:tcPr>
          <w:p>
            <w:pPr>
              <w:pStyle w:val="TableContents"/>
              <w:bidi w:val="0"/>
              <w:spacing w:before="0" w:after="0"/>
              <w:jc w:val="left"/>
              <w:rPr>
                <w:color w:val="000000"/>
              </w:rPr>
            </w:pPr>
            <w:r>
              <w:rPr>
                <w:color w:val="000000"/>
              </w:rPr>
              <w:t>☐</w:t>
            </w:r>
          </w:p>
        </w:tc>
        <w:tc>
          <w:tcPr>
            <w:tcW w:w="4834" w:type="dxa"/>
            <w:tcBorders/>
            <w:vAlign w:val="center"/>
          </w:tcPr>
          <w:p>
            <w:pPr>
              <w:pStyle w:val="TableContents"/>
              <w:bidi w:val="0"/>
              <w:spacing w:before="0" w:after="0"/>
              <w:jc w:val="left"/>
              <w:rPr>
                <w:color w:val="000000"/>
              </w:rPr>
            </w:pPr>
            <w:r>
              <w:rPr>
                <w:color w:val="000000"/>
              </w:rPr>
              <w:t>Smaller reporting company</w:t>
            </w:r>
          </w:p>
        </w:tc>
        <w:tc>
          <w:tcPr>
            <w:tcW w:w="513" w:type="dxa"/>
            <w:tcBorders/>
            <w:vAlign w:val="center"/>
          </w:tcPr>
          <w:p>
            <w:pPr>
              <w:pStyle w:val="TableContents"/>
              <w:bidi w:val="0"/>
              <w:spacing w:before="0" w:after="0"/>
              <w:jc w:val="left"/>
              <w:rPr>
                <w:color w:val="000000"/>
              </w:rPr>
            </w:pPr>
            <w:r>
              <w:rPr>
                <w:color w:val="000000"/>
              </w:rPr>
              <w:t>☐</w:t>
            </w:r>
          </w:p>
        </w:tc>
      </w:tr>
      <w:tr>
        <w:trPr/>
        <w:tc>
          <w:tcPr>
            <w:tcW w:w="43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4834"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r>
      <w:tr>
        <w:trPr/>
        <w:tc>
          <w:tcPr>
            <w:tcW w:w="43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4834" w:type="dxa"/>
            <w:tcBorders/>
            <w:vAlign w:val="center"/>
          </w:tcPr>
          <w:p>
            <w:pPr>
              <w:pStyle w:val="TableContents"/>
              <w:bidi w:val="0"/>
              <w:spacing w:before="0" w:after="0"/>
              <w:jc w:val="left"/>
              <w:rPr>
                <w:color w:val="000000"/>
              </w:rPr>
            </w:pPr>
            <w:r>
              <w:rPr>
                <w:color w:val="000000"/>
              </w:rPr>
              <w:t>Emerging growth company</w:t>
            </w:r>
          </w:p>
        </w:tc>
        <w:tc>
          <w:tcPr>
            <w:tcW w:w="513" w:type="dxa"/>
            <w:tcBorders/>
            <w:vAlign w:val="center"/>
          </w:tcPr>
          <w:p>
            <w:pPr>
              <w:pStyle w:val="TableContents"/>
              <w:bidi w:val="0"/>
              <w:spacing w:before="0" w:after="0"/>
              <w:jc w:val="left"/>
              <w:rPr>
                <w:color w:val="000000"/>
              </w:rPr>
            </w:pPr>
            <w:r>
              <w:rPr>
                <w:color w:val="000000"/>
              </w:rPr>
              <w:t>☐</w:t>
            </w:r>
          </w:p>
        </w:tc>
      </w:tr>
      <w:tr>
        <w:trPr/>
        <w:tc>
          <w:tcPr>
            <w:tcW w:w="43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4834"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0"/>
              <w:jc w:val="left"/>
              <w:rPr>
                <w:color w:val="000000"/>
              </w:rPr>
            </w:pPr>
            <w:r>
              <w:rPr>
                <w:color w:val="000000"/>
              </w:rPr>
              <w:t>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 </w:t>
      </w:r>
      <w:r>
        <w:rPr>
          <w:rFonts w:ascii="Times New Roman" w:hAnsi="Times New Roman"/>
          <w:color w:val="000000"/>
          <w:sz w:val="20"/>
        </w:rPr>
        <w:t>This Registration Statement on Form S-8 (this “Registration Statement”) is filed by Academy Sports and Outdoors, Inc. (the “Company”) to register an additional 2,600,000 shares of the Company’s Common Stock, par value $0.01 per share (the “Common Stock”), to be offered and sold under the Academy Sports and Outdoors, Inc. Amended and Restated 2020 Omnibus Incentive Plan (the “Plan”).</w:t>
      </w:r>
    </w:p>
    <w:p>
      <w:pPr>
        <w:pStyle w:val="TextBody"/>
        <w:bidi w:val="0"/>
        <w:spacing w:before="0" w:after="0"/>
        <w:jc w:val="left"/>
        <w:rPr>
          <w:color w:val="000000"/>
        </w:rPr>
      </w:pPr>
      <w:r>
        <w:rPr>
          <w:color w:val="000000"/>
        </w:rPr>
        <w:t> </w:t>
      </w:r>
    </w:p>
    <w:p>
      <w:pPr>
        <w:pStyle w:val="TextBody"/>
        <w:bidi w:val="0"/>
        <w:spacing w:before="0" w:after="0"/>
        <w:ind w:left="0" w:right="0" w:firstLine="490"/>
        <w:jc w:val="both"/>
        <w:rPr/>
      </w:pPr>
      <w:r>
        <w:rPr>
          <w:rFonts w:ascii="Times New Roman" w:hAnsi="Times New Roman"/>
          <w:color w:val="000000"/>
          <w:sz w:val="20"/>
        </w:rPr>
        <w:t>On a Registration Statement on Form S-8 (</w:t>
      </w:r>
      <w:hyperlink r:id="rId2">
        <w:r>
          <w:rPr>
            <w:rStyle w:val="InternetLink"/>
          </w:rPr>
          <w:t>No. 333-249233</w:t>
        </w:r>
      </w:hyperlink>
      <w:r>
        <w:rPr>
          <w:rFonts w:ascii="Times New Roman" w:hAnsi="Times New Roman"/>
          <w:color w:val="000000"/>
          <w:sz w:val="20"/>
        </w:rPr>
        <w:t>), filed by the Company with the Securities and Exchange Commission (the “Commission”) on October 1, 2020 (the “Prior Registration Statement”), the Company previously registered 5,150,000 shares of Common Stock to be offered and sold under the Plan.</w:t>
      </w:r>
    </w:p>
    <w:p>
      <w:pPr>
        <w:pStyle w:val="TextBody"/>
        <w:bidi w:val="0"/>
        <w:spacing w:before="0" w:after="0"/>
        <w:jc w:val="left"/>
        <w:rPr>
          <w:color w:val="000000"/>
        </w:rPr>
      </w:pPr>
      <w:r>
        <w:rPr>
          <w:color w:val="000000"/>
        </w:rPr>
        <w:t> </w:t>
      </w:r>
    </w:p>
    <w:p>
      <w:pPr>
        <w:pStyle w:val="TextBody"/>
        <w:bidi w:val="0"/>
        <w:spacing w:before="0" w:after="0"/>
        <w:ind w:left="0" w:right="0" w:firstLine="490"/>
        <w:jc w:val="both"/>
        <w:rPr>
          <w:rFonts w:ascii="Times New Roman" w:hAnsi="Times New Roman"/>
          <w:color w:val="000000"/>
          <w:sz w:val="20"/>
        </w:rPr>
      </w:pPr>
      <w:r>
        <w:rPr>
          <w:rFonts w:ascii="Times New Roman" w:hAnsi="Times New Roman"/>
          <w:color w:val="000000"/>
          <w:sz w:val="20"/>
        </w:rPr>
        <w:t>In accordance with General Instruction E to Form S-8, the Company hereby incorporates by reference the Prior Registration Statement except as the same may be modified by the information set forth in this Registration Statement.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0" w:after="0"/>
        <w:jc w:val="left"/>
        <w:rPr>
          <w:color w:val="000000"/>
        </w:rPr>
      </w:pPr>
      <w:r>
        <w:rPr>
          <w:color w:val="000000"/>
        </w:rPr>
        <w:t> </w:t>
      </w:r>
    </w:p>
    <w:p>
      <w:pPr>
        <w:pStyle w:val="TextBody"/>
        <w:bidi w:val="0"/>
        <w:spacing w:before="0" w:after="0"/>
        <w:ind w:left="0" w:right="0" w:firstLine="490"/>
        <w:jc w:val="both"/>
        <w:rPr>
          <w:rFonts w:ascii="Times New Roman" w:hAnsi="Times New Roman"/>
          <w:color w:val="000000"/>
          <w:sz w:val="20"/>
        </w:rPr>
      </w:pPr>
      <w:r>
        <w:rPr>
          <w:rFonts w:ascii="Times New Roman" w:hAnsi="Times New Roman"/>
          <w:color w:val="000000"/>
          <w:sz w:val="20"/>
        </w:rPr>
        <w:t>The information specified in Items 1 and 2 of Part I of Form S-8 is omitted from this Registration Statement in accordance with the provisions of Rule 428 under the Securities Act of 1933, as amended (the “Securities Act”) and the introductory note to Part I of Form S-8. The documents containing the information specified in this Part I will be delivered to the participants in the Plan covered by this Registration Statement as required by Rule 428(b)(1) under the Securities Act. Such documents are not required to be, and are not, filed with the Commission either as part of this Registration Statement or as a prospectus or prospectus supplement pursuant to Rule 424 under the Securities Act.</w:t>
      </w:r>
    </w:p>
    <w:p>
      <w:pPr>
        <w:pStyle w:val="TextBody"/>
        <w:bidi w:val="0"/>
        <w:spacing w:before="0" w:after="0"/>
        <w:jc w:val="both"/>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cd1f3162ee774f1c85647ea7b40d2a23"/>
      <w:bookmarkStart w:id="7" w:name="zcd1f3162ee774f1c85647ea7b40d2a23"/>
      <w:bookmarkEnd w:id="7"/>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rPr>
            </w:pPr>
            <w:r>
              <w:rPr>
                <w:b/>
              </w:rPr>
              <w:t>Item 8.</w:t>
            </w:r>
          </w:p>
        </w:tc>
        <w:tc>
          <w:tcPr>
            <w:tcW w:w="93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Exhibit No.      Exhibit Description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4fc1566d1f21497d992b65559674607e"/>
      <w:bookmarkStart w:id="9" w:name="z4fc1566d1f21497d992b65559674607e"/>
      <w:bookmarkEnd w:id="9"/>
    </w:p>
    <w:tbl>
      <w:tblPr>
        <w:tblW w:w="10205" w:type="dxa"/>
        <w:jc w:val="left"/>
        <w:tblInd w:w="0" w:type="dxa"/>
        <w:tblLayout w:type="fixed"/>
        <w:tblCellMar>
          <w:top w:w="0" w:type="dxa"/>
          <w:left w:w="0" w:type="dxa"/>
          <w:bottom w:w="0" w:type="dxa"/>
          <w:right w:w="0" w:type="dxa"/>
        </w:tblCellMar>
      </w:tblPr>
      <w:tblGrid>
        <w:gridCol w:w="622"/>
        <w:gridCol w:w="9583"/>
      </w:tblGrid>
      <w:tr>
        <w:trPr/>
        <w:tc>
          <w:tcPr>
            <w:tcW w:w="622" w:type="dxa"/>
            <w:tcBorders/>
            <w:shd w:fill="CCEEFF" w:val="clear"/>
            <w:vAlign w:val="center"/>
          </w:tcPr>
          <w:p>
            <w:pPr>
              <w:pStyle w:val="TableContents"/>
              <w:bidi w:val="0"/>
              <w:spacing w:before="0" w:after="0"/>
              <w:jc w:val="left"/>
              <w:rPr/>
            </w:pPr>
            <w:r>
              <w:rPr/>
              <w:t>4.1</w:t>
            </w:r>
          </w:p>
        </w:tc>
        <w:tc>
          <w:tcPr>
            <w:tcW w:w="9583" w:type="dxa"/>
            <w:tcBorders/>
            <w:shd w:fill="CCEEFF" w:val="clear"/>
            <w:vAlign w:val="center"/>
          </w:tcPr>
          <w:p>
            <w:pPr>
              <w:pStyle w:val="TableContents"/>
              <w:bidi w:val="0"/>
              <w:spacing w:before="0" w:after="0"/>
              <w:jc w:val="left"/>
              <w:rPr/>
            </w:pPr>
            <w:hyperlink r:id="rId3">
              <w:r>
                <w:rPr>
                  <w:rStyle w:val="InternetLink"/>
                </w:rPr>
                <w:t>Amended and Restated Certificate of Incorporation of Academy Sports and Outdoors, Inc. (incorporated herein by reference to Exhibit 3.1 to the Company’s Current Report on Form 8-K filed with the Commission on October 6, 2020).</w:t>
              </w:r>
            </w:hyperlink>
          </w:p>
        </w:tc>
      </w:tr>
      <w:tr>
        <w:trPr/>
        <w:tc>
          <w:tcPr>
            <w:tcW w:w="622" w:type="dxa"/>
            <w:tcBorders/>
            <w:vAlign w:val="center"/>
          </w:tcPr>
          <w:p>
            <w:pPr>
              <w:pStyle w:val="TableContents"/>
              <w:bidi w:val="0"/>
              <w:spacing w:before="0" w:after="283"/>
              <w:jc w:val="left"/>
              <w:rPr/>
            </w:pPr>
            <w:r>
              <w:rPr/>
              <w:t> </w:t>
            </w:r>
          </w:p>
        </w:tc>
        <w:tc>
          <w:tcPr>
            <w:tcW w:w="9583" w:type="dxa"/>
            <w:tcBorders/>
            <w:vAlign w:val="center"/>
          </w:tcPr>
          <w:p>
            <w:pPr>
              <w:pStyle w:val="TableContents"/>
              <w:bidi w:val="0"/>
              <w:spacing w:before="0" w:after="283"/>
              <w:jc w:val="left"/>
              <w:rPr/>
            </w:pPr>
            <w:r>
              <w:rPr/>
              <w:t> </w:t>
            </w:r>
          </w:p>
        </w:tc>
      </w:tr>
      <w:tr>
        <w:trPr/>
        <w:tc>
          <w:tcPr>
            <w:tcW w:w="622" w:type="dxa"/>
            <w:tcBorders/>
            <w:shd w:fill="CCEEFF" w:val="clear"/>
            <w:vAlign w:val="center"/>
          </w:tcPr>
          <w:p>
            <w:pPr>
              <w:pStyle w:val="TableContents"/>
              <w:bidi w:val="0"/>
              <w:spacing w:before="0" w:after="0"/>
              <w:jc w:val="left"/>
              <w:rPr/>
            </w:pPr>
            <w:r>
              <w:rPr/>
              <w:t>4.2</w:t>
            </w:r>
          </w:p>
        </w:tc>
        <w:tc>
          <w:tcPr>
            <w:tcW w:w="9583" w:type="dxa"/>
            <w:tcBorders/>
            <w:shd w:fill="CCEEFF" w:val="clear"/>
            <w:vAlign w:val="center"/>
          </w:tcPr>
          <w:p>
            <w:pPr>
              <w:pStyle w:val="TableContents"/>
              <w:bidi w:val="0"/>
              <w:spacing w:before="0" w:after="0"/>
              <w:jc w:val="left"/>
              <w:rPr/>
            </w:pPr>
            <w:hyperlink r:id="rId4">
              <w:r>
                <w:rPr>
                  <w:rStyle w:val="InternetLink"/>
                </w:rPr>
                <w:t>Amended and Restated Bylaws of Academy Sports and Outdoors, Inc. (incorporated herein by reference to Exhibit 3.2 to the Company’s Quarterly Report on Form 10-Q filed with the Commission on December 7, 2022).</w:t>
              </w:r>
            </w:hyperlink>
          </w:p>
        </w:tc>
      </w:tr>
      <w:tr>
        <w:trPr/>
        <w:tc>
          <w:tcPr>
            <w:tcW w:w="622" w:type="dxa"/>
            <w:tcBorders/>
            <w:vAlign w:val="center"/>
          </w:tcPr>
          <w:p>
            <w:pPr>
              <w:pStyle w:val="TableContents"/>
              <w:bidi w:val="0"/>
              <w:spacing w:before="0" w:after="283"/>
              <w:jc w:val="left"/>
              <w:rPr/>
            </w:pPr>
            <w:r>
              <w:rPr/>
              <w:t> </w:t>
            </w:r>
          </w:p>
        </w:tc>
        <w:tc>
          <w:tcPr>
            <w:tcW w:w="9583" w:type="dxa"/>
            <w:tcBorders/>
            <w:vAlign w:val="center"/>
          </w:tcPr>
          <w:p>
            <w:pPr>
              <w:pStyle w:val="TableContents"/>
              <w:bidi w:val="0"/>
              <w:spacing w:before="0" w:after="283"/>
              <w:jc w:val="left"/>
              <w:rPr/>
            </w:pPr>
            <w:r>
              <w:rPr/>
              <w:t> </w:t>
            </w:r>
          </w:p>
        </w:tc>
      </w:tr>
      <w:tr>
        <w:trPr/>
        <w:tc>
          <w:tcPr>
            <w:tcW w:w="622" w:type="dxa"/>
            <w:tcBorders/>
            <w:shd w:fill="CCEEFF" w:val="clear"/>
            <w:vAlign w:val="center"/>
          </w:tcPr>
          <w:p>
            <w:pPr>
              <w:pStyle w:val="TableContents"/>
              <w:bidi w:val="0"/>
              <w:spacing w:before="0" w:after="0"/>
              <w:jc w:val="left"/>
              <w:rPr/>
            </w:pPr>
            <w:r>
              <w:rPr/>
              <w:t>4.3</w:t>
            </w:r>
          </w:p>
        </w:tc>
        <w:tc>
          <w:tcPr>
            <w:tcW w:w="9583" w:type="dxa"/>
            <w:tcBorders/>
            <w:shd w:fill="CCEEFF" w:val="clear"/>
            <w:vAlign w:val="center"/>
          </w:tcPr>
          <w:p>
            <w:pPr>
              <w:pStyle w:val="TableContents"/>
              <w:bidi w:val="0"/>
              <w:spacing w:before="0" w:after="0"/>
              <w:jc w:val="left"/>
              <w:rPr/>
            </w:pPr>
            <w:hyperlink r:id="rId5">
              <w:r>
                <w:rPr>
                  <w:rStyle w:val="InternetLink"/>
                </w:rPr>
                <w:t>Amended and Restated 2020 Omnibus Incentive Plan (incorporated herein by reference to Exhibit 10.1 to the Company’s Current Report on Form 8-K filed with the Commission on June 1, 2023).</w:t>
              </w:r>
            </w:hyperlink>
          </w:p>
        </w:tc>
      </w:tr>
      <w:tr>
        <w:trPr/>
        <w:tc>
          <w:tcPr>
            <w:tcW w:w="622" w:type="dxa"/>
            <w:tcBorders/>
            <w:vAlign w:val="center"/>
          </w:tcPr>
          <w:p>
            <w:pPr>
              <w:pStyle w:val="TableContents"/>
              <w:bidi w:val="0"/>
              <w:spacing w:before="0" w:after="283"/>
              <w:jc w:val="left"/>
              <w:rPr/>
            </w:pPr>
            <w:r>
              <w:rPr/>
              <w:t> </w:t>
            </w:r>
          </w:p>
        </w:tc>
        <w:tc>
          <w:tcPr>
            <w:tcW w:w="9583" w:type="dxa"/>
            <w:tcBorders/>
            <w:vAlign w:val="center"/>
          </w:tcPr>
          <w:p>
            <w:pPr>
              <w:pStyle w:val="TableContents"/>
              <w:bidi w:val="0"/>
              <w:spacing w:before="0" w:after="283"/>
              <w:jc w:val="left"/>
              <w:rPr/>
            </w:pPr>
            <w:r>
              <w:rPr/>
              <w:t> </w:t>
            </w:r>
          </w:p>
        </w:tc>
      </w:tr>
      <w:tr>
        <w:trPr/>
        <w:tc>
          <w:tcPr>
            <w:tcW w:w="622" w:type="dxa"/>
            <w:tcBorders/>
            <w:shd w:fill="CCEEFF" w:val="clear"/>
            <w:vAlign w:val="center"/>
          </w:tcPr>
          <w:p>
            <w:pPr>
              <w:pStyle w:val="TableContents"/>
              <w:bidi w:val="0"/>
              <w:spacing w:before="0" w:after="0"/>
              <w:jc w:val="left"/>
              <w:rPr/>
            </w:pPr>
            <w:r>
              <w:rPr/>
              <w:t>5.1*</w:t>
            </w:r>
          </w:p>
        </w:tc>
        <w:tc>
          <w:tcPr>
            <w:tcW w:w="9583" w:type="dxa"/>
            <w:tcBorders/>
            <w:shd w:fill="CCEEFF" w:val="clear"/>
            <w:vAlign w:val="center"/>
          </w:tcPr>
          <w:p>
            <w:pPr>
              <w:pStyle w:val="TableContents"/>
              <w:bidi w:val="0"/>
              <w:spacing w:before="0" w:after="0"/>
              <w:jc w:val="left"/>
              <w:rPr/>
            </w:pPr>
            <w:hyperlink w:anchor="brhc20058087_ex5-1.htm">
              <w:r>
                <w:rPr>
                  <w:rStyle w:val="InternetLink"/>
                </w:rPr>
                <w:t>Opinion of Gibson, Dunn &amp; Crutcher LLP.</w:t>
              </w:r>
            </w:hyperlink>
          </w:p>
        </w:tc>
      </w:tr>
      <w:tr>
        <w:trPr/>
        <w:tc>
          <w:tcPr>
            <w:tcW w:w="622" w:type="dxa"/>
            <w:tcBorders/>
            <w:vAlign w:val="center"/>
          </w:tcPr>
          <w:p>
            <w:pPr>
              <w:pStyle w:val="TableContents"/>
              <w:bidi w:val="0"/>
              <w:spacing w:before="0" w:after="283"/>
              <w:jc w:val="left"/>
              <w:rPr/>
            </w:pPr>
            <w:r>
              <w:rPr/>
              <w:t> </w:t>
            </w:r>
          </w:p>
        </w:tc>
        <w:tc>
          <w:tcPr>
            <w:tcW w:w="9583" w:type="dxa"/>
            <w:tcBorders/>
            <w:vAlign w:val="center"/>
          </w:tcPr>
          <w:p>
            <w:pPr>
              <w:pStyle w:val="TableContents"/>
              <w:bidi w:val="0"/>
              <w:spacing w:before="0" w:after="283"/>
              <w:jc w:val="left"/>
              <w:rPr/>
            </w:pPr>
            <w:r>
              <w:rPr/>
              <w:t> </w:t>
            </w:r>
          </w:p>
        </w:tc>
      </w:tr>
      <w:tr>
        <w:trPr/>
        <w:tc>
          <w:tcPr>
            <w:tcW w:w="622" w:type="dxa"/>
            <w:tcBorders/>
            <w:shd w:fill="CCEEFF" w:val="clear"/>
            <w:vAlign w:val="center"/>
          </w:tcPr>
          <w:p>
            <w:pPr>
              <w:pStyle w:val="TableContents"/>
              <w:bidi w:val="0"/>
              <w:spacing w:before="0" w:after="0"/>
              <w:jc w:val="left"/>
              <w:rPr/>
            </w:pPr>
            <w:r>
              <w:rPr/>
              <w:t>23.1*</w:t>
            </w:r>
          </w:p>
        </w:tc>
        <w:tc>
          <w:tcPr>
            <w:tcW w:w="9583" w:type="dxa"/>
            <w:tcBorders/>
            <w:shd w:fill="CCEEFF" w:val="clear"/>
            <w:vAlign w:val="center"/>
          </w:tcPr>
          <w:p>
            <w:pPr>
              <w:pStyle w:val="TableContents"/>
              <w:bidi w:val="0"/>
              <w:spacing w:before="0" w:after="0"/>
              <w:jc w:val="left"/>
              <w:rPr/>
            </w:pPr>
            <w:hyperlink w:anchor="brhc20058087_ex5-1.htm">
              <w:r>
                <w:rPr>
                  <w:rStyle w:val="InternetLink"/>
                </w:rPr>
                <w:t>Consent of Gibson, Dunn &amp; Crutcher LLP (included in Exhibit 5.1).</w:t>
              </w:r>
            </w:hyperlink>
          </w:p>
        </w:tc>
      </w:tr>
      <w:tr>
        <w:trPr/>
        <w:tc>
          <w:tcPr>
            <w:tcW w:w="622" w:type="dxa"/>
            <w:tcBorders/>
            <w:vAlign w:val="center"/>
          </w:tcPr>
          <w:p>
            <w:pPr>
              <w:pStyle w:val="TableContents"/>
              <w:bidi w:val="0"/>
              <w:spacing w:before="0" w:after="283"/>
              <w:jc w:val="left"/>
              <w:rPr/>
            </w:pPr>
            <w:r>
              <w:rPr/>
              <w:t> </w:t>
            </w:r>
          </w:p>
        </w:tc>
        <w:tc>
          <w:tcPr>
            <w:tcW w:w="9583" w:type="dxa"/>
            <w:tcBorders/>
            <w:vAlign w:val="center"/>
          </w:tcPr>
          <w:p>
            <w:pPr>
              <w:pStyle w:val="TableContents"/>
              <w:bidi w:val="0"/>
              <w:spacing w:before="0" w:after="283"/>
              <w:jc w:val="left"/>
              <w:rPr/>
            </w:pPr>
            <w:r>
              <w:rPr/>
              <w:t> </w:t>
            </w:r>
          </w:p>
        </w:tc>
      </w:tr>
      <w:tr>
        <w:trPr/>
        <w:tc>
          <w:tcPr>
            <w:tcW w:w="622" w:type="dxa"/>
            <w:tcBorders/>
            <w:shd w:fill="CCEEFF" w:val="clear"/>
            <w:vAlign w:val="center"/>
          </w:tcPr>
          <w:p>
            <w:pPr>
              <w:pStyle w:val="TableContents"/>
              <w:bidi w:val="0"/>
              <w:spacing w:before="0" w:after="0"/>
              <w:jc w:val="left"/>
              <w:rPr/>
            </w:pPr>
            <w:r>
              <w:rPr/>
              <w:t>23.2*</w:t>
            </w:r>
          </w:p>
        </w:tc>
        <w:tc>
          <w:tcPr>
            <w:tcW w:w="9583" w:type="dxa"/>
            <w:tcBorders/>
            <w:shd w:fill="CCEEFF" w:val="clear"/>
            <w:vAlign w:val="center"/>
          </w:tcPr>
          <w:p>
            <w:pPr>
              <w:pStyle w:val="TableContents"/>
              <w:bidi w:val="0"/>
              <w:spacing w:before="0" w:after="0"/>
              <w:jc w:val="left"/>
              <w:rPr/>
            </w:pPr>
            <w:hyperlink w:anchor="brhc20058087_ex23-2.htm">
              <w:r>
                <w:rPr>
                  <w:rStyle w:val="InternetLink"/>
                </w:rPr>
                <w:t>Consent of Deloitte &amp; Touche LLP, independent registered public accounting firm.</w:t>
              </w:r>
            </w:hyperlink>
          </w:p>
        </w:tc>
      </w:tr>
      <w:tr>
        <w:trPr/>
        <w:tc>
          <w:tcPr>
            <w:tcW w:w="622" w:type="dxa"/>
            <w:tcBorders/>
            <w:vAlign w:val="center"/>
          </w:tcPr>
          <w:p>
            <w:pPr>
              <w:pStyle w:val="TableContents"/>
              <w:bidi w:val="0"/>
              <w:spacing w:before="0" w:after="283"/>
              <w:jc w:val="left"/>
              <w:rPr/>
            </w:pPr>
            <w:r>
              <w:rPr/>
              <w:t> </w:t>
            </w:r>
          </w:p>
        </w:tc>
        <w:tc>
          <w:tcPr>
            <w:tcW w:w="9583" w:type="dxa"/>
            <w:tcBorders/>
            <w:vAlign w:val="center"/>
          </w:tcPr>
          <w:p>
            <w:pPr>
              <w:pStyle w:val="TableContents"/>
              <w:bidi w:val="0"/>
              <w:spacing w:before="0" w:after="283"/>
              <w:jc w:val="left"/>
              <w:rPr/>
            </w:pPr>
            <w:r>
              <w:rPr/>
              <w:t> </w:t>
            </w:r>
          </w:p>
        </w:tc>
      </w:tr>
      <w:tr>
        <w:trPr/>
        <w:tc>
          <w:tcPr>
            <w:tcW w:w="622" w:type="dxa"/>
            <w:tcBorders/>
            <w:shd w:fill="CCEEFF" w:val="clear"/>
            <w:vAlign w:val="center"/>
          </w:tcPr>
          <w:p>
            <w:pPr>
              <w:pStyle w:val="TableContents"/>
              <w:bidi w:val="0"/>
              <w:spacing w:before="0" w:after="0"/>
              <w:jc w:val="left"/>
              <w:rPr/>
            </w:pPr>
            <w:r>
              <w:rPr/>
              <w:t>24.1*</w:t>
            </w:r>
          </w:p>
        </w:tc>
        <w:tc>
          <w:tcPr>
            <w:tcW w:w="9583" w:type="dxa"/>
            <w:tcBorders/>
            <w:shd w:fill="CCEEFF" w:val="clear"/>
            <w:vAlign w:val="center"/>
          </w:tcPr>
          <w:p>
            <w:pPr>
              <w:pStyle w:val="TableContents"/>
              <w:bidi w:val="0"/>
              <w:spacing w:before="0" w:after="0"/>
              <w:jc w:val="left"/>
              <w:rPr/>
            </w:pPr>
            <w:hyperlink w:anchor="POWEROFATTORNEY">
              <w:r>
                <w:rPr>
                  <w:rStyle w:val="InternetLink"/>
                </w:rPr>
                <w:t>Power of Attorney (included on signature page hereto).</w:t>
              </w:r>
            </w:hyperlink>
          </w:p>
        </w:tc>
      </w:tr>
      <w:tr>
        <w:trPr/>
        <w:tc>
          <w:tcPr>
            <w:tcW w:w="622" w:type="dxa"/>
            <w:tcBorders/>
            <w:vAlign w:val="center"/>
          </w:tcPr>
          <w:p>
            <w:pPr>
              <w:pStyle w:val="TableContents"/>
              <w:bidi w:val="0"/>
              <w:spacing w:before="0" w:after="283"/>
              <w:jc w:val="left"/>
              <w:rPr/>
            </w:pPr>
            <w:r>
              <w:rPr/>
              <w:t> </w:t>
            </w:r>
          </w:p>
        </w:tc>
        <w:tc>
          <w:tcPr>
            <w:tcW w:w="9583" w:type="dxa"/>
            <w:tcBorders/>
            <w:vAlign w:val="center"/>
          </w:tcPr>
          <w:p>
            <w:pPr>
              <w:pStyle w:val="TableContents"/>
              <w:bidi w:val="0"/>
              <w:spacing w:before="0" w:after="283"/>
              <w:jc w:val="left"/>
              <w:rPr/>
            </w:pPr>
            <w:r>
              <w:rPr/>
              <w:t> </w:t>
            </w:r>
          </w:p>
        </w:tc>
      </w:tr>
      <w:tr>
        <w:trPr/>
        <w:tc>
          <w:tcPr>
            <w:tcW w:w="622" w:type="dxa"/>
            <w:tcBorders/>
            <w:shd w:fill="CCEEFF" w:val="clear"/>
            <w:vAlign w:val="center"/>
          </w:tcPr>
          <w:p>
            <w:pPr>
              <w:pStyle w:val="TableContents"/>
              <w:bidi w:val="0"/>
              <w:spacing w:before="0" w:after="0"/>
              <w:jc w:val="left"/>
              <w:rPr/>
            </w:pPr>
            <w:r>
              <w:rPr/>
              <w:t>107.1*</w:t>
            </w:r>
          </w:p>
        </w:tc>
        <w:tc>
          <w:tcPr>
            <w:tcW w:w="9583" w:type="dxa"/>
            <w:tcBorders/>
            <w:shd w:fill="CCEEFF" w:val="clear"/>
            <w:vAlign w:val="center"/>
          </w:tcPr>
          <w:p>
            <w:pPr>
              <w:pStyle w:val="TableContents"/>
              <w:bidi w:val="0"/>
              <w:spacing w:before="0" w:after="0"/>
              <w:jc w:val="left"/>
              <w:rPr/>
            </w:pPr>
            <w:hyperlink w:anchor="brhc20058087_ex107-1.htm">
              <w:r>
                <w:rPr>
                  <w:rStyle w:val="InternetLink"/>
                </w:rPr>
                <w:t>Filing Fee Table.</w:t>
              </w:r>
            </w:hyperlink>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herewith.</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 w:name="zd83b93d7819a4975be9017a6bd789b9c"/>
      <w:bookmarkStart w:id="11" w:name="zd83b93d7819a4975be9017a6bd789b9c"/>
      <w:bookmarkEnd w:id="11"/>
    </w:p>
    <w:tbl>
      <w:tblPr>
        <w:tblW w:w="2230" w:type="dxa"/>
        <w:jc w:val="left"/>
        <w:tblInd w:w="0" w:type="dxa"/>
        <w:tblLayout w:type="fixed"/>
        <w:tblCellMar>
          <w:top w:w="0" w:type="dxa"/>
          <w:left w:w="0" w:type="dxa"/>
          <w:bottom w:w="0" w:type="dxa"/>
          <w:right w:w="0" w:type="dxa"/>
        </w:tblCellMar>
      </w:tblPr>
      <w:tblGrid>
        <w:gridCol w:w="740"/>
        <w:gridCol w:w="1490"/>
      </w:tblGrid>
      <w:tr>
        <w:trPr/>
        <w:tc>
          <w:tcPr>
            <w:tcW w:w="740" w:type="dxa"/>
            <w:tcBorders/>
            <w:vAlign w:val="center"/>
          </w:tcPr>
          <w:p>
            <w:pPr>
              <w:pStyle w:val="TableContents"/>
              <w:bidi w:val="0"/>
              <w:spacing w:before="0" w:after="283"/>
              <w:jc w:val="left"/>
              <w:rPr>
                <w:b/>
              </w:rPr>
            </w:pPr>
            <w:r>
              <w:rPr>
                <w:b/>
              </w:rPr>
              <w:t>Item 9.</w:t>
            </w:r>
          </w:p>
        </w:tc>
        <w:tc>
          <w:tcPr>
            <w:tcW w:w="1490" w:type="dxa"/>
            <w:tcBorders/>
            <w:vAlign w:val="center"/>
          </w:tcPr>
          <w:p>
            <w:pPr>
              <w:pStyle w:val="TableContents"/>
              <w:bidi w:val="0"/>
              <w:spacing w:before="0" w:after="0"/>
              <w:jc w:val="left"/>
              <w:rPr>
                <w:b/>
              </w:rPr>
            </w:pPr>
            <w:r>
              <w:rPr>
                <w:b/>
              </w:rPr>
              <w:t>Undertakings.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spacing w:before="0" w:after="0"/>
        <w:jc w:val="left"/>
        <w:rPr>
          <w:color w:val="000000"/>
        </w:rPr>
      </w:pPr>
      <w:r>
        <w:rPr>
          <w:color w:val="000000"/>
        </w:rPr>
        <w:t> </w:t>
      </w:r>
    </w:p>
    <w:p>
      <w:pPr>
        <w:pStyle w:val="TextBody"/>
        <w:bidi w:val="0"/>
        <w:spacing w:before="0" w:after="0"/>
        <w:ind w:left="0" w:right="0" w:firstLine="916"/>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916"/>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916"/>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pStyle w:val="TextBody"/>
        <w:bidi w:val="0"/>
        <w:spacing w:before="0" w:after="0"/>
        <w:jc w:val="left"/>
        <w:rPr>
          <w:color w:val="000000"/>
        </w:rPr>
      </w:pPr>
      <w:r>
        <w:rPr>
          <w:color w:val="000000"/>
        </w:rPr>
        <w:t> </w:t>
      </w:r>
    </w:p>
    <w:p>
      <w:pPr>
        <w:pStyle w:val="TextBody"/>
        <w:bidi w:val="0"/>
        <w:spacing w:before="0" w:after="0"/>
        <w:ind w:left="0" w:right="0" w:firstLine="916"/>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 p</w:t>
      </w:r>
      <w:r>
        <w:rPr>
          <w:rFonts w:ascii="Times New Roman" w:hAnsi="Times New Roman"/>
          <w:i/>
          <w:color w:val="000000"/>
          <w:sz w:val="20"/>
        </w:rPr>
        <w:t xml:space="preserve">rovided, however, </w:t>
      </w:r>
      <w:r>
        <w:rPr>
          <w:rFonts w:ascii="Times New Roman" w:hAnsi="Times New Roman"/>
          <w:color w:val="000000"/>
          <w:sz w:val="20"/>
        </w:rPr>
        <w:t>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916"/>
        <w:jc w:val="left"/>
        <w:rPr>
          <w:rFonts w:ascii="Times New Roman" w:hAnsi="Times New Roman"/>
          <w:color w:val="000000"/>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 and</w:t>
      </w:r>
    </w:p>
    <w:p>
      <w:pPr>
        <w:pStyle w:val="TextBody"/>
        <w:bidi w:val="0"/>
        <w:spacing w:before="0" w:after="0"/>
        <w:jc w:val="left"/>
        <w:rPr>
          <w:color w:val="000000"/>
        </w:rPr>
      </w:pPr>
      <w:r>
        <w:rPr>
          <w:color w:val="000000"/>
        </w:rPr>
        <w:t> </w:t>
      </w:r>
    </w:p>
    <w:p>
      <w:pPr>
        <w:pStyle w:val="TextBody"/>
        <w:bidi w:val="0"/>
        <w:spacing w:before="0" w:after="0"/>
        <w:ind w:left="0" w:right="0" w:firstLine="916"/>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Katy, Texas, on August 31, 2023.</w:t>
      </w:r>
    </w:p>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12" w:name="zf04badd8534041108edad253f7d0464d"/>
      <w:bookmarkStart w:id="13" w:name="zf04badd8534041108edad253f7d0464d"/>
      <w:bookmarkEnd w:id="13"/>
    </w:p>
    <w:tbl>
      <w:tblPr>
        <w:tblW w:w="5845" w:type="dxa"/>
        <w:jc w:val="left"/>
        <w:tblInd w:w="0" w:type="dxa"/>
        <w:tblLayout w:type="fixed"/>
        <w:tblCellMar>
          <w:top w:w="0" w:type="dxa"/>
          <w:left w:w="0" w:type="dxa"/>
          <w:bottom w:w="0" w:type="dxa"/>
          <w:right w:w="0" w:type="dxa"/>
        </w:tblCellMar>
      </w:tblPr>
      <w:tblGrid>
        <w:gridCol w:w="60"/>
        <w:gridCol w:w="650"/>
        <w:gridCol w:w="5135"/>
      </w:tblGrid>
      <w:tr>
        <w:trPr/>
        <w:tc>
          <w:tcPr>
            <w:tcW w:w="60" w:type="dxa"/>
            <w:tcBorders/>
            <w:vAlign w:val="center"/>
          </w:tcPr>
          <w:p>
            <w:pPr>
              <w:pStyle w:val="TableContents"/>
              <w:bidi w:val="0"/>
              <w:spacing w:before="0" w:after="283"/>
              <w:jc w:val="left"/>
              <w:rPr/>
            </w:pPr>
            <w:r>
              <w:rPr/>
              <w:t> </w:t>
            </w:r>
          </w:p>
        </w:tc>
        <w:tc>
          <w:tcPr>
            <w:tcW w:w="5785" w:type="dxa"/>
            <w:gridSpan w:val="2"/>
            <w:tcBorders/>
            <w:vAlign w:val="center"/>
          </w:tcPr>
          <w:p>
            <w:pPr>
              <w:pStyle w:val="TableContents"/>
              <w:bidi w:val="0"/>
              <w:spacing w:before="0" w:after="0"/>
              <w:jc w:val="left"/>
              <w:rPr>
                <w:b/>
                <w:color w:val="000000"/>
              </w:rPr>
            </w:pPr>
            <w:r>
              <w:rPr>
                <w:b/>
                <w:color w:val="000000"/>
              </w:rPr>
              <w:t>ACADEMY SPORTS AND OUTDOORS, INC.</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240" w:right="0" w:hanging="240"/>
              <w:jc w:val="left"/>
              <w:rPr>
                <w:color w:val="000000"/>
              </w:rPr>
            </w:pPr>
            <w:r>
              <w:rPr>
                <w:color w:val="000000"/>
              </w:rPr>
              <w:t>By:</w:t>
            </w:r>
          </w:p>
        </w:tc>
        <w:tc>
          <w:tcPr>
            <w:tcW w:w="513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Rene G. Casares</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240" w:right="0" w:hanging="240"/>
              <w:jc w:val="left"/>
              <w:rPr>
                <w:color w:val="000000"/>
              </w:rPr>
            </w:pPr>
            <w:r>
              <w:rPr>
                <w:color w:val="000000"/>
              </w:rPr>
              <w:t>Name:</w:t>
            </w:r>
          </w:p>
        </w:tc>
        <w:tc>
          <w:tcPr>
            <w:tcW w:w="5135" w:type="dxa"/>
            <w:tcBorders/>
            <w:vAlign w:val="center"/>
          </w:tcPr>
          <w:p>
            <w:pPr>
              <w:pStyle w:val="TableContents"/>
              <w:bidi w:val="0"/>
              <w:spacing w:before="0" w:after="0"/>
              <w:jc w:val="left"/>
              <w:rPr>
                <w:color w:val="000000"/>
              </w:rPr>
            </w:pPr>
            <w:r>
              <w:rPr>
                <w:color w:val="000000"/>
              </w:rPr>
              <w:t>Rene G. Casares</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240" w:right="0" w:hanging="240"/>
              <w:jc w:val="left"/>
              <w:rPr>
                <w:color w:val="000000"/>
              </w:rPr>
            </w:pPr>
            <w:r>
              <w:rPr>
                <w:color w:val="000000"/>
              </w:rPr>
              <w:t>Title:</w:t>
            </w:r>
          </w:p>
        </w:tc>
        <w:tc>
          <w:tcPr>
            <w:tcW w:w="5135" w:type="dxa"/>
            <w:tcBorders/>
            <w:vAlign w:val="center"/>
          </w:tcPr>
          <w:p>
            <w:pPr>
              <w:pStyle w:val="TableContents"/>
              <w:bidi w:val="0"/>
              <w:spacing w:before="0" w:after="0"/>
              <w:jc w:val="left"/>
              <w:rPr>
                <w:color w:val="000000"/>
              </w:rPr>
            </w:pPr>
            <w:r>
              <w:rPr>
                <w:color w:val="000000"/>
              </w:rPr>
              <w:t>Senior Vice President, General Counsel and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bookmarkStart w:id="14" w:name="POWEROFATTORNEY"/>
      <w:bookmarkEnd w:id="14"/>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Michael P. Mullican, Earl Carlton Ford, IV,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Academy Sports and Outdoors,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Academy Sports and Outdoors,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 indicated.</w:t>
      </w:r>
    </w:p>
    <w:p>
      <w:pPr>
        <w:pStyle w:val="HorizontalLine"/>
        <w:pBdr>
          <w:bottom w:val="single" w:sz="12" w:space="0" w:color="808080"/>
        </w:pBdr>
        <w:bidi w:val="0"/>
        <w:spacing w:before="200" w:after="200"/>
        <w:jc w:val="left"/>
        <w:rPr/>
      </w:pPr>
      <w:r>
        <w:rPr/>
      </w:r>
    </w:p>
    <w:tbl>
      <w:tblPr>
        <w:tblW w:w="9240" w:type="dxa"/>
        <w:jc w:val="left"/>
        <w:tblInd w:w="0" w:type="dxa"/>
        <w:tblLayout w:type="fixed"/>
        <w:tblCellMar>
          <w:top w:w="0" w:type="dxa"/>
          <w:left w:w="0" w:type="dxa"/>
          <w:bottom w:w="0" w:type="dxa"/>
          <w:right w:w="0" w:type="dxa"/>
        </w:tblCellMar>
      </w:tblPr>
      <w:tblGrid>
        <w:gridCol w:w="2330"/>
        <w:gridCol w:w="5300"/>
        <w:gridCol w:w="1610"/>
      </w:tblGrid>
      <w:tr>
        <w:trPr/>
        <w:tc>
          <w:tcPr>
            <w:tcW w:w="2330" w:type="dxa"/>
            <w:tcBorders/>
            <w:vAlign w:val="center"/>
          </w:tcPr>
          <w:p>
            <w:pPr>
              <w:pStyle w:val="TableContents"/>
              <w:bidi w:val="0"/>
              <w:spacing w:before="0" w:after="0"/>
              <w:jc w:val="left"/>
              <w:rPr>
                <w:color w:val="000000"/>
                <w:u w:val="single"/>
              </w:rPr>
            </w:pPr>
            <w:r>
              <w:rPr>
                <w:color w:val="000000"/>
                <w:u w:val="single"/>
              </w:rPr>
              <w:t>Signature</w:t>
            </w:r>
          </w:p>
        </w:tc>
        <w:tc>
          <w:tcPr>
            <w:tcW w:w="5300" w:type="dxa"/>
            <w:tcBorders/>
            <w:vAlign w:val="center"/>
          </w:tcPr>
          <w:p>
            <w:pPr>
              <w:pStyle w:val="TableContents"/>
              <w:bidi w:val="0"/>
              <w:spacing w:before="0" w:after="0"/>
              <w:jc w:val="left"/>
              <w:rPr>
                <w:color w:val="000000"/>
                <w:u w:val="single"/>
              </w:rPr>
            </w:pPr>
            <w:r>
              <w:rPr>
                <w:color w:val="000000"/>
                <w:u w:val="single"/>
              </w:rPr>
              <w:t>Title</w:t>
            </w:r>
          </w:p>
        </w:tc>
        <w:tc>
          <w:tcPr>
            <w:tcW w:w="1610" w:type="dxa"/>
            <w:tcBorders/>
            <w:vAlign w:val="center"/>
          </w:tcPr>
          <w:p>
            <w:pPr>
              <w:pStyle w:val="TableContents"/>
              <w:bidi w:val="0"/>
              <w:spacing w:before="0" w:after="0"/>
              <w:jc w:val="left"/>
              <w:rPr>
                <w:color w:val="000000"/>
                <w:u w:val="single"/>
              </w:rPr>
            </w:pPr>
            <w:r>
              <w:rPr>
                <w:color w:val="000000"/>
                <w:u w:val="single"/>
              </w:rPr>
              <w:t>Date</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Steve P. Lawrence</w:t>
            </w:r>
          </w:p>
          <w:p>
            <w:pPr>
              <w:pStyle w:val="TableContents"/>
              <w:bidi w:val="0"/>
              <w:spacing w:before="0" w:after="0"/>
              <w:jc w:val="left"/>
              <w:rPr>
                <w:color w:val="000000"/>
              </w:rPr>
            </w:pPr>
            <w:r>
              <w:rPr>
                <w:color w:val="000000"/>
              </w:rPr>
              <w:t>Steve P. Lawrence</w:t>
            </w:r>
          </w:p>
        </w:tc>
        <w:tc>
          <w:tcPr>
            <w:tcW w:w="5300" w:type="dxa"/>
            <w:tcBorders/>
            <w:vAlign w:val="center"/>
          </w:tcPr>
          <w:p>
            <w:pPr>
              <w:pStyle w:val="TableContents"/>
              <w:bidi w:val="0"/>
              <w:spacing w:before="0" w:after="0"/>
              <w:jc w:val="left"/>
              <w:rPr>
                <w:color w:val="000000"/>
              </w:rPr>
            </w:pPr>
            <w:r>
              <w:rPr>
                <w:color w:val="000000"/>
              </w:rPr>
              <w:t>Chief Executive Officer and Director</w:t>
            </w:r>
          </w:p>
          <w:p>
            <w:pPr>
              <w:pStyle w:val="TableContents"/>
              <w:bidi w:val="0"/>
              <w:spacing w:before="0" w:after="0"/>
              <w:jc w:val="left"/>
              <w:rPr>
                <w:color w:val="000000"/>
              </w:rPr>
            </w:pPr>
            <w:r>
              <w:rPr>
                <w:color w:val="000000"/>
              </w:rPr>
              <w:t>(</w:t>
            </w:r>
            <w:r>
              <w:rPr>
                <w:i/>
                <w:color w:val="000000"/>
              </w:rPr>
              <w:t>Principal Executive Officer</w:t>
            </w:r>
            <w:r>
              <w:rPr>
                <w:color w:val="000000"/>
              </w:rPr>
              <w:t>)</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Earl Carlton Ford, IV</w:t>
            </w:r>
          </w:p>
          <w:p>
            <w:pPr>
              <w:pStyle w:val="TableContents"/>
              <w:bidi w:val="0"/>
              <w:spacing w:before="0" w:after="0"/>
              <w:jc w:val="left"/>
              <w:rPr>
                <w:color w:val="000000"/>
              </w:rPr>
            </w:pPr>
            <w:r>
              <w:rPr>
                <w:color w:val="000000"/>
              </w:rPr>
              <w:t>Earl Carlton Ford, IV</w:t>
            </w:r>
          </w:p>
        </w:tc>
        <w:tc>
          <w:tcPr>
            <w:tcW w:w="5300" w:type="dxa"/>
            <w:tcBorders/>
            <w:vAlign w:val="center"/>
          </w:tcPr>
          <w:p>
            <w:pPr>
              <w:pStyle w:val="TableContents"/>
              <w:bidi w:val="0"/>
              <w:spacing w:before="0" w:after="0"/>
              <w:jc w:val="left"/>
              <w:rPr>
                <w:color w:val="000000"/>
              </w:rPr>
            </w:pPr>
            <w:r>
              <w:rPr>
                <w:color w:val="000000"/>
              </w:rPr>
              <w:t>Executive Vice President and Chief Financial Officer</w:t>
            </w:r>
          </w:p>
          <w:p>
            <w:pPr>
              <w:pStyle w:val="TableContents"/>
              <w:bidi w:val="0"/>
              <w:spacing w:before="0" w:after="0"/>
              <w:jc w:val="left"/>
              <w:rPr>
                <w:color w:val="000000"/>
              </w:rPr>
            </w:pPr>
            <w:r>
              <w:rPr>
                <w:color w:val="000000"/>
              </w:rPr>
              <w:t>(</w:t>
            </w:r>
            <w:r>
              <w:rPr>
                <w:i/>
                <w:color w:val="000000"/>
              </w:rPr>
              <w:t>Principal Financial Officer</w:t>
            </w:r>
            <w:r>
              <w:rPr>
                <w:color w:val="000000"/>
              </w:rPr>
              <w:t>)</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Heather A. Davis</w:t>
            </w:r>
          </w:p>
          <w:p>
            <w:pPr>
              <w:pStyle w:val="TableContents"/>
              <w:bidi w:val="0"/>
              <w:spacing w:before="0" w:after="0"/>
              <w:jc w:val="left"/>
              <w:rPr>
                <w:color w:val="000000"/>
              </w:rPr>
            </w:pPr>
            <w:r>
              <w:rPr>
                <w:color w:val="000000"/>
              </w:rPr>
              <w:t>Heather A. Davis</w:t>
            </w:r>
          </w:p>
        </w:tc>
        <w:tc>
          <w:tcPr>
            <w:tcW w:w="5300" w:type="dxa"/>
            <w:tcBorders/>
            <w:vAlign w:val="center"/>
          </w:tcPr>
          <w:p>
            <w:pPr>
              <w:pStyle w:val="TableContents"/>
              <w:bidi w:val="0"/>
              <w:spacing w:before="0" w:after="0"/>
              <w:jc w:val="left"/>
              <w:rPr>
                <w:color w:val="000000"/>
              </w:rPr>
            </w:pPr>
            <w:r>
              <w:rPr>
                <w:color w:val="000000"/>
              </w:rPr>
              <w:t>Senior Vice President of Accounting, Treasury and Tax</w:t>
            </w:r>
          </w:p>
          <w:p>
            <w:pPr>
              <w:pStyle w:val="TableContents"/>
              <w:bidi w:val="0"/>
              <w:spacing w:before="0" w:after="0"/>
              <w:jc w:val="left"/>
              <w:rPr>
                <w:color w:val="000000"/>
              </w:rPr>
            </w:pPr>
            <w:r>
              <w:rPr>
                <w:color w:val="000000"/>
              </w:rPr>
              <w:t>(</w:t>
            </w:r>
            <w:r>
              <w:rPr>
                <w:i/>
                <w:color w:val="000000"/>
              </w:rPr>
              <w:t>Principal Accounting Officer</w:t>
            </w:r>
            <w:r>
              <w:rPr>
                <w:color w:val="000000"/>
              </w:rPr>
              <w:t>)</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Ken C. Hicks</w:t>
            </w:r>
          </w:p>
          <w:p>
            <w:pPr>
              <w:pStyle w:val="TableContents"/>
              <w:bidi w:val="0"/>
              <w:spacing w:before="0" w:after="0"/>
              <w:jc w:val="left"/>
              <w:rPr>
                <w:color w:val="000000"/>
              </w:rPr>
            </w:pPr>
            <w:r>
              <w:rPr>
                <w:color w:val="000000"/>
              </w:rPr>
              <w:t>Ken C. Hicks</w:t>
            </w:r>
          </w:p>
        </w:tc>
        <w:tc>
          <w:tcPr>
            <w:tcW w:w="5300" w:type="dxa"/>
            <w:tcBorders/>
            <w:vAlign w:val="center"/>
          </w:tcPr>
          <w:p>
            <w:pPr>
              <w:pStyle w:val="TableContents"/>
              <w:bidi w:val="0"/>
              <w:spacing w:before="0" w:after="0"/>
              <w:jc w:val="left"/>
              <w:rPr>
                <w:color w:val="000000"/>
              </w:rPr>
            </w:pPr>
            <w:r>
              <w:rPr>
                <w:color w:val="000000"/>
              </w:rPr>
              <w:t>Executive Chairman and Director</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Wendy A. Beck</w:t>
            </w:r>
          </w:p>
          <w:p>
            <w:pPr>
              <w:pStyle w:val="TableContents"/>
              <w:bidi w:val="0"/>
              <w:spacing w:before="0" w:after="0"/>
              <w:jc w:val="left"/>
              <w:rPr>
                <w:color w:val="000000"/>
              </w:rPr>
            </w:pPr>
            <w:r>
              <w:rPr>
                <w:color w:val="000000"/>
              </w:rPr>
              <w:t>Wendy A. Beck</w:t>
            </w:r>
          </w:p>
        </w:tc>
        <w:tc>
          <w:tcPr>
            <w:tcW w:w="5300" w:type="dxa"/>
            <w:tcBorders/>
            <w:vAlign w:val="center"/>
          </w:tcPr>
          <w:p>
            <w:pPr>
              <w:pStyle w:val="TableContents"/>
              <w:bidi w:val="0"/>
              <w:spacing w:before="0" w:after="0"/>
              <w:jc w:val="left"/>
              <w:rPr>
                <w:color w:val="000000"/>
              </w:rPr>
            </w:pPr>
            <w:r>
              <w:rPr>
                <w:color w:val="000000"/>
              </w:rPr>
              <w:t>Director</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Brian T. Marley</w:t>
            </w:r>
          </w:p>
          <w:p>
            <w:pPr>
              <w:pStyle w:val="TableContents"/>
              <w:bidi w:val="0"/>
              <w:spacing w:before="0" w:after="0"/>
              <w:jc w:val="left"/>
              <w:rPr>
                <w:color w:val="000000"/>
              </w:rPr>
            </w:pPr>
            <w:r>
              <w:rPr>
                <w:color w:val="000000"/>
              </w:rPr>
              <w:t>Brian T. Marley</w:t>
            </w:r>
          </w:p>
        </w:tc>
        <w:tc>
          <w:tcPr>
            <w:tcW w:w="5300" w:type="dxa"/>
            <w:tcBorders/>
            <w:vAlign w:val="center"/>
          </w:tcPr>
          <w:p>
            <w:pPr>
              <w:pStyle w:val="TableContents"/>
              <w:bidi w:val="0"/>
              <w:spacing w:before="0" w:after="0"/>
              <w:jc w:val="left"/>
              <w:rPr>
                <w:color w:val="000000"/>
              </w:rPr>
            </w:pPr>
            <w:r>
              <w:rPr>
                <w:color w:val="000000"/>
              </w:rPr>
              <w:t>Director</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Tom M. Nealon</w:t>
            </w:r>
          </w:p>
          <w:p>
            <w:pPr>
              <w:pStyle w:val="TableContents"/>
              <w:bidi w:val="0"/>
              <w:spacing w:before="0" w:after="0"/>
              <w:jc w:val="left"/>
              <w:rPr>
                <w:color w:val="000000"/>
              </w:rPr>
            </w:pPr>
            <w:r>
              <w:rPr>
                <w:color w:val="000000"/>
              </w:rPr>
              <w:t>Tom M. Nealon</w:t>
            </w:r>
          </w:p>
        </w:tc>
        <w:tc>
          <w:tcPr>
            <w:tcW w:w="5300" w:type="dxa"/>
            <w:tcBorders/>
            <w:vAlign w:val="center"/>
          </w:tcPr>
          <w:p>
            <w:pPr>
              <w:pStyle w:val="TableContents"/>
              <w:bidi w:val="0"/>
              <w:spacing w:before="0" w:after="0"/>
              <w:jc w:val="left"/>
              <w:rPr>
                <w:color w:val="000000"/>
              </w:rPr>
            </w:pPr>
            <w:r>
              <w:rPr>
                <w:color w:val="000000"/>
              </w:rPr>
              <w:t>Director</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Theresa E. Palermo</w:t>
            </w:r>
          </w:p>
          <w:p>
            <w:pPr>
              <w:pStyle w:val="TableContents"/>
              <w:bidi w:val="0"/>
              <w:spacing w:before="0" w:after="0"/>
              <w:jc w:val="left"/>
              <w:rPr>
                <w:color w:val="000000"/>
              </w:rPr>
            </w:pPr>
            <w:r>
              <w:rPr>
                <w:color w:val="000000"/>
              </w:rPr>
              <w:t>Theresa E. Palermo</w:t>
            </w:r>
          </w:p>
        </w:tc>
        <w:tc>
          <w:tcPr>
            <w:tcW w:w="5300" w:type="dxa"/>
            <w:tcBorders/>
            <w:vAlign w:val="center"/>
          </w:tcPr>
          <w:p>
            <w:pPr>
              <w:pStyle w:val="TableContents"/>
              <w:bidi w:val="0"/>
              <w:spacing w:before="0" w:after="0"/>
              <w:jc w:val="left"/>
              <w:rPr>
                <w:color w:val="000000"/>
              </w:rPr>
            </w:pPr>
            <w:r>
              <w:rPr>
                <w:color w:val="000000"/>
              </w:rPr>
              <w:t>Director</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Beryl B. Raff</w:t>
            </w:r>
          </w:p>
          <w:p>
            <w:pPr>
              <w:pStyle w:val="TableContents"/>
              <w:bidi w:val="0"/>
              <w:spacing w:before="0" w:after="0"/>
              <w:jc w:val="left"/>
              <w:rPr>
                <w:color w:val="000000"/>
              </w:rPr>
            </w:pPr>
            <w:r>
              <w:rPr>
                <w:color w:val="000000"/>
              </w:rPr>
              <w:t>Beryl B. Raff</w:t>
            </w:r>
          </w:p>
        </w:tc>
        <w:tc>
          <w:tcPr>
            <w:tcW w:w="5300" w:type="dxa"/>
            <w:tcBorders/>
            <w:vAlign w:val="center"/>
          </w:tcPr>
          <w:p>
            <w:pPr>
              <w:pStyle w:val="TableContents"/>
              <w:bidi w:val="0"/>
              <w:spacing w:before="0" w:after="0"/>
              <w:jc w:val="left"/>
              <w:rPr>
                <w:color w:val="000000"/>
              </w:rPr>
            </w:pPr>
            <w:r>
              <w:rPr>
                <w:color w:val="000000"/>
              </w:rPr>
              <w:t>Director</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Chris L. Turner</w:t>
            </w:r>
          </w:p>
          <w:p>
            <w:pPr>
              <w:pStyle w:val="TableContents"/>
              <w:bidi w:val="0"/>
              <w:spacing w:before="0" w:after="0"/>
              <w:jc w:val="left"/>
              <w:rPr>
                <w:color w:val="000000"/>
              </w:rPr>
            </w:pPr>
            <w:r>
              <w:rPr>
                <w:color w:val="000000"/>
              </w:rPr>
              <w:t>Chris L. Turner</w:t>
            </w:r>
          </w:p>
        </w:tc>
        <w:tc>
          <w:tcPr>
            <w:tcW w:w="5300" w:type="dxa"/>
            <w:tcBorders/>
            <w:vAlign w:val="center"/>
          </w:tcPr>
          <w:p>
            <w:pPr>
              <w:pStyle w:val="TableContents"/>
              <w:bidi w:val="0"/>
              <w:spacing w:before="0" w:after="0"/>
              <w:jc w:val="left"/>
              <w:rPr>
                <w:color w:val="000000"/>
              </w:rPr>
            </w:pPr>
            <w:r>
              <w:rPr>
                <w:color w:val="000000"/>
              </w:rPr>
              <w:t>Director</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Sharen J. Turney</w:t>
            </w:r>
          </w:p>
          <w:p>
            <w:pPr>
              <w:pStyle w:val="TableContents"/>
              <w:bidi w:val="0"/>
              <w:spacing w:before="0" w:after="0"/>
              <w:jc w:val="left"/>
              <w:rPr>
                <w:color w:val="000000"/>
              </w:rPr>
            </w:pPr>
            <w:r>
              <w:rPr>
                <w:color w:val="000000"/>
              </w:rPr>
              <w:t>Sharen J. Turney</w:t>
            </w:r>
          </w:p>
        </w:tc>
        <w:tc>
          <w:tcPr>
            <w:tcW w:w="5300" w:type="dxa"/>
            <w:tcBorders/>
            <w:vAlign w:val="center"/>
          </w:tcPr>
          <w:p>
            <w:pPr>
              <w:pStyle w:val="TableContents"/>
              <w:bidi w:val="0"/>
              <w:spacing w:before="0" w:after="0"/>
              <w:jc w:val="left"/>
              <w:rPr>
                <w:color w:val="000000"/>
              </w:rPr>
            </w:pPr>
            <w:r>
              <w:rPr>
                <w:color w:val="000000"/>
              </w:rPr>
              <w:t>Director</w:t>
            </w:r>
          </w:p>
        </w:tc>
        <w:tc>
          <w:tcPr>
            <w:tcW w:w="1610" w:type="dxa"/>
            <w:tcBorders/>
            <w:vAlign w:val="center"/>
          </w:tcPr>
          <w:p>
            <w:pPr>
              <w:pStyle w:val="TableContents"/>
              <w:bidi w:val="0"/>
              <w:spacing w:before="0" w:after="0"/>
              <w:jc w:val="left"/>
              <w:rPr>
                <w:color w:val="000000"/>
              </w:rPr>
            </w:pPr>
            <w:r>
              <w:rPr>
                <w:color w:val="000000"/>
              </w:rPr>
              <w:t>August 31, 2023</w:t>
            </w:r>
          </w:p>
        </w:tc>
      </w:tr>
      <w:tr>
        <w:trPr/>
        <w:tc>
          <w:tcPr>
            <w:tcW w:w="233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color w:val="000000"/>
                <w:u w:val="single"/>
              </w:rPr>
            </w:pPr>
            <w:r>
              <w:rPr>
                <w:color w:val="000000"/>
                <w:u w:val="single"/>
              </w:rPr>
              <w:t>/s/ Jeff C. Tweedy</w:t>
            </w:r>
          </w:p>
          <w:p>
            <w:pPr>
              <w:pStyle w:val="TableContents"/>
              <w:bidi w:val="0"/>
              <w:spacing w:before="0" w:after="0"/>
              <w:jc w:val="left"/>
              <w:rPr>
                <w:color w:val="000000"/>
              </w:rPr>
            </w:pPr>
            <w:r>
              <w:rPr>
                <w:color w:val="000000"/>
              </w:rPr>
              <w:t>Jeff C. Tweedy</w:t>
            </w:r>
          </w:p>
        </w:tc>
        <w:tc>
          <w:tcPr>
            <w:tcW w:w="5300" w:type="dxa"/>
            <w:tcBorders/>
            <w:vAlign w:val="center"/>
          </w:tcPr>
          <w:p>
            <w:pPr>
              <w:pStyle w:val="TableContents"/>
              <w:bidi w:val="0"/>
              <w:spacing w:before="0" w:after="0"/>
              <w:jc w:val="left"/>
              <w:rPr>
                <w:color w:val="000000"/>
              </w:rPr>
            </w:pPr>
            <w:r>
              <w:rPr>
                <w:color w:val="000000"/>
              </w:rPr>
              <w:t>Director</w:t>
            </w:r>
          </w:p>
        </w:tc>
        <w:tc>
          <w:tcPr>
            <w:tcW w:w="1610" w:type="dxa"/>
            <w:tcBorders/>
            <w:vAlign w:val="center"/>
          </w:tcPr>
          <w:p>
            <w:pPr>
              <w:pStyle w:val="TableContents"/>
              <w:bidi w:val="0"/>
              <w:spacing w:before="0" w:after="0"/>
              <w:jc w:val="left"/>
              <w:rPr>
                <w:color w:val="000000"/>
              </w:rPr>
            </w:pPr>
            <w:r>
              <w:rPr>
                <w:color w:val="000000"/>
              </w:rPr>
              <w:t>August 31, 2023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 w:name="brhc20058087_ex5-1.htm"/>
      <w:bookmarkStart w:id="16" w:name="ksbrhc20058087_ex51"/>
      <w:bookmarkStart w:id="17" w:name="brhc20058087_ex5-1.htm"/>
      <w:bookmarkStart w:id="18" w:name="ksbrhc20058087_ex51"/>
      <w:bookmarkEnd w:id="17"/>
      <w:bookmarkEnd w:id="18"/>
      <w:r>
        <w:br w:type="page"/>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5.1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96efd6895dfc413ca8e052826824e311"/>
      <w:bookmarkStart w:id="20" w:name="z96efd6895dfc413ca8e052826824e311"/>
      <w:bookmarkEnd w:id="20"/>
    </w:p>
    <w:tbl>
      <w:tblPr>
        <w:tblW w:w="5040" w:type="dxa"/>
        <w:jc w:val="left"/>
        <w:tblInd w:w="0" w:type="dxa"/>
        <w:tblLayout w:type="fixed"/>
        <w:tblCellMar>
          <w:top w:w="0" w:type="dxa"/>
          <w:left w:w="0" w:type="dxa"/>
          <w:bottom w:w="0" w:type="dxa"/>
          <w:right w:w="0" w:type="dxa"/>
        </w:tblCellMar>
      </w:tblPr>
      <w:tblGrid>
        <w:gridCol w:w="3315"/>
        <w:gridCol w:w="1725"/>
      </w:tblGrid>
      <w:tr>
        <w:trPr/>
        <w:tc>
          <w:tcPr>
            <w:tcW w:w="3315" w:type="dxa"/>
            <w:tcBorders/>
            <w:vAlign w:val="center"/>
          </w:tcPr>
          <w:p>
            <w:pPr>
              <w:pStyle w:val="TableContents"/>
              <w:bidi w:val="0"/>
              <w:spacing w:before="0" w:after="0"/>
              <w:jc w:val="left"/>
              <w:rPr/>
            </w:pPr>
            <w:r>
              <w:rPr/>
              <w:drawing>
                <wp:inline distT="0" distB="0" distL="0" distR="0">
                  <wp:extent cx="2105025"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2105025" cy="304800"/>
                          </a:xfrm>
                          <a:prstGeom prst="rect">
                            <a:avLst/>
                          </a:prstGeom>
                        </pic:spPr>
                      </pic:pic>
                    </a:graphicData>
                  </a:graphic>
                </wp:inline>
              </w:drawing>
            </w:r>
          </w:p>
        </w:tc>
        <w:tc>
          <w:tcPr>
            <w:tcW w:w="1725" w:type="dxa"/>
            <w:tcBorders/>
            <w:vAlign w:val="center"/>
          </w:tcPr>
          <w:p>
            <w:pPr>
              <w:pStyle w:val="TableContents"/>
              <w:bidi w:val="0"/>
              <w:spacing w:before="0" w:after="0"/>
              <w:jc w:val="right"/>
              <w:rPr/>
            </w:pPr>
            <w:r>
              <w:rPr/>
              <w:drawing>
                <wp:inline distT="0" distB="0" distL="0" distR="0">
                  <wp:extent cx="109537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095375" cy="63817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bookmarkStart w:id="21" w:name="DeliveryMethods"/>
      <w:bookmarkEnd w:id="21"/>
      <w:r>
        <w:rPr>
          <w:rFonts w:ascii="Times New Roman" w:hAnsi="Times New Roman"/>
          <w:color w:val="000000"/>
          <w:sz w:val="20"/>
        </w:rPr>
        <w:t>August 31, 2023</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bookmarkStart w:id="22" w:name="Address"/>
      <w:bookmarkEnd w:id="22"/>
      <w:r>
        <w:rPr>
          <w:rFonts w:ascii="Times New Roman" w:hAnsi="Times New Roman"/>
          <w:color w:val="000000"/>
          <w:sz w:val="20"/>
        </w:rPr>
        <w:t>Academy Sports and Outdoors,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1800 North Mason Road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Katy, Texas 77449</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z7a62b5e5c049452da4b53f4321419f27"/>
      <w:bookmarkStart w:id="24" w:name="z7a62b5e5c049452da4b53f4321419f27"/>
      <w:bookmarkEnd w:id="24"/>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pPr>
            <w:bookmarkStart w:id="25" w:name="lblRe"/>
            <w:bookmarkEnd w:id="25"/>
            <w:r>
              <w:rPr/>
              <w:t>Re:</w:t>
            </w:r>
          </w:p>
        </w:tc>
        <w:tc>
          <w:tcPr>
            <w:tcW w:w="9872" w:type="dxa"/>
            <w:tcBorders/>
            <w:vAlign w:val="center"/>
          </w:tcPr>
          <w:p>
            <w:pPr>
              <w:pStyle w:val="TableContents"/>
              <w:bidi w:val="0"/>
              <w:spacing w:before="0" w:after="0"/>
              <w:jc w:val="left"/>
              <w:rPr/>
            </w:pPr>
            <w:r>
              <w:rPr/>
              <w:t>Proposed Offering of up to 2,600,000 Shares of Common Stock of Academy Sports and Outdoors, Inc. Pursuant to the Academy Sports and Outdoors, Inc. Amended and Restated 2020 Omnibus Incentive Plan</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26" w:name="Salutation"/>
      <w:bookmarkEnd w:id="26"/>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examined the Registration Statement on Form S-8 (the “Registration Statement”) of Academy Sports and Outdoors, Inc., a Delaware corporation (the “Company”), to be filed with the Securities and Exchange Commission (the “Commission”) pursuant to the Securities Act of 1933, as amended (the “Securities Act”), in connection with the offering by the Company of up to 2,600,000 shares of the Company’s Common Stock, par value $0.01 per share (the “Shares”), available for issuance pursuant to the Academy Sports and Outdoors, Inc. Amended and Restated 2020 Omnibus Incentive Plan (the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arriving at the opinion expressed below, we have examined originals, or copies certified or otherwise identified to our satisfaction as being true and complete copies of the originals, of the Plan and such other documents, corporate records of the Company, certificates of officers of the Company and of public officials and other documents as we have deemed necessary or advisable to enable us to render this opinion.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We have also assumed that there are no agreements or understandings between or among the Company and any participants in the Plan that would expand, modify or otherwise affect the terms of the Plan or the respective rights or obligations of the participants thereunder.  Finally, we have assumed the accuracy of all other information provided to us by the Company during the course of our investigations, on which we have relied in issuing the opinion expressed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Based upon the foregoing, and subject to the assumptions, exceptions, qualifications and limitations set forth herein and in reliance on the statements of fact contained in the documents that we have examined, we are of the opinion that the Shares, when issued and sold in accordance with the terms set forth in the Plan and against payment therefor, and when the Registration Statement has become effective under the Securities Act, will be validly issued, fully paid and non-assessable.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br/>
      </w:r>
      <w:r>
        <w:rPr>
          <w:rFonts w:ascii="Times New Roman" w:hAnsi="Times New Roman"/>
          <w:color w:val="000000"/>
          <w:sz w:val="20"/>
        </w:rPr>
        <w:drawing>
          <wp:inline distT="0" distB="0" distL="0" distR="0">
            <wp:extent cx="49530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4953000" cy="381000"/>
                    </a:xfrm>
                    <a:prstGeom prst="rect">
                      <a:avLst/>
                    </a:prstGeom>
                  </pic:spPr>
                </pic:pic>
              </a:graphicData>
            </a:graphic>
          </wp:inline>
        </w:drawing>
      </w:r>
      <w:r>
        <w:rPr>
          <w:rFonts w:ascii="Times New Roman" w:hAnsi="Times New Roman"/>
          <w:color w:val="000000"/>
          <w:sz w:val="20"/>
        </w:rPr>
        <w:t xml:space="preserve"> </w:t>
      </w:r>
    </w:p>
    <w:p>
      <w:pPr>
        <w:pStyle w:val="TextBody"/>
        <w:bidi w:val="0"/>
        <w:spacing w:before="0" w:after="0"/>
        <w:jc w:val="left"/>
        <w:rPr/>
      </w:pPr>
      <w:r>
        <w:rPr/>
      </w:r>
    </w:p>
    <w:p>
      <w:pPr>
        <w:pStyle w:val="HorizontalLine"/>
        <w:pBdr>
          <w:bottom w:val="single" w:sz="12" w:space="0" w:color="808080"/>
        </w:pBdr>
        <w:bidi w:val="0"/>
        <w:jc w:val="left"/>
        <w:rPr/>
      </w:pPr>
      <w:r>
        <w:rPr/>
      </w:r>
    </w:p>
    <w:tbl>
      <w:tblPr>
        <w:tblW w:w="3338" w:type="dxa"/>
        <w:jc w:val="left"/>
        <w:tblInd w:w="0" w:type="dxa"/>
        <w:tblLayout w:type="fixed"/>
        <w:tblCellMar>
          <w:top w:w="0" w:type="dxa"/>
          <w:left w:w="0" w:type="dxa"/>
          <w:bottom w:w="0" w:type="dxa"/>
          <w:right w:w="0" w:type="dxa"/>
        </w:tblCellMar>
      </w:tblPr>
      <w:tblGrid>
        <w:gridCol w:w="3315"/>
        <w:gridCol w:w="23"/>
      </w:tblGrid>
      <w:tr>
        <w:trPr/>
        <w:tc>
          <w:tcPr>
            <w:tcW w:w="3315" w:type="dxa"/>
            <w:tcBorders/>
            <w:vAlign w:val="center"/>
          </w:tcPr>
          <w:p>
            <w:pPr>
              <w:pStyle w:val="TableContents"/>
              <w:bidi w:val="0"/>
              <w:spacing w:before="0" w:after="0"/>
              <w:jc w:val="left"/>
              <w:rPr/>
            </w:pPr>
            <w:r>
              <w:rPr/>
              <w:drawing>
                <wp:inline distT="0" distB="0" distL="0" distR="0">
                  <wp:extent cx="2105025"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2105025" cy="304800"/>
                          </a:xfrm>
                          <a:prstGeom prst="rect">
                            <a:avLst/>
                          </a:prstGeom>
                        </pic:spPr>
                      </pic:pic>
                    </a:graphicData>
                  </a:graphic>
                </wp:inline>
              </w:drawing>
            </w:r>
          </w:p>
        </w:tc>
        <w:tc>
          <w:tcPr>
            <w:tcW w:w="23" w:type="dxa"/>
            <w:tcBorders/>
            <w:vAlign w:val="center"/>
          </w:tcPr>
          <w:p>
            <w:pPr>
              <w:pStyle w:val="TableContents"/>
              <w:bidi w:val="0"/>
              <w:spacing w:before="0" w:after="283"/>
              <w:jc w:val="left"/>
              <w:rPr/>
            </w:pPr>
            <w:r>
              <w:rPr/>
            </w:r>
          </w:p>
        </w:tc>
      </w:tr>
    </w:tbl>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render no opinion herein as to matters involving the laws of any jurisdiction other than the Delaware General Corporation Law (the “DGCL”).  This opinion is limited to the effect of the current state of the DGCL and to the facts as they currently exist.  We assume no obligation to revise or supplement this opinion in the event of future changes in such laws or the interpretations thereof or such facts.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consent to the filing of this opinion as an exhibit to the Registration Statement.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27" w:name="Closing"/>
      <w:bookmarkEnd w:id="27"/>
      <w:r>
        <w:rPr>
          <w:rFonts w:ascii="Times New Roman" w:hAnsi="Times New Roman"/>
          <w:color w:val="000000"/>
          <w:sz w:val="20"/>
        </w:rPr>
        <w:t>Very truly yours,</w:t>
      </w:r>
    </w:p>
    <w:p>
      <w:pPr>
        <w:pStyle w:val="TextBody"/>
        <w:bidi w:val="0"/>
        <w:spacing w:before="0" w:after="0"/>
        <w:jc w:val="left"/>
        <w:rPr/>
      </w:pPr>
      <w:r>
        <w:rPr/>
      </w:r>
      <w:bookmarkStart w:id="28" w:name="FromSignature"/>
      <w:bookmarkStart w:id="29" w:name="FromSignature"/>
      <w:bookmarkEnd w:id="29"/>
    </w:p>
    <w:p>
      <w:pPr>
        <w:pStyle w:val="TextBody"/>
        <w:bidi w:val="0"/>
        <w:spacing w:before="0" w:after="0"/>
        <w:jc w:val="left"/>
        <w:rPr>
          <w:rFonts w:ascii="Times New Roman" w:hAnsi="Times New Roman"/>
          <w:color w:val="000000"/>
          <w:sz w:val="20"/>
        </w:rPr>
      </w:pPr>
      <w:r>
        <w:rPr>
          <w:rFonts w:ascii="Times New Roman" w:hAnsi="Times New Roman"/>
          <w:color w:val="000000"/>
          <w:sz w:val="20"/>
        </w:rPr>
        <w:t>/s/ Gibson, Dunn &amp; Crutcher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Gibson, Dunn &amp; Crutcher LLP</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0" w:name="brhc20058087_ex23-2.htm"/>
      <w:bookmarkStart w:id="31" w:name="ksbrhc20058087_ex232"/>
      <w:bookmarkStart w:id="32" w:name="brhc20058087_ex23-2.htm"/>
      <w:bookmarkStart w:id="33" w:name="ksbrhc20058087_ex232"/>
      <w:bookmarkEnd w:id="32"/>
      <w:bookmarkEnd w:id="3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23.2</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of our reports dated March 16, 2023 relating to the financial statements of Academy Sports and Outdoors, Inc. and the effectiveness of Academy Sports and Outdoors, Inc.’s internal control over financial reporting, appearing in the Annual Report on Form 10-K of Academy Sports and Outdoors, Inc. for the year ended January 28, 2023.</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Houston, Texas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August 31, 2023</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4" w:name="brhc20058087_ex107-1.htm"/>
      <w:bookmarkStart w:id="35" w:name="ksbrhc20058087_ex1071"/>
      <w:bookmarkStart w:id="36" w:name="brhc20058087_ex107-1.htm"/>
      <w:bookmarkStart w:id="37" w:name="ksbrhc20058087_ex1071"/>
      <w:bookmarkEnd w:id="36"/>
      <w:bookmarkEnd w:id="37"/>
      <w:r>
        <w:br w:type="page"/>
      </w:r>
    </w:p>
    <w:p>
      <w:pPr>
        <w:pStyle w:val="TextBody"/>
        <w:bidi w:val="0"/>
        <w:spacing w:before="0" w:after="0"/>
        <w:jc w:val="right"/>
        <w:rPr>
          <w:rFonts w:ascii="Times New Roman" w:hAnsi="Times New Roman"/>
          <w:b/>
          <w:color w:val="000000"/>
          <w:sz w:val="20"/>
        </w:rPr>
      </w:pPr>
      <w:bookmarkStart w:id="38" w:name="z_Hlk139629531"/>
      <w:bookmarkEnd w:id="38"/>
      <w:r>
        <w:rPr>
          <w:rFonts w:ascii="Times New Roman" w:hAnsi="Times New Roman"/>
          <w:b/>
          <w:color w:val="000000"/>
          <w:sz w:val="20"/>
        </w:rPr>
        <w:t>Exhibit 107.1</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S-8</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ACADEMY SPORTS AND OUTDOORS,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Table 1: Newly Registered Securities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b332b6a48b42489eb96cb6877ab735df"/>
      <w:bookmarkStart w:id="40" w:name="zb332b6a48b42489eb96cb6877ab735df"/>
      <w:bookmarkEnd w:id="40"/>
    </w:p>
    <w:tbl>
      <w:tblPr>
        <w:tblW w:w="11215" w:type="dxa"/>
        <w:jc w:val="left"/>
        <w:tblInd w:w="0" w:type="dxa"/>
        <w:tblLayout w:type="fixed"/>
        <w:tblCellMar>
          <w:top w:w="28" w:type="dxa"/>
          <w:left w:w="0" w:type="dxa"/>
          <w:bottom w:w="28" w:type="dxa"/>
          <w:right w:w="0" w:type="dxa"/>
        </w:tblCellMar>
      </w:tblPr>
      <w:tblGrid>
        <w:gridCol w:w="860"/>
        <w:gridCol w:w="60"/>
        <w:gridCol w:w="1355"/>
        <w:gridCol w:w="60"/>
        <w:gridCol w:w="1610"/>
        <w:gridCol w:w="60"/>
        <w:gridCol w:w="1145"/>
        <w:gridCol w:w="60"/>
        <w:gridCol w:w="1625"/>
        <w:gridCol w:w="60"/>
        <w:gridCol w:w="1415"/>
        <w:gridCol w:w="60"/>
        <w:gridCol w:w="1100"/>
        <w:gridCol w:w="60"/>
        <w:gridCol w:w="1685"/>
      </w:tblGrid>
      <w:tr>
        <w:trPr/>
        <w:tc>
          <w:tcPr>
            <w:tcW w:w="860" w:type="dxa"/>
            <w:tcBorders>
              <w:top w:val="single" w:sz="12" w:space="0" w:color="000000"/>
              <w:bottom w:val="single" w:sz="12" w:space="0" w:color="000000"/>
            </w:tcBorders>
            <w:vAlign w:val="center"/>
          </w:tcPr>
          <w:p>
            <w:pPr>
              <w:pStyle w:val="TableContents"/>
              <w:bidi w:val="0"/>
              <w:spacing w:before="0" w:after="0"/>
              <w:jc w:val="center"/>
              <w:rPr>
                <w:b/>
                <w:color w:val="000000"/>
              </w:rPr>
            </w:pPr>
            <w:r>
              <w:rPr>
                <w:b/>
                <w:color w:val="000000"/>
              </w:rPr>
              <w:t>Security</w:t>
            </w:r>
          </w:p>
          <w:p>
            <w:pPr>
              <w:pStyle w:val="TableContents"/>
              <w:bidi w:val="0"/>
              <w:spacing w:before="0" w:after="0"/>
              <w:jc w:val="center"/>
              <w:rPr>
                <w:b/>
                <w:color w:val="000000"/>
              </w:rPr>
            </w:pPr>
            <w:r>
              <w:rPr>
                <w:b/>
                <w:color w:val="000000"/>
              </w:rPr>
              <w:t>Type</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1355" w:type="dxa"/>
            <w:tcBorders>
              <w:top w:val="single" w:sz="12" w:space="0" w:color="000000"/>
              <w:bottom w:val="single" w:sz="12" w:space="0" w:color="000000"/>
            </w:tcBorders>
            <w:vAlign w:val="center"/>
          </w:tcPr>
          <w:p>
            <w:pPr>
              <w:pStyle w:val="TableContents"/>
              <w:bidi w:val="0"/>
              <w:spacing w:before="0" w:after="0"/>
              <w:jc w:val="center"/>
              <w:rPr>
                <w:b/>
                <w:color w:val="000000"/>
              </w:rPr>
            </w:pPr>
            <w:r>
              <w:rPr>
                <w:b/>
                <w:color w:val="000000"/>
              </w:rPr>
              <w:t>Security</w:t>
            </w:r>
          </w:p>
          <w:p>
            <w:pPr>
              <w:pStyle w:val="TableContents"/>
              <w:bidi w:val="0"/>
              <w:spacing w:lineRule="auto" w:line="240" w:before="0" w:after="0"/>
              <w:jc w:val="center"/>
              <w:rPr>
                <w:b/>
                <w:color w:val="000000"/>
              </w:rPr>
            </w:pPr>
            <w:r>
              <w:rPr>
                <w:b/>
                <w:color w:val="000000"/>
              </w:rPr>
              <w:t>Class Title(1)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1610" w:type="dxa"/>
            <w:tcBorders>
              <w:top w:val="single" w:sz="12" w:space="0" w:color="000000"/>
              <w:bottom w:val="single" w:sz="12" w:space="0" w:color="000000"/>
            </w:tcBorders>
            <w:vAlign w:val="center"/>
          </w:tcPr>
          <w:p>
            <w:pPr>
              <w:pStyle w:val="TableContents"/>
              <w:bidi w:val="0"/>
              <w:spacing w:before="0" w:after="0"/>
              <w:jc w:val="center"/>
              <w:rPr>
                <w:b/>
                <w:color w:val="000000"/>
              </w:rPr>
            </w:pPr>
            <w:r>
              <w:rPr>
                <w:b/>
                <w:color w:val="000000"/>
              </w:rPr>
              <w:t>Fee Calculation</w:t>
            </w:r>
          </w:p>
          <w:p>
            <w:pPr>
              <w:pStyle w:val="TableContents"/>
              <w:bidi w:val="0"/>
              <w:spacing w:before="0" w:after="0"/>
              <w:jc w:val="center"/>
              <w:rPr>
                <w:b/>
                <w:color w:val="000000"/>
              </w:rPr>
            </w:pPr>
            <w:r>
              <w:rPr>
                <w:b/>
                <w:color w:val="000000"/>
              </w:rPr>
              <w:t>Rule</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1145" w:type="dxa"/>
            <w:tcBorders>
              <w:top w:val="single" w:sz="12" w:space="0" w:color="000000"/>
              <w:bottom w:val="single" w:sz="12" w:space="0" w:color="000000"/>
            </w:tcBorders>
            <w:vAlign w:val="center"/>
          </w:tcPr>
          <w:p>
            <w:pPr>
              <w:pStyle w:val="TableContents"/>
              <w:bidi w:val="0"/>
              <w:spacing w:before="0" w:after="0"/>
              <w:jc w:val="center"/>
              <w:rPr>
                <w:b/>
                <w:color w:val="000000"/>
              </w:rPr>
            </w:pPr>
            <w:r>
              <w:rPr>
                <w:b/>
                <w:color w:val="000000"/>
              </w:rPr>
              <w:t>Amount</w:t>
            </w:r>
          </w:p>
          <w:p>
            <w:pPr>
              <w:pStyle w:val="TableContents"/>
              <w:bidi w:val="0"/>
              <w:spacing w:lineRule="auto" w:line="240" w:before="0" w:after="0"/>
              <w:jc w:val="center"/>
              <w:rPr>
                <w:color w:val="000000"/>
                <w:sz w:val="16"/>
              </w:rPr>
            </w:pPr>
            <w:r>
              <w:rPr>
                <w:b/>
                <w:color w:val="000000"/>
                <w:sz w:val="20"/>
              </w:rPr>
              <w:t>Registered</w:t>
            </w:r>
            <w:r>
              <w:rPr>
                <w:color w:val="000000"/>
                <w:sz w:val="20"/>
              </w:rPr>
              <w:t>(1)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1625" w:type="dxa"/>
            <w:tcBorders>
              <w:top w:val="single" w:sz="12" w:space="0" w:color="000000"/>
              <w:bottom w:val="single" w:sz="12" w:space="0" w:color="000000"/>
            </w:tcBorders>
            <w:vAlign w:val="center"/>
          </w:tcPr>
          <w:p>
            <w:pPr>
              <w:pStyle w:val="TableContents"/>
              <w:bidi w:val="0"/>
              <w:spacing w:before="0" w:after="0"/>
              <w:jc w:val="center"/>
              <w:rPr>
                <w:b/>
                <w:color w:val="000000"/>
              </w:rPr>
            </w:pPr>
            <w:r>
              <w:rPr>
                <w:b/>
                <w:color w:val="000000"/>
              </w:rPr>
              <w:t>Proposed</w:t>
            </w:r>
          </w:p>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Offering</w:t>
            </w:r>
          </w:p>
          <w:p>
            <w:pPr>
              <w:pStyle w:val="TableContents"/>
              <w:bidi w:val="0"/>
              <w:spacing w:before="0" w:after="0"/>
              <w:jc w:val="center"/>
              <w:rPr>
                <w:b/>
                <w:color w:val="000000"/>
              </w:rPr>
            </w:pPr>
            <w:r>
              <w:rPr>
                <w:b/>
                <w:color w:val="000000"/>
              </w:rPr>
              <w:t>Price Per Share</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1415" w:type="dxa"/>
            <w:tcBorders>
              <w:top w:val="single" w:sz="12" w:space="0" w:color="000000"/>
              <w:bottom w:val="single" w:sz="12" w:space="0" w:color="000000"/>
            </w:tcBorders>
            <w:vAlign w:val="center"/>
          </w:tcPr>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Aggregate</w:t>
            </w:r>
          </w:p>
          <w:p>
            <w:pPr>
              <w:pStyle w:val="TableContents"/>
              <w:bidi w:val="0"/>
              <w:spacing w:before="0" w:after="0"/>
              <w:jc w:val="center"/>
              <w:rPr>
                <w:b/>
                <w:color w:val="000000"/>
              </w:rPr>
            </w:pPr>
            <w:r>
              <w:rPr>
                <w:b/>
                <w:color w:val="000000"/>
              </w:rPr>
              <w:t>Offering</w:t>
            </w:r>
          </w:p>
          <w:p>
            <w:pPr>
              <w:pStyle w:val="TableContents"/>
              <w:bidi w:val="0"/>
              <w:spacing w:before="0" w:after="0"/>
              <w:jc w:val="center"/>
              <w:rPr>
                <w:b/>
                <w:color w:val="000000"/>
              </w:rPr>
            </w:pPr>
            <w:r>
              <w:rPr>
                <w:b/>
                <w:color w:val="000000"/>
              </w:rPr>
              <w:t>Price</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1100" w:type="dxa"/>
            <w:tcBorders>
              <w:top w:val="single" w:sz="12" w:space="0" w:color="000000"/>
              <w:bottom w:val="single" w:sz="12" w:space="0" w:color="000000"/>
            </w:tcBorders>
            <w:vAlign w:val="center"/>
          </w:tcPr>
          <w:p>
            <w:pPr>
              <w:pStyle w:val="TableContents"/>
              <w:bidi w:val="0"/>
              <w:spacing w:before="0" w:after="0"/>
              <w:jc w:val="center"/>
              <w:rPr>
                <w:b/>
                <w:color w:val="000000"/>
              </w:rPr>
            </w:pPr>
            <w:r>
              <w:rPr>
                <w:b/>
                <w:color w:val="000000"/>
              </w:rPr>
              <w:t>Fee Rate</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1685" w:type="dxa"/>
            <w:tcBorders>
              <w:top w:val="single" w:sz="12" w:space="0" w:color="000000"/>
              <w:bottom w:val="single" w:sz="12" w:space="0" w:color="000000"/>
            </w:tcBorders>
            <w:vAlign w:val="center"/>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Registration Fee</w:t>
            </w:r>
          </w:p>
        </w:tc>
      </w:tr>
      <w:tr>
        <w:trPr/>
        <w:tc>
          <w:tcPr>
            <w:tcW w:w="860" w:type="dxa"/>
            <w:tcBorders>
              <w:bottom w:val="single" w:sz="12" w:space="0" w:color="000000"/>
            </w:tcBorders>
            <w:shd w:fill="CCEEFF" w:val="clear"/>
            <w:tcMar>
              <w:top w:w="0" w:type="dxa"/>
            </w:tcMar>
            <w:vAlign w:val="center"/>
          </w:tcPr>
          <w:p>
            <w:pPr>
              <w:pStyle w:val="TableContents"/>
              <w:bidi w:val="0"/>
              <w:spacing w:before="0" w:after="0"/>
              <w:ind w:left="200" w:right="0" w:hanging="200"/>
              <w:jc w:val="left"/>
              <w:rPr>
                <w:color w:val="000000"/>
              </w:rPr>
            </w:pPr>
            <w:r>
              <w:rPr>
                <w:color w:val="000000"/>
              </w:rPr>
              <w:t>Equity</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top w:w="0" w:type="dxa"/>
            </w:tcMar>
            <w:vAlign w:val="center"/>
          </w:tcPr>
          <w:p>
            <w:pPr>
              <w:pStyle w:val="TableContents"/>
              <w:bidi w:val="0"/>
              <w:spacing w:before="0" w:after="0"/>
              <w:jc w:val="left"/>
              <w:rPr>
                <w:color w:val="000000"/>
              </w:rPr>
            </w:pPr>
            <w:r>
              <w:rPr>
                <w:color w:val="000000"/>
              </w:rPr>
              <w:t>Common Stock, $0.01 par value per share, to be issued under the Academy Sports and Outdoors, Inc. Amended and Restated 2020 Omnibus Incentive Plan (the “Plan”)</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top w:w="0" w:type="dxa"/>
            </w:tcMar>
            <w:vAlign w:val="center"/>
          </w:tcPr>
          <w:p>
            <w:pPr>
              <w:pStyle w:val="TableContents"/>
              <w:bidi w:val="0"/>
              <w:spacing w:lineRule="auto" w:line="240" w:before="0" w:after="0"/>
              <w:jc w:val="center"/>
              <w:rPr>
                <w:color w:val="000000"/>
              </w:rPr>
            </w:pPr>
            <w:r>
              <w:rPr>
                <w:color w:val="000000"/>
              </w:rPr>
              <w:t>Other(2)</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top w:w="0" w:type="dxa"/>
            </w:tcMar>
            <w:vAlign w:val="center"/>
          </w:tcPr>
          <w:p>
            <w:pPr>
              <w:pStyle w:val="TableContents"/>
              <w:bidi w:val="0"/>
              <w:spacing w:before="0" w:after="0"/>
              <w:jc w:val="center"/>
              <w:rPr>
                <w:color w:val="000000"/>
              </w:rPr>
            </w:pPr>
            <w:r>
              <w:rPr>
                <w:color w:val="000000"/>
              </w:rPr>
              <w:t>2,600,000</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625" w:type="dxa"/>
            <w:tcBorders>
              <w:bottom w:val="single" w:sz="12" w:space="0" w:color="000000"/>
            </w:tcBorders>
            <w:shd w:fill="CCEEFF" w:val="clear"/>
            <w:tcMar>
              <w:top w:w="0" w:type="dxa"/>
            </w:tcMar>
            <w:vAlign w:val="center"/>
          </w:tcPr>
          <w:p>
            <w:pPr>
              <w:pStyle w:val="TableContents"/>
              <w:bidi w:val="0"/>
              <w:spacing w:lineRule="auto" w:line="240" w:before="0" w:after="0"/>
              <w:jc w:val="center"/>
              <w:rPr>
                <w:color w:val="000000"/>
              </w:rPr>
            </w:pPr>
            <w:r>
              <w:rPr>
                <w:color w:val="000000"/>
              </w:rPr>
              <w:t>$49.73(2)</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415" w:type="dxa"/>
            <w:tcBorders>
              <w:bottom w:val="single" w:sz="12" w:space="0" w:color="000000"/>
            </w:tcBorders>
            <w:shd w:fill="CCEEFF" w:val="clear"/>
            <w:tcMar>
              <w:top w:w="0" w:type="dxa"/>
            </w:tcMar>
            <w:vAlign w:val="center"/>
          </w:tcPr>
          <w:p>
            <w:pPr>
              <w:pStyle w:val="TableContents"/>
              <w:bidi w:val="0"/>
              <w:spacing w:lineRule="auto" w:line="240" w:before="0" w:after="0"/>
              <w:jc w:val="center"/>
              <w:rPr>
                <w:color w:val="000000"/>
              </w:rPr>
            </w:pPr>
            <w:r>
              <w:rPr>
                <w:color w:val="000000"/>
              </w:rPr>
              <w:t>$129,298,000(2)</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top w:w="0" w:type="dxa"/>
            </w:tcMar>
            <w:vAlign w:val="center"/>
          </w:tcPr>
          <w:p>
            <w:pPr>
              <w:pStyle w:val="TableContents"/>
              <w:bidi w:val="0"/>
              <w:spacing w:before="0" w:after="0"/>
              <w:jc w:val="center"/>
              <w:rPr>
                <w:color w:val="000000"/>
              </w:rPr>
            </w:pPr>
            <w:r>
              <w:rPr>
                <w:color w:val="000000"/>
              </w:rPr>
              <w:t> </w:t>
            </w:r>
            <w:r>
              <w:rPr>
                <w:color w:val="000000"/>
              </w:rPr>
              <w:t>$</w:t>
            </w:r>
            <w:bookmarkStart w:id="41" w:name="z_Hlk143848992"/>
            <w:bookmarkEnd w:id="41"/>
            <w:r>
              <w:rPr>
                <w:color w:val="000000"/>
              </w:rPr>
              <w:t>110.20 per $1,000,000</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685" w:type="dxa"/>
            <w:tcBorders>
              <w:bottom w:val="single" w:sz="12" w:space="0" w:color="000000"/>
            </w:tcBorders>
            <w:shd w:fill="CCEEFF" w:val="clear"/>
            <w:tcMar>
              <w:top w:w="0" w:type="dxa"/>
            </w:tcMar>
            <w:vAlign w:val="center"/>
          </w:tcPr>
          <w:p>
            <w:pPr>
              <w:pStyle w:val="TableContents"/>
              <w:bidi w:val="0"/>
              <w:spacing w:before="0" w:after="0"/>
              <w:jc w:val="center"/>
              <w:rPr>
                <w:color w:val="000000"/>
              </w:rPr>
            </w:pPr>
            <w:r>
              <w:rPr>
                <w:color w:val="000000"/>
              </w:rPr>
              <w:t>$14,248.64</w:t>
            </w:r>
          </w:p>
        </w:tc>
      </w:tr>
      <w:tr>
        <w:trPr/>
        <w:tc>
          <w:tcPr>
            <w:tcW w:w="5150" w:type="dxa"/>
            <w:gridSpan w:val="7"/>
            <w:tcBorders>
              <w:bottom w:val="single" w:sz="12" w:space="0" w:color="000000"/>
            </w:tcBorders>
            <w:tcMar>
              <w:top w:w="0" w:type="dxa"/>
            </w:tcMar>
            <w:vAlign w:val="center"/>
          </w:tcPr>
          <w:p>
            <w:pPr>
              <w:pStyle w:val="TableContents"/>
              <w:bidi w:val="0"/>
              <w:spacing w:before="0" w:after="0"/>
              <w:ind w:left="200" w:right="0" w:hanging="200"/>
              <w:jc w:val="left"/>
              <w:rPr>
                <w:b/>
                <w:color w:val="000000"/>
              </w:rPr>
            </w:pPr>
            <w:r>
              <w:rPr>
                <w:b/>
                <w:color w:val="000000"/>
              </w:rPr>
              <w:t>Total Offering Amounts</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1625" w:type="dxa"/>
            <w:tcBorders>
              <w:bottom w:val="single" w:sz="12" w:space="0" w:color="000000"/>
            </w:tcBorders>
            <w:tcMar>
              <w:top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1415" w:type="dxa"/>
            <w:tcBorders>
              <w:bottom w:val="single" w:sz="12" w:space="0" w:color="000000"/>
            </w:tcBorders>
            <w:tcMar>
              <w:top w:w="0" w:type="dxa"/>
            </w:tcMar>
            <w:vAlign w:val="center"/>
          </w:tcPr>
          <w:p>
            <w:pPr>
              <w:pStyle w:val="TableContents"/>
              <w:bidi w:val="0"/>
              <w:spacing w:before="0" w:after="0"/>
              <w:jc w:val="center"/>
              <w:rPr>
                <w:color w:val="000000"/>
              </w:rPr>
            </w:pPr>
            <w:r>
              <w:rPr>
                <w:color w:val="000000"/>
              </w:rPr>
              <w:t>$129,298,000</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1100" w:type="dxa"/>
            <w:tcBorders>
              <w:bottom w:val="single" w:sz="12" w:space="0" w:color="000000"/>
            </w:tcBorders>
            <w:tcMar>
              <w:top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1685" w:type="dxa"/>
            <w:tcBorders>
              <w:bottom w:val="single" w:sz="12" w:space="0" w:color="000000"/>
            </w:tcBorders>
            <w:tcMar>
              <w:top w:w="0" w:type="dxa"/>
            </w:tcMar>
            <w:vAlign w:val="center"/>
          </w:tcPr>
          <w:p>
            <w:pPr>
              <w:pStyle w:val="TableContents"/>
              <w:bidi w:val="0"/>
              <w:spacing w:before="0" w:after="0"/>
              <w:jc w:val="center"/>
              <w:rPr>
                <w:color w:val="000000"/>
              </w:rPr>
            </w:pPr>
            <w:r>
              <w:rPr>
                <w:color w:val="000000"/>
              </w:rPr>
              <w:t>$</w:t>
            </w:r>
            <w:bookmarkStart w:id="42" w:name="z_Hlk143848547"/>
            <w:bookmarkEnd w:id="42"/>
            <w:r>
              <w:rPr>
                <w:color w:val="000000"/>
              </w:rPr>
              <w:t>14,248.64</w:t>
            </w:r>
          </w:p>
        </w:tc>
      </w:tr>
      <w:tr>
        <w:trPr/>
        <w:tc>
          <w:tcPr>
            <w:tcW w:w="5150" w:type="dxa"/>
            <w:gridSpan w:val="7"/>
            <w:tcBorders>
              <w:bottom w:val="single" w:sz="12" w:space="0" w:color="000000"/>
            </w:tcBorders>
            <w:shd w:fill="CCEEFF" w:val="clear"/>
            <w:tcMar>
              <w:top w:w="0" w:type="dxa"/>
            </w:tcMar>
            <w:vAlign w:val="center"/>
          </w:tcPr>
          <w:p>
            <w:pPr>
              <w:pStyle w:val="TableContents"/>
              <w:bidi w:val="0"/>
              <w:spacing w:before="0" w:after="0"/>
              <w:ind w:left="200" w:right="0" w:hanging="200"/>
              <w:jc w:val="left"/>
              <w:rPr>
                <w:b/>
                <w:color w:val="000000"/>
              </w:rPr>
            </w:pPr>
            <w:r>
              <w:rPr>
                <w:b/>
                <w:color w:val="000000"/>
              </w:rPr>
              <w:t>Total Fee Offsets</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62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41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left w:w="28" w:type="dxa"/>
            </w:tcMar>
            <w:vAlign w:val="center"/>
          </w:tcPr>
          <w:p>
            <w:pPr>
              <w:pStyle w:val="TableContents"/>
              <w:bidi w:val="0"/>
              <w:spacing w:before="0" w:after="283"/>
              <w:jc w:val="left"/>
              <w:rPr/>
            </w:pPr>
            <w:r>
              <w:rPr/>
              <w:t> </w:t>
            </w:r>
          </w:p>
        </w:tc>
        <w:tc>
          <w:tcPr>
            <w:tcW w:w="1685" w:type="dxa"/>
            <w:tcBorders>
              <w:bottom w:val="single" w:sz="12" w:space="0" w:color="000000"/>
            </w:tcBorders>
            <w:shd w:fill="CCEEFF" w:val="clear"/>
            <w:tcMar>
              <w:top w:w="0" w:type="dxa"/>
            </w:tcMar>
            <w:vAlign w:val="center"/>
          </w:tcPr>
          <w:p>
            <w:pPr>
              <w:pStyle w:val="TableContents"/>
              <w:bidi w:val="0"/>
              <w:spacing w:before="0" w:after="0"/>
              <w:jc w:val="center"/>
              <w:rPr>
                <w:color w:val="000000"/>
              </w:rPr>
            </w:pPr>
            <w:r>
              <w:rPr>
                <w:color w:val="000000"/>
              </w:rPr>
              <w:t>$0.00</w:t>
            </w:r>
          </w:p>
        </w:tc>
      </w:tr>
      <w:tr>
        <w:trPr/>
        <w:tc>
          <w:tcPr>
            <w:tcW w:w="5150" w:type="dxa"/>
            <w:gridSpan w:val="7"/>
            <w:tcBorders>
              <w:bottom w:val="single" w:sz="12" w:space="0" w:color="000000"/>
            </w:tcBorders>
            <w:tcMar>
              <w:top w:w="0" w:type="dxa"/>
            </w:tcMar>
            <w:vAlign w:val="center"/>
          </w:tcPr>
          <w:p>
            <w:pPr>
              <w:pStyle w:val="TableContents"/>
              <w:bidi w:val="0"/>
              <w:spacing w:before="0" w:after="0"/>
              <w:ind w:left="200" w:right="0" w:hanging="200"/>
              <w:jc w:val="left"/>
              <w:rPr>
                <w:b/>
                <w:color w:val="000000"/>
              </w:rPr>
            </w:pPr>
            <w:r>
              <w:rPr>
                <w:b/>
                <w:color w:val="000000"/>
              </w:rPr>
              <w:t>Net Fee Due</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1625" w:type="dxa"/>
            <w:tcBorders>
              <w:bottom w:val="single" w:sz="12" w:space="0" w:color="000000"/>
            </w:tcBorders>
            <w:tcMar>
              <w:top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1415" w:type="dxa"/>
            <w:tcBorders>
              <w:bottom w:val="single" w:sz="12" w:space="0" w:color="000000"/>
            </w:tcBorders>
            <w:tcMar>
              <w:top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1100" w:type="dxa"/>
            <w:tcBorders>
              <w:bottom w:val="single" w:sz="12" w:space="0" w:color="000000"/>
            </w:tcBorders>
            <w:tcMar>
              <w:top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1685" w:type="dxa"/>
            <w:tcBorders>
              <w:bottom w:val="single" w:sz="12" w:space="0" w:color="000000"/>
            </w:tcBorders>
            <w:tcMar>
              <w:top w:w="0" w:type="dxa"/>
            </w:tcMar>
            <w:vAlign w:val="center"/>
          </w:tcPr>
          <w:p>
            <w:pPr>
              <w:pStyle w:val="TableContents"/>
              <w:bidi w:val="0"/>
              <w:spacing w:before="0" w:after="0"/>
              <w:jc w:val="center"/>
              <w:rPr>
                <w:color w:val="000000"/>
              </w:rPr>
            </w:pPr>
            <w:r>
              <w:rPr>
                <w:color w:val="000000"/>
              </w:rPr>
              <w:t>$14,248.64</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efcd973b02084cc889f31a13927bf647"/>
      <w:bookmarkStart w:id="44" w:name="zefcd973b02084cc889f31a13927bf647"/>
      <w:bookmarkEnd w:id="44"/>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000000"/>
              </w:rPr>
            </w:pPr>
            <w:r>
              <w:rPr>
                <w:color w:val="000000"/>
              </w:rPr>
              <w:t>(1)</w:t>
            </w:r>
          </w:p>
        </w:tc>
        <w:tc>
          <w:tcPr>
            <w:tcW w:w="9961" w:type="dxa"/>
            <w:tcBorders/>
            <w:vAlign w:val="center"/>
          </w:tcPr>
          <w:p>
            <w:pPr>
              <w:pStyle w:val="TableContents"/>
              <w:bidi w:val="0"/>
              <w:spacing w:before="0" w:after="0"/>
              <w:jc w:val="left"/>
              <w:rPr>
                <w:color w:val="000000"/>
              </w:rPr>
            </w:pPr>
            <w:r>
              <w:rPr>
                <w:color w:val="000000"/>
              </w:rPr>
              <w:t>Pursuant to Rule 416 of the Securities Act of 1933 (the “Securities Act”), this Registration Statement on Form S-8 (this “Registration Statement”), also includes additional shares of Common Stock, par value of $0.01 per share (“Common Stock”) of Academy Sports and Outdoors, Inc. (the “Company”) in respect of the securities identified in the above table that may become issuable through the Plan as a result of any stock dividend, stock split, recapitalization or other similar transactions.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9d3ff165166a46b1a7b9fb9c546d8cb1"/>
      <w:bookmarkStart w:id="46" w:name="z9d3ff165166a46b1a7b9fb9c546d8cb1"/>
      <w:bookmarkEnd w:id="46"/>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000000"/>
              </w:rPr>
            </w:pPr>
            <w:r>
              <w:rPr>
                <w:color w:val="000000"/>
              </w:rPr>
              <w:t>(2)</w:t>
            </w:r>
          </w:p>
        </w:tc>
        <w:tc>
          <w:tcPr>
            <w:tcW w:w="9953" w:type="dxa"/>
            <w:tcBorders/>
            <w:vAlign w:val="center"/>
          </w:tcPr>
          <w:p>
            <w:pPr>
              <w:pStyle w:val="TableContents"/>
              <w:bidi w:val="0"/>
              <w:spacing w:before="0" w:after="0"/>
              <w:jc w:val="left"/>
              <w:rPr>
                <w:color w:val="000000"/>
              </w:rPr>
            </w:pPr>
            <w:r>
              <w:rPr>
                <w:color w:val="000000"/>
              </w:rPr>
              <w:t>Estimated solely for calculating the registration fee, pursuant to paragraphs (c) and (h) of Rule 457 under the Securities Act, on the basis of the average of the high and low sale prices of the shares of common stock of the Company on The Nasdaq Capital Market on August 24, 2023, within five business days prior to filing.</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bookmarkStart w:id="47" w:name="z_Hlk139629532"/>
      <w:bookmarkStart w:id="48" w:name="z_Hlk139629532"/>
      <w:bookmarkEnd w:id="48"/>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7358/000119312520261473/d99127ds8.htm" TargetMode="External"/><Relationship Id="rId3" Type="http://schemas.openxmlformats.org/officeDocument/2006/relationships/hyperlink" Target="https://www.sec.gov/Archives/edgar/data/1817358/000119312520264744/d910645dex31.htm" TargetMode="External"/><Relationship Id="rId4" Type="http://schemas.openxmlformats.org/officeDocument/2006/relationships/hyperlink" Target="https://www.sec.gov/Archives/edgar/data/1817358/000181735822000182/exhibit32-amendedandrestat.htm" TargetMode="External"/><Relationship Id="rId5" Type="http://schemas.openxmlformats.org/officeDocument/2006/relationships/hyperlink" Target="https://www.sec.gov/Archives/edgar/data/1817358/000181735823000123/exhibit101-aromnibusincent.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2621</Words>
  <Characters>13999</Characters>
  <CharactersWithSpaces>16563</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